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 Id="rId6"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C86318" w:rsidRPr="00C86318" w:rsidP="00C86318" w14:paraId="7ECEC1EE" w14:textId="6E03C38F">
      <w:pPr>
        <w:keepNext/>
        <w:spacing w:before="240" w:after="0"/>
        <w:outlineLvl w:val="0"/>
        <w:rPr>
          <w:rFonts w:ascii="Times New Roman" w:hAnsi="Times New Roman" w:cs="Times New Roman"/>
          <w:b/>
          <w:snapToGrid w:val="0"/>
          <w:sz w:val="38"/>
          <w:szCs w:val="38"/>
        </w:rPr>
      </w:pPr>
      <w:r w:rsidRPr="00C86318">
        <w:rPr>
          <w:rFonts w:ascii="Times New Roman" w:hAnsi="Times New Roman" w:cs="Times New Roman"/>
          <w:b/>
          <w:snapToGrid w:val="0"/>
          <w:sz w:val="38"/>
          <w:szCs w:val="38"/>
        </w:rPr>
        <w:t>Rutiner for sykehusbehandling av akutte porfyrianfall</w:t>
      </w:r>
    </w:p>
    <w:p w:rsidR="00C86318" w:rsidRPr="00C86318" w:rsidP="00C86318" w14:paraId="5CF2B9E0" w14:textId="77777777">
      <w:pPr>
        <w:spacing w:before="0" w:after="0"/>
        <w:outlineLvl w:val="0"/>
        <w:rPr>
          <w:rFonts w:ascii="Times New Roman" w:hAnsi="Times New Roman" w:cs="Times New Roman"/>
          <w:b/>
          <w:sz w:val="28"/>
          <w:szCs w:val="20"/>
        </w:rPr>
      </w:pPr>
    </w:p>
    <w:p w:rsidR="00C86318" w:rsidRPr="00C86318" w:rsidP="00C86318" w14:paraId="66D1AE4C" w14:textId="77777777">
      <w:pPr>
        <w:spacing w:before="0" w:after="0"/>
        <w:outlineLvl w:val="0"/>
        <w:rPr>
          <w:rFonts w:ascii="Times New Roman" w:hAnsi="Times New Roman" w:cs="Times New Roman"/>
          <w:szCs w:val="20"/>
        </w:rPr>
      </w:pPr>
      <w:r w:rsidRPr="00C86318">
        <w:rPr>
          <w:rFonts w:ascii="Times New Roman" w:hAnsi="Times New Roman" w:cs="Times New Roman"/>
          <w:b/>
          <w:szCs w:val="20"/>
        </w:rPr>
        <w:t>Gjeldende for:</w:t>
      </w:r>
      <w:r w:rsidRPr="00C86318">
        <w:rPr>
          <w:rFonts w:ascii="Times New Roman" w:hAnsi="Times New Roman" w:cs="Times New Roman"/>
          <w:szCs w:val="20"/>
        </w:rPr>
        <w:t xml:space="preserve"> Behandlingsrutinene gjelder for personer som har fått diagnostisert en av de akutte porfyrisykdommene: Akutt intermitterende porfyri (AIP), Porphyria variegata (PV) eller Hereditær koproporfyri (HCP). Napos utsteder et offisielt ID-kort som bekrefter diagnosen.</w:t>
      </w:r>
    </w:p>
    <w:p w:rsidR="00C86318" w:rsidRPr="00C86318" w:rsidP="00C86318" w14:paraId="15189758" w14:textId="77777777">
      <w:pPr>
        <w:spacing w:before="0" w:after="0"/>
        <w:outlineLvl w:val="0"/>
        <w:rPr>
          <w:rFonts w:ascii="Times New Roman" w:hAnsi="Times New Roman" w:cs="Times New Roman"/>
          <w:szCs w:val="20"/>
        </w:rPr>
      </w:pPr>
    </w:p>
    <w:p w:rsidR="00C86318" w:rsidRPr="00C86318" w:rsidP="00C86318" w14:paraId="6B72B680" w14:textId="77777777">
      <w:pPr>
        <w:keepNext/>
        <w:spacing w:before="0" w:after="0"/>
        <w:jc w:val="center"/>
        <w:outlineLvl w:val="1"/>
        <w:rPr>
          <w:rFonts w:ascii="Times New Roman" w:hAnsi="Times New Roman" w:cs="Times New Roman"/>
          <w:b/>
          <w:sz w:val="28"/>
          <w:szCs w:val="20"/>
        </w:rPr>
      </w:pPr>
      <w:r w:rsidRPr="00C86318">
        <w:rPr>
          <w:rFonts w:ascii="Times New Roman" w:hAnsi="Times New Roman" w:cs="Times New Roman"/>
          <w:b/>
          <w:sz w:val="28"/>
          <w:szCs w:val="20"/>
        </w:rPr>
        <w:t>Hovedtrekk i behandlingen:</w:t>
      </w:r>
    </w:p>
    <w:p w:rsidR="00C86318" w:rsidRPr="00C86318" w:rsidP="00C86318" w14:paraId="2AD03ACC" w14:textId="28DCE70B">
      <w:pPr>
        <w:spacing w:before="0" w:after="0"/>
        <w:rPr>
          <w:rFonts w:ascii="Times New Roman" w:hAnsi="Times New Roman" w:cs="Times New Roman"/>
          <w:sz w:val="20"/>
          <w:szCs w:val="20"/>
        </w:rPr>
      </w:pPr>
      <w:r w:rsidRPr="00C86318">
        <w:rPr>
          <w:rFonts w:ascii="Times New Roman" w:hAnsi="Times New Roman" w:cs="Times New Roman"/>
          <w:noProof/>
          <w:sz w:val="20"/>
          <w:szCs w:val="20"/>
        </w:rPr>
        <mc:AlternateContent>
          <mc:Choice Requires="wps">
            <w:drawing>
              <wp:anchor distT="0" distB="0" distL="114300" distR="114300" simplePos="0" relativeHeight="251658240" behindDoc="0" locked="0" layoutInCell="1" allowOverlap="1">
                <wp:simplePos x="0" y="0"/>
                <wp:positionH relativeFrom="column">
                  <wp:posOffset>-50165</wp:posOffset>
                </wp:positionH>
                <wp:positionV relativeFrom="paragraph">
                  <wp:posOffset>51927</wp:posOffset>
                </wp:positionV>
                <wp:extent cx="6050915" cy="562610"/>
                <wp:effectExtent l="0" t="0" r="26035" b="27940"/>
                <wp:wrapNone/>
                <wp:docPr id="1491235367" name="Rektangel 7" descr="Illustrativt"/>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50915" cy="562610"/>
                        </a:xfrm>
                        <a:prstGeom prst="rect">
                          <a:avLst/>
                        </a:prstGeom>
                        <a:noFill/>
                        <a:ln w="6350">
                          <a:solidFill>
                            <a:srgbClr val="042433"/>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wps:wsp>
                  </a:graphicData>
                </a:graphic>
                <wp14:sizeRelH relativeFrom="page">
                  <wp14:pctWidth>0</wp14:pctWidth>
                </wp14:sizeRelH>
                <wp14:sizeRelV relativeFrom="margin">
                  <wp14:pctHeight>0</wp14:pctHeight>
                </wp14:sizeRelV>
              </wp:anchor>
            </w:drawing>
          </mc:Choice>
          <mc:Fallback>
            <w:pict>
              <v:rect id="Rektangel 7" o:spid="_x0000_s1025" alt="Illustrativt" style="width:476.45pt;height:44.3pt;margin-top:4.1pt;margin-left:-3.95pt;mso-height-percent:0;mso-height-relative:margin;mso-width-percent:0;mso-width-relative:page;mso-wrap-distance-bottom:0;mso-wrap-distance-left:9pt;mso-wrap-distance-right:9pt;mso-wrap-distance-top:0;mso-wrap-style:square;position:absolute;visibility:visible;v-text-anchor:middle;z-index:251659264" filled="f" strokecolor="#042433" strokeweight="0.5pt"/>
            </w:pict>
          </mc:Fallback>
        </mc:AlternateContent>
      </w:r>
    </w:p>
    <w:p w:rsidR="00C86318" w:rsidRPr="00C86318" w:rsidP="00C86318" w14:paraId="116C65F9" w14:textId="77777777">
      <w:pPr>
        <w:numPr>
          <w:ilvl w:val="0"/>
          <w:numId w:val="47"/>
        </w:numPr>
        <w:spacing w:before="0" w:after="0"/>
        <w:ind w:left="357" w:hanging="357"/>
        <w:rPr>
          <w:rFonts w:ascii="Times New Roman" w:hAnsi="Times New Roman" w:cs="Times New Roman"/>
          <w:b/>
        </w:rPr>
      </w:pPr>
      <w:r w:rsidRPr="00C86318">
        <w:rPr>
          <w:rFonts w:ascii="Times New Roman" w:hAnsi="Times New Roman" w:cs="Times New Roman"/>
          <w:b/>
        </w:rPr>
        <w:t>Er pasienten adekvat smertestilt?</w:t>
      </w:r>
    </w:p>
    <w:p w:rsidR="00C86318" w:rsidRPr="00C86318" w:rsidP="00EC21FD" w14:paraId="0690CE56" w14:textId="39D04CB3">
      <w:pPr>
        <w:spacing w:before="0" w:after="0"/>
        <w:ind w:firstLine="357"/>
        <w:rPr>
          <w:rFonts w:ascii="Times New Roman" w:hAnsi="Times New Roman" w:cs="Times New Roman"/>
        </w:rPr>
      </w:pPr>
      <w:r w:rsidRPr="00C86318">
        <w:rPr>
          <w:rFonts w:ascii="Times New Roman" w:hAnsi="Times New Roman" w:cs="Times New Roman"/>
        </w:rPr>
        <w:t>Sterke smerter! Gi Morfin*</w:t>
      </w:r>
    </w:p>
    <w:p w:rsidR="00C86318" w:rsidRPr="00C86318" w:rsidP="008368CF" w14:paraId="7C487AA7" w14:textId="77777777">
      <w:pPr>
        <w:spacing w:before="240" w:after="360"/>
        <w:ind w:firstLine="709"/>
        <w:rPr>
          <w:rFonts w:ascii="Times New Roman" w:hAnsi="Times New Roman" w:cs="Times New Roman"/>
        </w:rPr>
      </w:pPr>
      <w:r w:rsidRPr="00C86318">
        <w:rPr>
          <w:rFonts w:ascii="Times New Roman" w:hAnsi="Times New Roman" w:cs="Times New Roman"/>
        </w:rPr>
        <w:t>* Andre medikamenter: porfyrinogene? Sjekk medikamentdatabasen!</w:t>
      </w:r>
    </w:p>
    <w:p w:rsidR="008368CF" w:rsidP="008368CF" w14:paraId="626B5437" w14:textId="77777777">
      <w:pPr>
        <w:tabs>
          <w:tab w:val="left" w:pos="284"/>
        </w:tabs>
        <w:ind w:left="284" w:hanging="284"/>
        <w:rPr>
          <w:rFonts w:ascii="Times New Roman" w:hAnsi="Times New Roman" w:cs="Times New Roman"/>
          <w:b/>
        </w:rPr>
        <w:sectPr w:rsidSect="00C86318">
          <w:headerReference w:type="even" r:id="rId7"/>
          <w:footerReference w:type="even" r:id="rId8"/>
          <w:footerReference w:type="default" r:id="rId9"/>
          <w:headerReference w:type="first" r:id="rId10"/>
          <w:footerReference w:type="first" r:id="rId11"/>
          <w:type w:val="continuous"/>
          <w:pgSz w:w="11907" w:h="16840" w:code="9"/>
          <w:pgMar w:top="1418" w:right="1418" w:bottom="1134" w:left="1418" w:header="397" w:footer="170" w:gutter="0"/>
          <w:pgNumType w:start="1"/>
          <w:cols w:space="708"/>
          <w:formProt w:val="0"/>
          <w:titlePg/>
          <w:docGrid w:linePitch="326"/>
        </w:sectPr>
      </w:pPr>
    </w:p>
    <w:p w:rsidR="008368CF" w:rsidP="008368CF" w14:paraId="182CD547" w14:textId="4A7E3F27">
      <w:pPr>
        <w:tabs>
          <w:tab w:val="left" w:pos="284"/>
        </w:tabs>
        <w:spacing w:before="360"/>
        <w:ind w:left="284" w:hanging="284"/>
        <w:rPr>
          <w:rFonts w:ascii="Times New Roman" w:hAnsi="Times New Roman" w:cs="Times New Roman"/>
          <w:b/>
        </w:rPr>
      </w:pPr>
      <w:r w:rsidRPr="00C86318">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simplePos x="0" y="0"/>
                <wp:positionH relativeFrom="column">
                  <wp:posOffset>-52705</wp:posOffset>
                </wp:positionH>
                <wp:positionV relativeFrom="paragraph">
                  <wp:posOffset>34289</wp:posOffset>
                </wp:positionV>
                <wp:extent cx="6035675" cy="1247775"/>
                <wp:effectExtent l="0" t="0" r="22225" b="28575"/>
                <wp:wrapNone/>
                <wp:docPr id="388741499" name="Rektangel 6" descr="Illustrativt"/>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35675" cy="1247775"/>
                        </a:xfrm>
                        <a:prstGeom prst="rect">
                          <a:avLst/>
                        </a:prstGeom>
                        <a:noFill/>
                        <a:ln w="6350">
                          <a:solidFill>
                            <a:srgbClr val="042433"/>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wps:wsp>
                  </a:graphicData>
                </a:graphic>
                <wp14:sizeRelH relativeFrom="page">
                  <wp14:pctWidth>0</wp14:pctWidth>
                </wp14:sizeRelH>
                <wp14:sizeRelV relativeFrom="margin">
                  <wp14:pctHeight>0</wp14:pctHeight>
                </wp14:sizeRelV>
              </wp:anchor>
            </w:drawing>
          </mc:Choice>
          <mc:Fallback>
            <w:pict>
              <v:rect id="Rektangel 6" o:spid="_x0000_s1026" alt="Illustrativt" style="width:475.25pt;height:98.25pt;margin-top:2.7pt;margin-left:-4.15pt;mso-height-percent:0;mso-height-relative:margin;mso-width-percent:0;mso-width-relative:page;mso-wrap-distance-bottom:0;mso-wrap-distance-left:9pt;mso-wrap-distance-right:9pt;mso-wrap-distance-top:0;mso-wrap-style:square;position:absolute;visibility:visible;v-text-anchor:middle;z-index:251661312" filled="f" strokecolor="#042433" strokeweight="0.5pt"/>
            </w:pict>
          </mc:Fallback>
        </mc:AlternateContent>
      </w:r>
      <w:r w:rsidRPr="00C86318">
        <w:rPr>
          <w:rFonts w:ascii="Times New Roman" w:hAnsi="Times New Roman" w:cs="Times New Roman"/>
          <w:b/>
        </w:rPr>
        <w:t xml:space="preserve">2)  10% </w:t>
      </w:r>
      <w:r w:rsidRPr="00C86318">
        <w:rPr>
          <w:rFonts w:ascii="Times New Roman" w:hAnsi="Times New Roman" w:cs="Times New Roman"/>
          <w:b/>
        </w:rPr>
        <w:t>GLUKOSE IV</w:t>
      </w:r>
      <w:r>
        <w:rPr>
          <w:rFonts w:ascii="Times New Roman" w:hAnsi="Times New Roman" w:cs="Times New Roman"/>
          <w:b/>
        </w:rPr>
        <w:t xml:space="preserve"> </w:t>
      </w:r>
      <w:r>
        <w:rPr>
          <w:rFonts w:ascii="Times New Roman" w:hAnsi="Times New Roman" w:cs="Times New Roman"/>
          <w:b/>
        </w:rPr>
        <w:br/>
      </w:r>
      <w:r w:rsidRPr="00C86318">
        <w:rPr>
          <w:rFonts w:ascii="Times New Roman" w:hAnsi="Times New Roman" w:cs="Times New Roman"/>
        </w:rPr>
        <w:t>2-3L/døgn</w:t>
      </w:r>
      <w:r>
        <w:rPr>
          <w:rFonts w:ascii="Times New Roman" w:hAnsi="Times New Roman" w:cs="Times New Roman"/>
        </w:rPr>
        <w:br/>
      </w:r>
      <w:r w:rsidRPr="00C86318">
        <w:rPr>
          <w:rFonts w:ascii="Times New Roman" w:hAnsi="Times New Roman" w:cs="Times New Roman"/>
        </w:rPr>
        <w:t xml:space="preserve">Tilsett </w:t>
      </w:r>
      <w:r w:rsidRPr="00C86318">
        <w:rPr>
          <w:rFonts w:ascii="Times New Roman" w:hAnsi="Times New Roman" w:cs="Times New Roman"/>
          <w:b/>
        </w:rPr>
        <w:t xml:space="preserve">NaCl </w:t>
      </w:r>
      <w:r w:rsidRPr="00C86318">
        <w:rPr>
          <w:rFonts w:ascii="Times New Roman" w:hAnsi="Times New Roman" w:cs="Times New Roman"/>
        </w:rPr>
        <w:t>100 mmol/døgn</w:t>
      </w:r>
      <w:r>
        <w:rPr>
          <w:rFonts w:ascii="Times New Roman" w:hAnsi="Times New Roman" w:cs="Times New Roman"/>
        </w:rPr>
        <w:br/>
      </w:r>
      <w:r w:rsidRPr="00C86318">
        <w:rPr>
          <w:rFonts w:ascii="Times New Roman" w:hAnsi="Times New Roman" w:cs="Times New Roman"/>
        </w:rPr>
        <w:t>Tilsett 10IE hurtigvirkende</w:t>
      </w:r>
      <w:r>
        <w:rPr>
          <w:rFonts w:ascii="Times New Roman" w:hAnsi="Times New Roman" w:cs="Times New Roman"/>
        </w:rPr>
        <w:t xml:space="preserve"> </w:t>
      </w:r>
      <w:r w:rsidRPr="00C86318">
        <w:rPr>
          <w:rFonts w:ascii="Times New Roman" w:hAnsi="Times New Roman" w:cs="Times New Roman"/>
          <w:b/>
        </w:rPr>
        <w:t>Insulin</w:t>
      </w:r>
      <w:r>
        <w:rPr>
          <w:rFonts w:ascii="Times New Roman" w:hAnsi="Times New Roman" w:cs="Times New Roman"/>
          <w:b/>
        </w:rPr>
        <w:t xml:space="preserve">                              </w:t>
      </w:r>
    </w:p>
    <w:p w:rsidR="008368CF" w:rsidP="008368CF" w14:paraId="0AFED33F" w14:textId="77777777">
      <w:pPr>
        <w:rPr>
          <w:rFonts w:ascii="Times New Roman" w:hAnsi="Times New Roman" w:cs="Times New Roman"/>
          <w:b/>
        </w:rPr>
      </w:pPr>
    </w:p>
    <w:p w:rsidR="008368CF" w:rsidP="008368CF" w14:paraId="6CFAD22E" w14:textId="77777777">
      <w:pPr>
        <w:rPr>
          <w:rFonts w:ascii="Times New Roman" w:hAnsi="Times New Roman" w:cs="Times New Roman"/>
          <w:b/>
        </w:rPr>
      </w:pPr>
      <w:r w:rsidRPr="00555894">
        <w:rPr>
          <w:rFonts w:ascii="Times New Roman" w:hAnsi="Times New Roman" w:cs="Times New Roman"/>
          <w:b/>
        </w:rPr>
        <w:t>ELLER</w:t>
      </w:r>
    </w:p>
    <w:p w:rsidR="008368CF" w:rsidRPr="00555894" w:rsidP="008368CF" w14:paraId="6D5E14B0" w14:textId="68C9AC33">
      <w:pPr>
        <w:rPr>
          <w:rFonts w:ascii="Times New Roman" w:hAnsi="Times New Roman" w:cs="Times New Roman"/>
          <w:b/>
        </w:rPr>
      </w:pPr>
    </w:p>
    <w:p w:rsidR="008368CF" w:rsidRPr="00555894" w:rsidP="008368CF" w14:paraId="4D4C8605" w14:textId="01EEF869">
      <w:pPr>
        <w:spacing w:before="360"/>
        <w:ind w:left="284"/>
        <w:rPr>
          <w:rFonts w:ascii="Times New Roman" w:hAnsi="Times New Roman" w:cs="Times New Roman"/>
        </w:rPr>
      </w:pPr>
      <w:r w:rsidRPr="00C86318">
        <w:rPr>
          <w:rFonts w:ascii="Times New Roman" w:hAnsi="Times New Roman" w:cs="Times New Roman"/>
          <w:b/>
        </w:rPr>
        <w:t>10% GLUKOSEL IV</w:t>
      </w:r>
      <w:r>
        <w:rPr>
          <w:rFonts w:ascii="Times New Roman" w:hAnsi="Times New Roman" w:cs="Times New Roman"/>
          <w:b/>
        </w:rPr>
        <w:br/>
      </w:r>
      <w:r w:rsidRPr="00C86318">
        <w:rPr>
          <w:rFonts w:ascii="Times New Roman" w:hAnsi="Times New Roman" w:cs="Times New Roman"/>
          <w:b/>
        </w:rPr>
        <w:t xml:space="preserve">Obs! </w:t>
      </w:r>
      <w:r w:rsidRPr="00C86318">
        <w:rPr>
          <w:rFonts w:ascii="Times New Roman" w:hAnsi="Times New Roman" w:cs="Times New Roman"/>
        </w:rPr>
        <w:t>maks</w:t>
      </w:r>
      <w:r w:rsidRPr="00C86318">
        <w:rPr>
          <w:rFonts w:ascii="Times New Roman" w:hAnsi="Times New Roman" w:cs="Times New Roman"/>
          <w:b/>
        </w:rPr>
        <w:t xml:space="preserve"> </w:t>
      </w:r>
      <w:r w:rsidRPr="00C86318">
        <w:rPr>
          <w:rFonts w:ascii="Times New Roman" w:hAnsi="Times New Roman" w:cs="Times New Roman"/>
        </w:rPr>
        <w:t>1L per 4. time</w:t>
      </w:r>
      <w:r>
        <w:rPr>
          <w:rFonts w:ascii="Times New Roman" w:hAnsi="Times New Roman" w:cs="Times New Roman"/>
        </w:rPr>
        <w:br/>
      </w:r>
      <w:r w:rsidRPr="00C86318">
        <w:rPr>
          <w:rFonts w:ascii="Times New Roman" w:hAnsi="Times New Roman" w:cs="Times New Roman"/>
        </w:rPr>
        <w:t xml:space="preserve">Tilsett 10IE hurtigvirkende </w:t>
      </w:r>
      <w:r w:rsidRPr="00C86318">
        <w:rPr>
          <w:rFonts w:ascii="Times New Roman" w:hAnsi="Times New Roman" w:cs="Times New Roman"/>
          <w:b/>
        </w:rPr>
        <w:t>Insulin</w:t>
      </w:r>
    </w:p>
    <w:p w:rsidR="008368CF" w:rsidP="00C86318" w14:paraId="4A8AA82F" w14:textId="77777777">
      <w:pPr>
        <w:spacing w:before="480" w:after="0"/>
        <w:rPr>
          <w:rFonts w:ascii="Times New Roman" w:hAnsi="Times New Roman" w:cs="Times New Roman"/>
          <w:b/>
        </w:rPr>
        <w:sectPr w:rsidSect="008368CF">
          <w:type w:val="continuous"/>
          <w:pgSz w:w="11907" w:h="16840" w:code="9"/>
          <w:pgMar w:top="1418" w:right="1418" w:bottom="1134" w:left="1418" w:header="397" w:footer="170" w:gutter="0"/>
          <w:pgNumType w:start="1"/>
          <w:cols w:num="3" w:space="12" w:equalWidth="0">
            <w:col w:w="3912" w:space="12"/>
            <w:col w:w="1279" w:space="12"/>
            <w:col w:w="3856" w:space="0"/>
          </w:cols>
          <w:formProt w:val="0"/>
          <w:titlePg/>
          <w:docGrid w:linePitch="326"/>
        </w:sectPr>
      </w:pPr>
    </w:p>
    <w:p w:rsidR="00C86318" w:rsidRPr="00C86318" w:rsidP="00C86318" w14:paraId="539C5805" w14:textId="77777777">
      <w:pPr>
        <w:spacing w:before="240" w:after="0"/>
        <w:jc w:val="center"/>
        <w:rPr>
          <w:rFonts w:ascii="Times New Roman" w:hAnsi="Times New Roman" w:cs="Times New Roman"/>
          <w:b/>
        </w:rPr>
      </w:pPr>
      <w:r w:rsidRPr="00C86318">
        <w:rPr>
          <w:rFonts w:ascii="Times New Roman" w:hAnsi="Times New Roman" w:cs="Times New Roman"/>
          <w:b/>
        </w:rPr>
        <w:t>MÅ SETTES I EN STOR VENE (mht flebitt)</w:t>
      </w:r>
    </w:p>
    <w:p w:rsidR="00C86318" w:rsidRPr="00C86318" w:rsidP="00C86318" w14:paraId="2FE9A2D1" w14:textId="77777777">
      <w:pPr>
        <w:spacing w:before="60" w:after="0"/>
        <w:jc w:val="center"/>
        <w:rPr>
          <w:rFonts w:ascii="Times New Roman" w:hAnsi="Times New Roman" w:cs="Times New Roman"/>
          <w:sz w:val="22"/>
          <w:szCs w:val="22"/>
        </w:rPr>
      </w:pPr>
      <w:r w:rsidRPr="00C86318">
        <w:rPr>
          <w:rFonts w:ascii="Times New Roman" w:hAnsi="Times New Roman" w:cs="Times New Roman"/>
          <w:sz w:val="22"/>
          <w:szCs w:val="22"/>
        </w:rPr>
        <w:t>Undersøk ALA og PBG verdier i urin (husk lysbeskyttelse)</w:t>
      </w:r>
    </w:p>
    <w:p w:rsidR="00C86318" w:rsidRPr="00C86318" w:rsidP="00CE68FE" w14:paraId="3117EE17" w14:textId="77777777">
      <w:pPr>
        <w:spacing w:before="240" w:after="0"/>
        <w:ind w:left="3545" w:firstLine="709"/>
        <w:rPr>
          <w:rFonts w:ascii="Times New Roman" w:hAnsi="Times New Roman" w:cs="Times New Roman"/>
          <w:b/>
        </w:rPr>
      </w:pPr>
      <w:r w:rsidRPr="00C86318">
        <w:rPr>
          <w:rFonts w:ascii="Times New Roman" w:hAnsi="Times New Roman" w:cs="Times New Roman"/>
          <w:b/>
        </w:rPr>
        <w:t>| |</w:t>
      </w:r>
    </w:p>
    <w:p w:rsidR="00C86318" w:rsidRPr="00C86318" w:rsidP="00C86318" w14:paraId="7E15AABD" w14:textId="77777777">
      <w:pPr>
        <w:spacing w:before="0" w:after="0"/>
        <w:jc w:val="center"/>
        <w:rPr>
          <w:rFonts w:ascii="Times New Roman" w:hAnsi="Times New Roman" w:cs="Times New Roman"/>
          <w:b/>
        </w:rPr>
      </w:pPr>
      <w:r w:rsidRPr="00C86318">
        <w:rPr>
          <w:rFonts w:ascii="Times New Roman" w:hAnsi="Times New Roman" w:cs="Times New Roman"/>
          <w:b/>
        </w:rPr>
        <w:t>DÅRLIG RESPONS?</w:t>
      </w:r>
    </w:p>
    <w:p w:rsidR="00C86318" w:rsidRPr="00C86318" w:rsidP="00C86318" w14:paraId="20441251" w14:textId="77777777">
      <w:pPr>
        <w:spacing w:before="0" w:after="0"/>
        <w:jc w:val="center"/>
        <w:rPr>
          <w:rFonts w:ascii="Times New Roman" w:hAnsi="Times New Roman" w:cs="Times New Roman"/>
          <w:b/>
        </w:rPr>
      </w:pPr>
      <w:r w:rsidRPr="00C86318">
        <w:rPr>
          <w:rFonts w:ascii="Times New Roman" w:hAnsi="Times New Roman" w:cs="Times New Roman"/>
          <w:b/>
        </w:rPr>
        <w:t>FORVERRING?</w:t>
      </w:r>
    </w:p>
    <w:p w:rsidR="00C86318" w:rsidRPr="00C86318" w:rsidP="00C86318" w14:paraId="6E7F786D" w14:textId="77777777">
      <w:pPr>
        <w:spacing w:before="0" w:after="0"/>
        <w:jc w:val="center"/>
        <w:rPr>
          <w:rFonts w:ascii="Times New Roman" w:hAnsi="Times New Roman" w:cs="Times New Roman"/>
          <w:b/>
        </w:rPr>
      </w:pPr>
      <w:r w:rsidRPr="00C86318">
        <w:rPr>
          <w:rFonts w:ascii="Times New Roman" w:hAnsi="Times New Roman" w:cs="Times New Roman"/>
          <w:b/>
        </w:rPr>
        <w:t>NEVROLOGISKE UTFALL?</w:t>
      </w:r>
    </w:p>
    <w:p w:rsidR="00CE68FE" w:rsidP="00CE68FE" w14:paraId="470C407C" w14:textId="7844B198">
      <w:pPr>
        <w:spacing w:before="0" w:after="0"/>
        <w:ind w:left="4254"/>
        <w:rPr>
          <w:rFonts w:ascii="Times New Roman" w:hAnsi="Times New Roman" w:cs="Times New Roman"/>
          <w:b/>
        </w:rPr>
      </w:pPr>
      <w:r w:rsidRPr="00C86318">
        <w:rPr>
          <w:rFonts w:ascii="Times New Roman" w:hAnsi="Times New Roman" w:cs="Times New Roman"/>
          <w:b/>
        </w:rPr>
        <w:t xml:space="preserve">| | </w:t>
      </w:r>
    </w:p>
    <w:p w:rsidR="00CE68FE" w:rsidP="00CE68FE" w14:paraId="4FC9AE6E" w14:textId="77D8861F">
      <w:pPr>
        <w:spacing w:before="0" w:after="0"/>
        <w:ind w:left="3545"/>
        <w:rPr>
          <w:rFonts w:ascii="Times New Roman" w:hAnsi="Times New Roman" w:cs="Times New Roman"/>
          <w:b/>
        </w:rPr>
        <w:sectPr w:rsidSect="00C86318">
          <w:type w:val="continuous"/>
          <w:pgSz w:w="11907" w:h="16840" w:code="9"/>
          <w:pgMar w:top="1418" w:right="1418" w:bottom="1134" w:left="1418" w:header="397" w:footer="170" w:gutter="0"/>
          <w:pgNumType w:start="1"/>
          <w:cols w:space="708"/>
          <w:formProt w:val="0"/>
          <w:titlePg/>
          <w:docGrid w:linePitch="326"/>
        </w:sectPr>
      </w:pPr>
      <w:r w:rsidRPr="00C86318">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simplePos x="0" y="0"/>
                <wp:positionH relativeFrom="column">
                  <wp:posOffset>-62230</wp:posOffset>
                </wp:positionH>
                <wp:positionV relativeFrom="paragraph">
                  <wp:posOffset>245745</wp:posOffset>
                </wp:positionV>
                <wp:extent cx="6028055" cy="1247775"/>
                <wp:effectExtent l="0" t="0" r="10795" b="28575"/>
                <wp:wrapNone/>
                <wp:docPr id="1580798583" name="Rektangel 5" descr="Illustrativt"/>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28055" cy="1247775"/>
                        </a:xfrm>
                        <a:prstGeom prst="rect">
                          <a:avLst/>
                        </a:prstGeom>
                        <a:noFill/>
                        <a:ln w="6350">
                          <a:solidFill>
                            <a:srgbClr val="042433"/>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wps:wsp>
                  </a:graphicData>
                </a:graphic>
                <wp14:sizeRelH relativeFrom="page">
                  <wp14:pctWidth>0</wp14:pctWidth>
                </wp14:sizeRelH>
                <wp14:sizeRelV relativeFrom="margin">
                  <wp14:pctHeight>0</wp14:pctHeight>
                </wp14:sizeRelV>
              </wp:anchor>
            </w:drawing>
          </mc:Choice>
          <mc:Fallback>
            <w:pict>
              <v:rect id="Rektangel 5" o:spid="_x0000_s1027" alt="Illustrativt" style="width:474.65pt;height:98.25pt;margin-top:19.35pt;margin-left:-4.9pt;mso-height-percent:0;mso-height-relative:margin;mso-width-percent:0;mso-width-relative:page;mso-wrap-distance-bottom:0;mso-wrap-distance-left:9pt;mso-wrap-distance-right:9pt;mso-wrap-distance-top:0;mso-wrap-style:square;position:absolute;visibility:visible;v-text-anchor:middle;z-index:251663360" filled="f" strokecolor="#042433" strokeweight="0.5pt"/>
            </w:pict>
          </mc:Fallback>
        </mc:AlternateContent>
      </w:r>
      <w:r>
        <w:rPr>
          <w:b/>
        </w:rPr>
        <w:t xml:space="preserve">           </w:t>
      </w:r>
      <w:r w:rsidRPr="00CE68FE">
        <w:rPr>
          <w:b/>
          <w:sz w:val="18"/>
          <w:szCs w:val="18"/>
        </w:rPr>
        <w:t xml:space="preserve">  </w:t>
      </w:r>
      <w:r w:rsidRPr="00F87E70">
        <w:rPr>
          <w:b/>
        </w:rPr>
        <w:t>▼</w:t>
      </w:r>
      <w:r w:rsidRPr="00C86318" w:rsidR="00C86318">
        <w:rPr>
          <w:rFonts w:ascii="Times New Roman" w:hAnsi="Times New Roman" w:cs="Times New Roman"/>
          <w:b/>
        </w:rPr>
        <w:br/>
      </w:r>
    </w:p>
    <w:p w:rsidR="00CE68FE" w:rsidRPr="00CE68FE" w:rsidP="00CE68FE" w14:paraId="622A0697" w14:textId="29F8BE06">
      <w:pPr>
        <w:pStyle w:val="ListParagraph"/>
        <w:numPr>
          <w:ilvl w:val="0"/>
          <w:numId w:val="49"/>
        </w:numPr>
        <w:spacing w:before="0" w:after="0"/>
        <w:ind w:left="426"/>
        <w:rPr>
          <w:rFonts w:ascii="Times New Roman" w:hAnsi="Times New Roman" w:cs="Times New Roman"/>
          <w:b/>
        </w:rPr>
      </w:pPr>
      <w:r w:rsidRPr="00CE68FE">
        <w:rPr>
          <w:rFonts w:ascii="Times New Roman" w:hAnsi="Times New Roman" w:cs="Times New Roman"/>
          <w:b/>
        </w:rPr>
        <w:t>NORMOSANG</w:t>
      </w:r>
      <w:r w:rsidRPr="00CE68FE">
        <w:rPr>
          <w:rFonts w:ascii="Times New Roman" w:hAnsi="Times New Roman" w:cs="Times New Roman"/>
          <w:b/>
        </w:rPr>
        <w:br/>
      </w:r>
      <w:r w:rsidRPr="00CE68FE">
        <w:rPr>
          <w:rFonts w:ascii="Times New Roman" w:hAnsi="Times New Roman" w:cs="Times New Roman"/>
        </w:rPr>
        <w:t>3mg/kg IV</w:t>
      </w:r>
    </w:p>
    <w:p w:rsidR="00CE68FE" w:rsidRPr="0068582C" w:rsidP="00CE68FE" w14:paraId="014BCAF1" w14:textId="77777777">
      <w:pPr>
        <w:rPr>
          <w:rFonts w:ascii="Times New Roman" w:hAnsi="Times New Roman" w:cs="Times New Roman"/>
          <w:bCs/>
        </w:rPr>
      </w:pPr>
      <w:r w:rsidRPr="0068582C">
        <w:rPr>
          <w:rFonts w:ascii="Times New Roman" w:hAnsi="Times New Roman" w:cs="Times New Roman"/>
          <w:bCs/>
        </w:rPr>
        <w:t>blandes med</w:t>
      </w:r>
    </w:p>
    <w:p w:rsidR="00CE68FE" w:rsidRPr="0068582C" w:rsidP="00CE68FE" w14:paraId="684872AA" w14:textId="4C45CA10">
      <w:r w:rsidRPr="00C86318">
        <w:rPr>
          <w:rFonts w:ascii="Times New Roman" w:hAnsi="Times New Roman" w:cs="Times New Roman"/>
          <w:b/>
        </w:rPr>
        <w:t xml:space="preserve">Humant </w:t>
      </w:r>
      <w:r w:rsidRPr="00C86318">
        <w:rPr>
          <w:rFonts w:ascii="Times New Roman" w:hAnsi="Times New Roman" w:cs="Times New Roman"/>
          <w:b/>
        </w:rPr>
        <w:t>Albumin</w:t>
      </w:r>
      <w:r w:rsidRPr="0068582C">
        <w:rPr>
          <w:rFonts w:ascii="Times New Roman" w:hAnsi="Times New Roman" w:cs="Times New Roman"/>
        </w:rPr>
        <w:br/>
        <w:t xml:space="preserve"> </w:t>
      </w:r>
      <w:r w:rsidRPr="00C86318">
        <w:rPr>
          <w:rFonts w:ascii="Times New Roman" w:hAnsi="Times New Roman" w:cs="Times New Roman"/>
        </w:rPr>
        <w:t>100mL [200mg/mL], glassflask</w:t>
      </w:r>
      <w:r>
        <w:rPr>
          <w:rFonts w:ascii="Times New Roman" w:hAnsi="Times New Roman" w:cs="Times New Roman"/>
        </w:rPr>
        <w:t>e</w:t>
      </w:r>
    </w:p>
    <w:p w:rsidR="00CE68FE" w:rsidP="00C86318" w14:paraId="5335E767" w14:textId="77777777">
      <w:pPr>
        <w:spacing w:before="0" w:after="0"/>
        <w:rPr>
          <w:rFonts w:ascii="Times New Roman" w:hAnsi="Times New Roman" w:cs="Times New Roman"/>
          <w:b/>
        </w:rPr>
        <w:sectPr w:rsidSect="00CE68FE">
          <w:type w:val="continuous"/>
          <w:pgSz w:w="11907" w:h="16840" w:code="9"/>
          <w:pgMar w:top="1418" w:right="1418" w:bottom="1134" w:left="1418" w:header="397" w:footer="170" w:gutter="0"/>
          <w:pgNumType w:start="1"/>
          <w:cols w:num="3" w:space="255" w:equalWidth="0">
            <w:col w:w="3402" w:space="255"/>
            <w:col w:w="1416" w:space="256"/>
            <w:col w:w="3742" w:space="0"/>
          </w:cols>
          <w:formProt w:val="0"/>
          <w:titlePg/>
          <w:docGrid w:linePitch="326"/>
        </w:sectPr>
      </w:pPr>
    </w:p>
    <w:p w:rsidR="00C86318" w:rsidRPr="00C86318" w:rsidP="00B262CE" w14:paraId="05E25F7D" w14:textId="576F20EA">
      <w:pPr>
        <w:tabs>
          <w:tab w:val="left" w:pos="426"/>
        </w:tabs>
        <w:spacing w:before="240" w:after="0"/>
        <w:rPr>
          <w:rFonts w:ascii="Times New Roman" w:hAnsi="Times New Roman" w:cs="Times New Roman"/>
          <w:b/>
        </w:rPr>
      </w:pPr>
      <w:r>
        <w:rPr>
          <w:rFonts w:ascii="Times New Roman" w:hAnsi="Times New Roman" w:cs="Times New Roman"/>
          <w:b/>
        </w:rPr>
        <w:tab/>
      </w:r>
      <w:r w:rsidRPr="00C86318">
        <w:rPr>
          <w:rFonts w:ascii="Times New Roman" w:hAnsi="Times New Roman" w:cs="Times New Roman"/>
          <w:b/>
        </w:rPr>
        <w:t>GIS OVER 30 MINUTTER</w:t>
      </w:r>
    </w:p>
    <w:p w:rsidR="00C86318" w:rsidRPr="00C86318" w:rsidP="00C86318" w14:paraId="5875DF4D" w14:textId="77777777">
      <w:pPr>
        <w:spacing w:before="0" w:after="0"/>
        <w:rPr>
          <w:rFonts w:ascii="Times New Roman" w:hAnsi="Times New Roman" w:cs="Times New Roman"/>
          <w:b/>
        </w:rPr>
      </w:pPr>
    </w:p>
    <w:p w:rsidR="00C86318" w:rsidRPr="00C86318" w:rsidP="00EC21FD" w14:paraId="3D048336" w14:textId="1E18B598">
      <w:pPr>
        <w:tabs>
          <w:tab w:val="left" w:pos="426"/>
        </w:tabs>
        <w:spacing w:before="0" w:after="0"/>
        <w:rPr>
          <w:rFonts w:ascii="Times New Roman" w:hAnsi="Times New Roman" w:cs="Times New Roman"/>
        </w:rPr>
      </w:pPr>
      <w:r>
        <w:rPr>
          <w:rFonts w:ascii="Times New Roman" w:hAnsi="Times New Roman" w:cs="Times New Roman"/>
          <w:b/>
        </w:rPr>
        <w:tab/>
      </w:r>
      <w:r w:rsidRPr="00C86318">
        <w:rPr>
          <w:rFonts w:ascii="Times New Roman" w:hAnsi="Times New Roman" w:cs="Times New Roman"/>
        </w:rPr>
        <w:t>SKYLL VENEN FØR OG ETTER INFUSJON MED 100 mL 0.9% NaCl</w:t>
      </w:r>
    </w:p>
    <w:p w:rsidR="00C86318" w:rsidRPr="00C86318" w:rsidP="004A62DA" w14:paraId="57007A83" w14:textId="65433F6A">
      <w:pPr>
        <w:spacing w:before="360" w:after="240"/>
        <w:ind w:firstLine="709"/>
        <w:rPr>
          <w:rFonts w:ascii="Times New Roman" w:hAnsi="Times New Roman" w:cs="Times New Roman"/>
          <w:b/>
        </w:rPr>
      </w:pPr>
      <w:r>
        <w:rPr>
          <w:rFonts w:ascii="Times New Roman" w:hAnsi="Times New Roman" w:cs="Times New Roman"/>
          <w:b/>
        </w:rPr>
        <w:t>N</w:t>
      </w:r>
      <w:r w:rsidRPr="00C86318">
        <w:rPr>
          <w:rFonts w:ascii="Times New Roman" w:hAnsi="Times New Roman" w:cs="Times New Roman"/>
          <w:b/>
        </w:rPr>
        <w:t xml:space="preserve">B! </w:t>
      </w:r>
      <w:r w:rsidRPr="00C86318">
        <w:rPr>
          <w:rFonts w:ascii="Times New Roman" w:hAnsi="Times New Roman" w:cs="Times New Roman"/>
        </w:rPr>
        <w:t xml:space="preserve">Glukosebehandlingen fortsettes parallelt med </w:t>
      </w:r>
      <w:r w:rsidRPr="00C86318">
        <w:rPr>
          <w:rFonts w:ascii="Times New Roman" w:hAnsi="Times New Roman" w:cs="Times New Roman"/>
          <w:b/>
        </w:rPr>
        <w:t>3)</w:t>
      </w:r>
    </w:p>
    <w:p w:rsidR="00C86318" w:rsidRPr="00C86318" w:rsidP="00C86318" w14:paraId="76B4F11B" w14:textId="421983A2">
      <w:pPr>
        <w:spacing w:before="0" w:after="0"/>
        <w:rPr>
          <w:rFonts w:ascii="Times New Roman" w:hAnsi="Times New Roman" w:cs="Times New Roman"/>
          <w:b/>
        </w:rPr>
      </w:pPr>
      <w:r w:rsidRPr="00C86318">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simplePos x="0" y="0"/>
                <wp:positionH relativeFrom="column">
                  <wp:posOffset>-73025</wp:posOffset>
                </wp:positionH>
                <wp:positionV relativeFrom="paragraph">
                  <wp:posOffset>50165</wp:posOffset>
                </wp:positionV>
                <wp:extent cx="6035675" cy="843915"/>
                <wp:effectExtent l="8890" t="8255" r="13335" b="5080"/>
                <wp:wrapNone/>
                <wp:docPr id="1859790290" name="Rektangel 4" descr="Illustrativt"/>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35675" cy="843915"/>
                        </a:xfrm>
                        <a:prstGeom prst="rect">
                          <a:avLst/>
                        </a:prstGeom>
                        <a:noFill/>
                        <a:ln w="6350">
                          <a:solidFill>
                            <a:srgbClr val="042433"/>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wps:wsp>
                  </a:graphicData>
                </a:graphic>
                <wp14:sizeRelH relativeFrom="page">
                  <wp14:pctWidth>0</wp14:pctWidth>
                </wp14:sizeRelH>
                <wp14:sizeRelV relativeFrom="margin">
                  <wp14:pctHeight>0</wp14:pctHeight>
                </wp14:sizeRelV>
              </wp:anchor>
            </w:drawing>
          </mc:Choice>
          <mc:Fallback>
            <w:pict>
              <v:rect id="Rektangel 4" o:spid="_x0000_s1028" alt="Illustrativt" style="width:475.25pt;height:66.45pt;margin-top:3.95pt;margin-left:-5.75pt;mso-height-percent:0;mso-height-relative:margin;mso-width-percent:0;mso-width-relative:page;mso-wrap-distance-bottom:0;mso-wrap-distance-left:9pt;mso-wrap-distance-right:9pt;mso-wrap-distance-top:0;mso-wrap-style:square;position:absolute;visibility:visible;v-text-anchor:middle;z-index:251665408" filled="f" strokecolor="#042433" strokeweight="0.5pt"/>
            </w:pict>
          </mc:Fallback>
        </mc:AlternateContent>
      </w:r>
    </w:p>
    <w:p w:rsidR="00C86318" w:rsidRPr="00EC21FD" w:rsidP="00EC21FD" w14:paraId="16928D1A" w14:textId="7F54BCA7">
      <w:pPr>
        <w:pStyle w:val="ListParagraph"/>
        <w:numPr>
          <w:ilvl w:val="0"/>
          <w:numId w:val="49"/>
        </w:numPr>
        <w:spacing w:before="0" w:after="0"/>
        <w:ind w:left="426"/>
        <w:rPr>
          <w:rFonts w:ascii="Times New Roman" w:hAnsi="Times New Roman" w:cs="Times New Roman"/>
        </w:rPr>
      </w:pPr>
      <w:r w:rsidRPr="00EC21FD">
        <w:rPr>
          <w:rFonts w:ascii="Times New Roman" w:hAnsi="Times New Roman" w:cs="Times New Roman"/>
        </w:rPr>
        <w:t>Monitorer elektrolytter. Hyponatremi?</w:t>
      </w:r>
    </w:p>
    <w:p w:rsidR="00C86318" w:rsidRPr="00C86318" w:rsidP="00EC21FD" w14:paraId="0F3BCE54" w14:textId="2B56D3F1">
      <w:pPr>
        <w:spacing w:before="0" w:after="0"/>
        <w:ind w:firstLine="426"/>
        <w:rPr>
          <w:rFonts w:ascii="Times New Roman" w:hAnsi="Times New Roman" w:cs="Times New Roman"/>
        </w:rPr>
      </w:pPr>
      <w:r w:rsidRPr="00C86318">
        <w:rPr>
          <w:rFonts w:ascii="Times New Roman" w:hAnsi="Times New Roman" w:cs="Times New Roman"/>
        </w:rPr>
        <w:t>Utløsende årsak? Minsk stress!</w:t>
      </w:r>
    </w:p>
    <w:p w:rsidR="00C86318" w:rsidRPr="00C86318" w:rsidP="00EC21FD" w14:paraId="03A7C06C" w14:textId="2CB13BFF">
      <w:pPr>
        <w:spacing w:before="240" w:after="0"/>
        <w:ind w:firstLine="425"/>
        <w:rPr>
          <w:rFonts w:ascii="Times New Roman" w:hAnsi="Times New Roman" w:cs="Times New Roman"/>
        </w:rPr>
      </w:pPr>
      <w:r w:rsidRPr="00C86318">
        <w:rPr>
          <w:rFonts w:ascii="Times New Roman" w:hAnsi="Times New Roman" w:cs="Times New Roman"/>
        </w:rPr>
        <w:t>Obs! Blodsukker ved glukoseinfusjon</w:t>
      </w:r>
    </w:p>
    <w:p w:rsidR="00C86318" w:rsidRPr="00C86318" w:rsidP="00C86318" w14:paraId="36F842A9" w14:textId="77777777">
      <w:pPr>
        <w:keepNext/>
        <w:spacing w:before="0" w:after="0"/>
        <w:jc w:val="center"/>
        <w:outlineLvl w:val="1"/>
        <w:rPr>
          <w:rFonts w:ascii="Times New Roman" w:hAnsi="Times New Roman" w:cs="Times New Roman"/>
          <w:b/>
          <w:sz w:val="28"/>
          <w:szCs w:val="20"/>
        </w:rPr>
      </w:pPr>
      <w:r w:rsidRPr="00C86318">
        <w:rPr>
          <w:rFonts w:ascii="Times New Roman" w:hAnsi="Times New Roman" w:cs="Times New Roman"/>
          <w:b/>
          <w:sz w:val="28"/>
          <w:szCs w:val="20"/>
        </w:rPr>
        <w:t>LES DETALJERT PROSEDYRE UNDER</w:t>
      </w:r>
    </w:p>
    <w:p w:rsidR="00C86318" w:rsidRPr="00C86318" w:rsidP="00C86318" w14:paraId="6D2210FA" w14:textId="77777777">
      <w:pPr>
        <w:keepNext/>
        <w:spacing w:before="480" w:after="0"/>
        <w:jc w:val="center"/>
        <w:outlineLvl w:val="0"/>
        <w:rPr>
          <w:rFonts w:ascii="Times New Roman" w:hAnsi="Times New Roman" w:cs="Times New Roman"/>
          <w:b/>
          <w:snapToGrid w:val="0"/>
          <w:sz w:val="38"/>
          <w:szCs w:val="38"/>
        </w:rPr>
      </w:pPr>
      <w:r w:rsidRPr="00C86318">
        <w:rPr>
          <w:rFonts w:ascii="Times New Roman" w:hAnsi="Times New Roman" w:cs="Times New Roman"/>
          <w:b/>
          <w:snapToGrid w:val="0"/>
          <w:sz w:val="38"/>
          <w:szCs w:val="38"/>
        </w:rPr>
        <w:t>Detaljert prosedyre – sykehusbehandling av akutte porfyrianfall</w:t>
      </w:r>
    </w:p>
    <w:p w:rsidR="00C86318" w:rsidRPr="00C86318" w:rsidP="00C86318" w14:paraId="4EF240E1" w14:textId="77777777">
      <w:pPr>
        <w:spacing w:before="0" w:after="0"/>
        <w:outlineLvl w:val="0"/>
        <w:rPr>
          <w:rFonts w:ascii="Times New Roman" w:hAnsi="Times New Roman" w:cs="Times New Roman"/>
          <w:szCs w:val="20"/>
        </w:rPr>
      </w:pPr>
    </w:p>
    <w:p w:rsidR="00C86318" w:rsidRPr="00C86318" w:rsidP="00C86318" w14:paraId="3EAFCD88" w14:textId="77777777">
      <w:pPr>
        <w:spacing w:before="0" w:after="0"/>
        <w:rPr>
          <w:rFonts w:ascii="Times New Roman" w:hAnsi="Times New Roman" w:cs="Times New Roman"/>
          <w:snapToGrid w:val="0"/>
          <w:sz w:val="20"/>
          <w:szCs w:val="20"/>
        </w:rPr>
      </w:pPr>
      <w:r w:rsidRPr="00C86318">
        <w:rPr>
          <w:rFonts w:ascii="Times New Roman" w:hAnsi="Times New Roman" w:cs="Times New Roman"/>
          <w:b/>
          <w:sz w:val="20"/>
          <w:szCs w:val="20"/>
        </w:rPr>
        <w:t xml:space="preserve">Bakgrunn: </w:t>
      </w:r>
      <w:r w:rsidRPr="00C86318">
        <w:rPr>
          <w:rFonts w:ascii="Times New Roman" w:hAnsi="Times New Roman" w:cs="Times New Roman"/>
          <w:sz w:val="20"/>
          <w:szCs w:val="20"/>
        </w:rPr>
        <w:t>Akutt porfyrisykdom skyldes enzymatisk defekt i hemebiosyntesen og er genetisk betinget. Klinikken er i form av a</w:t>
      </w:r>
      <w:r w:rsidRPr="00C86318">
        <w:rPr>
          <w:rFonts w:ascii="Times New Roman" w:hAnsi="Times New Roman" w:cs="Times New Roman"/>
          <w:snapToGrid w:val="0"/>
          <w:sz w:val="20"/>
          <w:szCs w:val="20"/>
        </w:rPr>
        <w:t>nfall med et sammensatt symptomkompleks: Svært hyppig forekommende er sterke magesmerter (hodepine eller ryggsmerter kan dominere hos enkelte). I tillegg kommer et varierende utvalg av symptomer som kvalme, oppkast, obstipasjon, hypertensjon og takykardi. En del pasienter får også nevrologiske utfall, både sensoriske og motoriske, samt psykiatriske symptomer; fra angst/depresjon til hallusinasjon</w:t>
      </w:r>
      <w:r w:rsidRPr="00C86318">
        <w:rPr>
          <w:rFonts w:ascii="Times New Roman" w:hAnsi="Times New Roman" w:cs="Times New Roman"/>
          <w:snapToGrid w:val="0"/>
          <w:sz w:val="20"/>
          <w:szCs w:val="20"/>
        </w:rPr>
        <w:t xml:space="preserve">er. </w:t>
      </w:r>
      <w:r w:rsidRPr="00C86318">
        <w:rPr>
          <w:rFonts w:ascii="Times New Roman" w:hAnsi="Times New Roman" w:cs="Times New Roman"/>
          <w:sz w:val="20"/>
          <w:szCs w:val="20"/>
        </w:rPr>
        <w:t xml:space="preserve">Både arv og ytre påvirkning har betydning for utvikling av klinisk aktiv sykdom. </w:t>
      </w:r>
      <w:r w:rsidRPr="00C86318">
        <w:rPr>
          <w:rFonts w:ascii="Times New Roman" w:hAnsi="Times New Roman" w:cs="Times New Roman"/>
          <w:snapToGrid w:val="0"/>
          <w:sz w:val="20"/>
          <w:szCs w:val="20"/>
        </w:rPr>
        <w:t xml:space="preserve">Et anfall kan utløses av psykisk stress, en rekke vanlige legemidler, infeksjon, lavt karbohydratinntak (faste/slanking). Mer informasjon om porfyri: </w:t>
      </w:r>
      <w:hyperlink r:id="rId12" w:history="1">
        <w:r w:rsidRPr="00C86318">
          <w:rPr>
            <w:rFonts w:ascii="Times New Roman" w:hAnsi="Times New Roman" w:cs="Times New Roman"/>
            <w:color w:val="0000FF"/>
            <w:sz w:val="20"/>
            <w:szCs w:val="20"/>
            <w:u w:val="single"/>
          </w:rPr>
          <w:t>napos.no</w:t>
        </w:r>
      </w:hyperlink>
    </w:p>
    <w:p w:rsidR="00C86318" w:rsidRPr="00C86318" w:rsidP="00C86318" w14:paraId="796CB36B" w14:textId="77777777">
      <w:pPr>
        <w:spacing w:before="0" w:after="0"/>
        <w:rPr>
          <w:rFonts w:ascii="Courier New" w:hAnsi="Courier New" w:cs="Times New Roman"/>
          <w:snapToGrid w:val="0"/>
          <w:szCs w:val="20"/>
        </w:rPr>
      </w:pPr>
    </w:p>
    <w:p w:rsidR="00C86318" w:rsidRPr="00C86318" w:rsidP="00C86318" w14:paraId="5A2C07FB" w14:textId="77777777">
      <w:pPr>
        <w:spacing w:before="0" w:after="0"/>
        <w:rPr>
          <w:rFonts w:ascii="Times New Roman" w:hAnsi="Times New Roman" w:cs="Times New Roman"/>
          <w:szCs w:val="20"/>
        </w:rPr>
      </w:pPr>
      <w:r w:rsidRPr="00C86318">
        <w:rPr>
          <w:rFonts w:ascii="Times New Roman" w:hAnsi="Times New Roman" w:cs="Times New Roman"/>
          <w:b/>
          <w:szCs w:val="20"/>
        </w:rPr>
        <w:t xml:space="preserve">Sykehusbehandling: </w:t>
      </w:r>
      <w:r w:rsidRPr="00C86318">
        <w:rPr>
          <w:rFonts w:ascii="Times New Roman" w:hAnsi="Times New Roman" w:cs="Times New Roman"/>
          <w:szCs w:val="20"/>
        </w:rPr>
        <w:t>Et akutt porfyrianfall som krever innleggelse på sykehus, kan være en alvorlig klinisk situasjon som behandlingsmessig stiller krav til gode kunnskaper og fortløpende monitorering. Uten korrekt behandling har tilstanden økt mortalitet også i dag. Pasientene bør følges nøye av erfaren indremedisiner i samråd med kirurg og nevrolog. Ved behov kan en kontakte lege ved Nasjonalt senter for sjeldne diagnoser, enhet porfyrisykdommer (Napos) for faglig rådgivning.</w:t>
      </w:r>
    </w:p>
    <w:p w:rsidR="00C86318" w:rsidRPr="00C86318" w:rsidP="00C86318" w14:paraId="663B089D" w14:textId="77777777">
      <w:pPr>
        <w:spacing w:before="60" w:after="60"/>
        <w:outlineLvl w:val="5"/>
        <w:rPr>
          <w:rFonts w:ascii="Times New Roman" w:hAnsi="Times New Roman" w:cs="Times New Roman"/>
          <w:b/>
          <w:bCs/>
          <w:szCs w:val="22"/>
        </w:rPr>
      </w:pPr>
      <w:r w:rsidRPr="00C86318">
        <w:rPr>
          <w:rFonts w:ascii="Times New Roman" w:hAnsi="Times New Roman" w:cs="Times New Roman"/>
          <w:b/>
          <w:bCs/>
          <w:szCs w:val="22"/>
        </w:rPr>
        <w:t xml:space="preserve">Behov for monitorering: </w:t>
      </w:r>
      <w:r w:rsidRPr="00C86318">
        <w:rPr>
          <w:rFonts w:ascii="Times New Roman" w:hAnsi="Times New Roman" w:cs="Times New Roman"/>
          <w:bCs/>
          <w:szCs w:val="22"/>
        </w:rPr>
        <w:t>Et akutt porfyrianfall krever intensiv-medisinsk monitorering. Det anbefales å følge blodtrykk, puls, muskelstyrke (pareseutvikling?) og psyke relativt hyppig. Ved kardiovaskulær instabilitet er EKG-monitorering indisert. Behandling med høye doser av opiatanalgetika krever dessuten adekvat monitorering av respirasjonen. Av laboratorieparametre bør spesielt serum natrium, kalium og magnesium kontrolleres. Hyppigheten av kontroll avhenger av pasientens kliniske tilstand og om det er påvist elektrolyttforstyrr</w:t>
      </w:r>
      <w:r w:rsidRPr="00C86318">
        <w:rPr>
          <w:rFonts w:ascii="Times New Roman" w:hAnsi="Times New Roman" w:cs="Times New Roman"/>
          <w:bCs/>
          <w:szCs w:val="22"/>
        </w:rPr>
        <w:t xml:space="preserve">elser som krever behandlingsmessig korrigering. </w:t>
      </w:r>
    </w:p>
    <w:p w:rsidR="00C86318" w:rsidRPr="00C86318" w:rsidP="00C86318" w14:paraId="01C6667A" w14:textId="77777777">
      <w:pPr>
        <w:spacing w:before="0" w:after="0"/>
        <w:rPr>
          <w:rFonts w:ascii="Times New Roman" w:hAnsi="Times New Roman" w:cs="Times New Roman"/>
          <w:szCs w:val="20"/>
        </w:rPr>
      </w:pPr>
    </w:p>
    <w:p w:rsidR="00C86318" w:rsidRPr="00C86318" w:rsidP="00C86318" w14:paraId="3355F7F7" w14:textId="77777777">
      <w:pPr>
        <w:keepNext/>
        <w:spacing w:before="0" w:after="0"/>
        <w:jc w:val="both"/>
        <w:outlineLvl w:val="1"/>
        <w:rPr>
          <w:rFonts w:ascii="Times New Roman" w:hAnsi="Times New Roman" w:cs="Times New Roman"/>
          <w:b/>
          <w:sz w:val="32"/>
          <w:szCs w:val="20"/>
        </w:rPr>
      </w:pPr>
      <w:r w:rsidRPr="00C86318">
        <w:rPr>
          <w:rFonts w:ascii="Times New Roman" w:hAnsi="Times New Roman" w:cs="Times New Roman"/>
          <w:b/>
          <w:sz w:val="32"/>
          <w:szCs w:val="20"/>
        </w:rPr>
        <w:t>BEHANDLING</w:t>
      </w:r>
    </w:p>
    <w:p w:rsidR="00C86318" w:rsidRPr="00C86318" w:rsidP="00C86318" w14:paraId="04168791" w14:textId="77777777">
      <w:pPr>
        <w:spacing w:before="0" w:after="0"/>
        <w:rPr>
          <w:rFonts w:ascii="Times New Roman" w:hAnsi="Times New Roman" w:cs="Times New Roman"/>
          <w:b/>
          <w:szCs w:val="20"/>
        </w:rPr>
      </w:pPr>
      <w:r w:rsidRPr="00C86318">
        <w:rPr>
          <w:rFonts w:ascii="Times New Roman" w:hAnsi="Times New Roman" w:cs="Times New Roman"/>
          <w:b/>
          <w:szCs w:val="20"/>
        </w:rPr>
        <w:t>Behandlingen av et akutt porfyrianfall består av eliminering av utløsende faktorer, smertebehandling, behandling av forstyrrelsen i hemebiosyntesen ved hjelp av glukose intravenøst og eventuelt med det spesifikke legemidlet Normosang</w:t>
      </w:r>
      <w:r w:rsidRPr="00C86318">
        <w:rPr>
          <w:rFonts w:ascii="Symbol" w:hAnsi="Symbol" w:cs="Times New Roman"/>
          <w:sz w:val="28"/>
          <w:szCs w:val="20"/>
          <w:vertAlign w:val="superscript"/>
        </w:rPr>
        <w:sym w:font="Symbol" w:char="F0E2"/>
      </w:r>
      <w:r w:rsidRPr="00C86318">
        <w:rPr>
          <w:rFonts w:ascii="Times New Roman" w:hAnsi="Times New Roman" w:cs="Times New Roman"/>
          <w:b/>
          <w:szCs w:val="20"/>
        </w:rPr>
        <w:t xml:space="preserve"> samt behandling av andre symptomer og forstyrrelser.</w:t>
      </w:r>
    </w:p>
    <w:p w:rsidR="00C86318" w:rsidRPr="00C86318" w:rsidP="00C86318" w14:paraId="6F5B7F11" w14:textId="77777777">
      <w:pPr>
        <w:spacing w:before="0" w:after="0"/>
        <w:rPr>
          <w:rFonts w:ascii="Times New Roman" w:hAnsi="Times New Roman" w:cs="Times New Roman"/>
          <w:b/>
          <w:szCs w:val="20"/>
        </w:rPr>
      </w:pPr>
    </w:p>
    <w:p w:rsidR="00C86318" w:rsidRPr="00C86318" w:rsidP="00C86318" w14:paraId="2426B4A0" w14:textId="77777777">
      <w:pPr>
        <w:keepNext/>
        <w:spacing w:before="0" w:after="0"/>
        <w:outlineLvl w:val="1"/>
        <w:rPr>
          <w:rFonts w:ascii="Times New Roman" w:hAnsi="Times New Roman" w:cs="Times New Roman"/>
          <w:b/>
          <w:sz w:val="28"/>
          <w:szCs w:val="20"/>
        </w:rPr>
      </w:pPr>
      <w:r w:rsidRPr="00C86318">
        <w:rPr>
          <w:rFonts w:ascii="Times New Roman" w:hAnsi="Times New Roman" w:cs="Times New Roman"/>
          <w:b/>
          <w:sz w:val="28"/>
          <w:szCs w:val="20"/>
        </w:rPr>
        <w:t xml:space="preserve">Eliminering av utløsende faktorer </w:t>
      </w:r>
    </w:p>
    <w:p w:rsidR="00C86318" w:rsidRPr="00C86318" w:rsidP="00C86318" w14:paraId="7BEC24EE" w14:textId="77777777">
      <w:pPr>
        <w:spacing w:before="0" w:after="0"/>
        <w:rPr>
          <w:rFonts w:ascii="Times New Roman" w:hAnsi="Times New Roman" w:cs="Times New Roman"/>
          <w:szCs w:val="20"/>
        </w:rPr>
      </w:pPr>
      <w:r w:rsidRPr="00C86318">
        <w:rPr>
          <w:rFonts w:ascii="Times New Roman" w:hAnsi="Times New Roman" w:cs="Times New Roman"/>
          <w:szCs w:val="20"/>
        </w:rPr>
        <w:t>Det er viktig å eliminere eller så langt som mulig begrense faktorer som kan ha virket utløsende på anfallet. Sjekk om anvendte legemidler er trygge mht porfyrisykdommen (se under om legemidler). Infeksjon behandles med trygge legemidler. Det er svært viktig med umiddelbar korreksjon av et manglende inntak av næring og særlig karbohydrater hos slike pasienter (siden økt fettforbrenning er meget ugunstig hos slike pasienter p.g.a. forstyrrelsene i hemesyntesen).</w:t>
      </w:r>
    </w:p>
    <w:p w:rsidR="00C86318" w:rsidRPr="00C86318" w:rsidP="00C86318" w14:paraId="2D51B141" w14:textId="77777777">
      <w:pPr>
        <w:spacing w:before="0" w:after="0"/>
        <w:rPr>
          <w:rFonts w:ascii="Times New Roman" w:hAnsi="Times New Roman" w:cs="Times New Roman"/>
          <w:szCs w:val="20"/>
        </w:rPr>
      </w:pPr>
    </w:p>
    <w:p w:rsidR="00C86318" w:rsidRPr="00C86318" w:rsidP="00C86318" w14:paraId="3209C895" w14:textId="77777777">
      <w:pPr>
        <w:keepNext/>
        <w:spacing w:before="0" w:after="0"/>
        <w:outlineLvl w:val="1"/>
        <w:rPr>
          <w:rFonts w:ascii="Times New Roman" w:hAnsi="Times New Roman" w:cs="Times New Roman"/>
          <w:b/>
          <w:sz w:val="28"/>
          <w:szCs w:val="20"/>
        </w:rPr>
      </w:pPr>
      <w:r w:rsidRPr="00C86318">
        <w:rPr>
          <w:rFonts w:ascii="Times New Roman" w:hAnsi="Times New Roman" w:cs="Times New Roman"/>
          <w:b/>
          <w:sz w:val="28"/>
          <w:szCs w:val="20"/>
        </w:rPr>
        <w:t>Generelt om bruk av legemidler ved akutte porfyrisykdommer</w:t>
      </w:r>
    </w:p>
    <w:p w:rsidR="00C86318" w:rsidP="00C86318" w14:paraId="3C60B7EC" w14:textId="5F42CCAB">
      <w:pPr>
        <w:spacing w:before="0" w:after="0"/>
        <w:rPr>
          <w:rFonts w:ascii="Times New Roman" w:hAnsi="Times New Roman" w:cs="Times New Roman"/>
          <w:color w:val="000000"/>
          <w:szCs w:val="20"/>
        </w:rPr>
      </w:pPr>
      <w:r w:rsidRPr="00C86318">
        <w:rPr>
          <w:rFonts w:ascii="Times New Roman" w:hAnsi="Times New Roman" w:cs="Times New Roman"/>
          <w:color w:val="000000"/>
          <w:szCs w:val="20"/>
        </w:rPr>
        <w:t>Høyst vanlige legemidler kan utløse et alvorlig anfall hos personer med disposisjon for akutt porfyri</w:t>
      </w:r>
      <w:r>
        <w:rPr>
          <w:rFonts w:ascii="Times New Roman" w:hAnsi="Times New Roman" w:cs="Times New Roman"/>
          <w:color w:val="000000"/>
          <w:szCs w:val="20"/>
        </w:rPr>
        <w:t xml:space="preserve"> </w:t>
      </w:r>
      <w:r w:rsidRPr="00C86318">
        <w:rPr>
          <w:rFonts w:ascii="Times New Roman" w:hAnsi="Times New Roman" w:cs="Times New Roman"/>
          <w:color w:val="000000"/>
          <w:szCs w:val="20"/>
        </w:rPr>
        <w:t xml:space="preserve">(Felleskatalog-teksten mangler opplysninger om at en lang rekke legemidler er kontraindiserte ved akutte porfyrisykdommer). </w:t>
      </w:r>
    </w:p>
    <w:p w:rsidR="00C86318" w:rsidRPr="00C86318" w:rsidP="00C86318" w14:paraId="657CB0A0" w14:textId="76C4005D">
      <w:pPr>
        <w:spacing w:before="0" w:after="0"/>
        <w:rPr>
          <w:rFonts w:ascii="Times New Roman" w:hAnsi="Times New Roman" w:cs="Times New Roman"/>
          <w:color w:val="000000"/>
          <w:szCs w:val="20"/>
        </w:rPr>
      </w:pPr>
      <w:r>
        <w:rPr>
          <w:rFonts w:ascii="Times New Roman" w:hAnsi="Times New Roman" w:cs="Times New Roman"/>
          <w:szCs w:val="20"/>
        </w:rPr>
        <w:br/>
      </w:r>
      <w:r w:rsidRPr="00C86318">
        <w:rPr>
          <w:rFonts w:ascii="Times New Roman" w:hAnsi="Times New Roman" w:cs="Times New Roman"/>
          <w:szCs w:val="20"/>
        </w:rPr>
        <w:t xml:space="preserve">Alle legemidler som har vært brukt like før innleggelse og legemidler som det er aktuelt å bruke under videre behandling, må derfor nøye kontrolleres ved bruk av en spesialressurs for </w:t>
      </w:r>
      <w:r w:rsidRPr="00C86318">
        <w:rPr>
          <w:rFonts w:ascii="Times New Roman" w:hAnsi="Times New Roman" w:cs="Times New Roman"/>
          <w:szCs w:val="20"/>
        </w:rPr>
        <w:t>legemidler og porfyri. Bruk medikamentdatabasen for porfyri (lenke finnes på</w:t>
      </w:r>
      <w:r w:rsidRPr="00C86318">
        <w:rPr>
          <w:rFonts w:ascii="Times New Roman" w:hAnsi="Times New Roman" w:cs="Times New Roman"/>
          <w:sz w:val="20"/>
          <w:szCs w:val="20"/>
        </w:rPr>
        <w:t xml:space="preserve"> </w:t>
      </w:r>
      <w:hyperlink r:id="rId12" w:history="1">
        <w:r w:rsidRPr="00C86318">
          <w:rPr>
            <w:rFonts w:ascii="Times New Roman" w:hAnsi="Times New Roman" w:cs="Times New Roman"/>
            <w:color w:val="0000FF"/>
            <w:szCs w:val="20"/>
            <w:u w:val="single"/>
          </w:rPr>
          <w:t>napos.no</w:t>
        </w:r>
      </w:hyperlink>
      <w:r w:rsidRPr="00C86318">
        <w:rPr>
          <w:rFonts w:ascii="Times New Roman" w:hAnsi="Times New Roman" w:cs="Times New Roman"/>
          <w:sz w:val="20"/>
          <w:szCs w:val="20"/>
        </w:rPr>
        <w:t>)</w:t>
      </w:r>
      <w:r w:rsidRPr="00C86318">
        <w:rPr>
          <w:rFonts w:ascii="Times New Roman" w:hAnsi="Times New Roman" w:cs="Times New Roman"/>
          <w:szCs w:val="20"/>
        </w:rPr>
        <w:t xml:space="preserve"> som gir en trygghetsvurdering av så å si alle legemidler på det norske markedet med hensyn til akutt porfyrisykdom.</w:t>
      </w:r>
    </w:p>
    <w:p w:rsidR="00C86318" w:rsidRPr="00C86318" w:rsidP="00C86318" w14:paraId="7B90C66F" w14:textId="77777777">
      <w:pPr>
        <w:spacing w:before="0" w:after="0"/>
        <w:rPr>
          <w:rFonts w:ascii="Times New Roman" w:hAnsi="Times New Roman" w:cs="Times New Roman"/>
          <w:b/>
          <w:sz w:val="28"/>
          <w:szCs w:val="20"/>
        </w:rPr>
      </w:pPr>
    </w:p>
    <w:p w:rsidR="00C86318" w:rsidRPr="00C86318" w:rsidP="00C86318" w14:paraId="7C198822" w14:textId="13D6C449">
      <w:pPr>
        <w:keepNext/>
        <w:spacing w:before="0" w:after="0"/>
        <w:outlineLvl w:val="1"/>
        <w:rPr>
          <w:rFonts w:ascii="Times New Roman" w:hAnsi="Times New Roman" w:cs="Times New Roman"/>
          <w:b/>
          <w:sz w:val="28"/>
          <w:szCs w:val="20"/>
        </w:rPr>
      </w:pPr>
      <w:r>
        <w:rPr>
          <w:rFonts w:ascii="Times New Roman" w:hAnsi="Times New Roman" w:cs="Times New Roman"/>
          <w:b/>
          <w:sz w:val="28"/>
          <w:szCs w:val="20"/>
        </w:rPr>
        <w:t>B</w:t>
      </w:r>
      <w:r w:rsidRPr="00C86318">
        <w:rPr>
          <w:rFonts w:ascii="Times New Roman" w:hAnsi="Times New Roman" w:cs="Times New Roman"/>
          <w:b/>
          <w:sz w:val="28"/>
          <w:szCs w:val="20"/>
        </w:rPr>
        <w:t>ehandling for å påvirke forstyrrelsen i hemebiosyntesen</w:t>
      </w:r>
    </w:p>
    <w:p w:rsidR="00C86318" w:rsidRPr="00C86318" w:rsidP="00C86318" w14:paraId="7A886B45" w14:textId="77777777">
      <w:pPr>
        <w:spacing w:before="0" w:after="0"/>
        <w:rPr>
          <w:rFonts w:ascii="Times New Roman" w:hAnsi="Times New Roman" w:cs="Times New Roman"/>
          <w:szCs w:val="20"/>
        </w:rPr>
      </w:pPr>
      <w:r w:rsidRPr="00C86318">
        <w:rPr>
          <w:rFonts w:ascii="Times New Roman" w:hAnsi="Times New Roman" w:cs="Times New Roman"/>
          <w:szCs w:val="20"/>
        </w:rPr>
        <w:t>Behandling med glukose intravenøst i relativt store daglige mengder og eventuelt tillegg av Normosang</w:t>
      </w:r>
      <w:r w:rsidRPr="00C86318">
        <w:rPr>
          <w:rFonts w:ascii="Times New Roman" w:hAnsi="Times New Roman" w:cs="Times New Roman"/>
          <w:b/>
          <w:szCs w:val="20"/>
        </w:rPr>
        <w:t xml:space="preserve"> </w:t>
      </w:r>
      <w:r w:rsidRPr="00C86318">
        <w:rPr>
          <w:rFonts w:ascii="Symbol" w:hAnsi="Symbol" w:cs="Times New Roman"/>
          <w:szCs w:val="20"/>
          <w:vertAlign w:val="superscript"/>
        </w:rPr>
        <w:sym w:font="Symbol" w:char="F0E2"/>
      </w:r>
      <w:r w:rsidRPr="00C86318">
        <w:rPr>
          <w:rFonts w:ascii="Times New Roman" w:hAnsi="Times New Roman" w:cs="Times New Roman"/>
          <w:sz w:val="28"/>
          <w:szCs w:val="20"/>
        </w:rPr>
        <w:t xml:space="preserve"> </w:t>
      </w:r>
      <w:r w:rsidRPr="00C86318">
        <w:rPr>
          <w:rFonts w:ascii="Times New Roman" w:hAnsi="Times New Roman" w:cs="Times New Roman"/>
          <w:szCs w:val="20"/>
        </w:rPr>
        <w:t>(heme arginat)</w:t>
      </w:r>
      <w:r w:rsidRPr="00C86318">
        <w:rPr>
          <w:rFonts w:ascii="Times New Roman" w:hAnsi="Times New Roman" w:cs="Times New Roman"/>
          <w:sz w:val="28"/>
          <w:szCs w:val="20"/>
        </w:rPr>
        <w:t xml:space="preserve"> </w:t>
      </w:r>
      <w:r w:rsidRPr="00C86318">
        <w:rPr>
          <w:rFonts w:ascii="Times New Roman" w:hAnsi="Times New Roman" w:cs="Times New Roman"/>
          <w:szCs w:val="20"/>
        </w:rPr>
        <w:t>brukes for å nedjustere den overbelastede hemebiosyntesen (som gir nevrotoksiske metabolitter som forårsaker symptomene).</w:t>
      </w:r>
    </w:p>
    <w:p w:rsidR="00C86318" w:rsidRPr="00C86318" w:rsidP="00C86318" w14:paraId="5E883E0F" w14:textId="77777777">
      <w:pPr>
        <w:spacing w:before="0" w:after="0"/>
        <w:rPr>
          <w:rFonts w:ascii="Times New Roman" w:hAnsi="Times New Roman" w:cs="Times New Roman"/>
          <w:szCs w:val="20"/>
        </w:rPr>
      </w:pPr>
      <w:r w:rsidRPr="00C86318">
        <w:rPr>
          <w:rFonts w:ascii="Times New Roman" w:hAnsi="Times New Roman" w:cs="Times New Roman"/>
          <w:szCs w:val="20"/>
        </w:rPr>
        <w:t xml:space="preserve">    </w:t>
      </w:r>
    </w:p>
    <w:p w:rsidR="00C86318" w:rsidRPr="00C86318" w:rsidP="00C86318" w14:paraId="2BC1B95D" w14:textId="77777777">
      <w:pPr>
        <w:spacing w:before="0" w:after="0"/>
        <w:outlineLvl w:val="0"/>
        <w:rPr>
          <w:rFonts w:ascii="Times New Roman" w:hAnsi="Times New Roman" w:cs="Times New Roman"/>
          <w:sz w:val="28"/>
          <w:szCs w:val="20"/>
        </w:rPr>
      </w:pPr>
      <w:r w:rsidRPr="00C86318">
        <w:rPr>
          <w:rFonts w:ascii="Times New Roman" w:hAnsi="Times New Roman" w:cs="Times New Roman"/>
          <w:b/>
          <w:i/>
          <w:sz w:val="28"/>
          <w:szCs w:val="20"/>
        </w:rPr>
        <w:t>Behandling med glukoseinfusjon</w:t>
      </w:r>
    </w:p>
    <w:p w:rsidR="00C86318" w:rsidRPr="00C86318" w:rsidP="00C86318" w14:paraId="41F0FE8D" w14:textId="77777777">
      <w:pPr>
        <w:spacing w:before="60" w:after="60"/>
        <w:outlineLvl w:val="5"/>
        <w:rPr>
          <w:rFonts w:ascii="Times New Roman" w:hAnsi="Times New Roman" w:cs="Times New Roman"/>
          <w:b/>
          <w:bCs/>
          <w:i/>
          <w:sz w:val="28"/>
          <w:szCs w:val="22"/>
        </w:rPr>
      </w:pPr>
      <w:r w:rsidRPr="00C86318">
        <w:rPr>
          <w:rFonts w:ascii="Times New Roman" w:hAnsi="Times New Roman" w:cs="Times New Roman"/>
          <w:b/>
          <w:bCs/>
          <w:szCs w:val="22"/>
        </w:rPr>
        <w:t>Indikasjon for behandling med glukose iv:</w:t>
      </w:r>
      <w:r w:rsidRPr="00C86318">
        <w:rPr>
          <w:rFonts w:ascii="Times New Roman" w:hAnsi="Times New Roman" w:cs="Times New Roman"/>
          <w:b/>
          <w:bCs/>
          <w:i/>
          <w:sz w:val="28"/>
          <w:szCs w:val="22"/>
        </w:rPr>
        <w:t xml:space="preserve"> </w:t>
      </w:r>
    </w:p>
    <w:p w:rsidR="00C86318" w:rsidRPr="00C86318" w:rsidP="00C86318" w14:paraId="556231ED" w14:textId="77777777">
      <w:pPr>
        <w:numPr>
          <w:ilvl w:val="0"/>
          <w:numId w:val="44"/>
        </w:numPr>
        <w:tabs>
          <w:tab w:val="num" w:pos="720"/>
        </w:tabs>
        <w:autoSpaceDE w:val="0"/>
        <w:autoSpaceDN w:val="0"/>
        <w:adjustRightInd w:val="0"/>
        <w:spacing w:before="0" w:after="0"/>
        <w:ind w:left="720"/>
        <w:rPr>
          <w:rFonts w:ascii="Times New Roman" w:hAnsi="Times New Roman" w:cs="Times New Roman"/>
          <w:szCs w:val="20"/>
        </w:rPr>
      </w:pPr>
      <w:r w:rsidRPr="00C86318">
        <w:rPr>
          <w:rFonts w:ascii="Times New Roman" w:hAnsi="Times New Roman" w:cs="Times New Roman"/>
          <w:szCs w:val="20"/>
        </w:rPr>
        <w:t>Alle pasienter som innlegges på sykehus p.g.a.</w:t>
      </w:r>
      <w:r w:rsidRPr="00C86318">
        <w:rPr>
          <w:rFonts w:ascii="Times New Roman" w:hAnsi="Times New Roman" w:cs="Times New Roman"/>
          <w:szCs w:val="20"/>
        </w:rPr>
        <w:t xml:space="preserve"> et akutt porfyrianfall, bør behandles med glukose intravenøst. Behandlingen skal fortsettes også når en velger å supplere med Normosang.</w:t>
      </w:r>
    </w:p>
    <w:p w:rsidR="00C86318" w:rsidRPr="00C86318" w:rsidP="00C86318" w14:paraId="33222E9C" w14:textId="77777777">
      <w:pPr>
        <w:numPr>
          <w:ilvl w:val="0"/>
          <w:numId w:val="44"/>
        </w:numPr>
        <w:tabs>
          <w:tab w:val="num" w:pos="720"/>
        </w:tabs>
        <w:autoSpaceDE w:val="0"/>
        <w:autoSpaceDN w:val="0"/>
        <w:adjustRightInd w:val="0"/>
        <w:spacing w:before="0" w:after="0"/>
        <w:ind w:left="720"/>
        <w:rPr>
          <w:rFonts w:ascii="Times New Roman" w:hAnsi="Times New Roman" w:cs="Times New Roman"/>
          <w:szCs w:val="20"/>
        </w:rPr>
      </w:pPr>
      <w:r w:rsidRPr="00C86318">
        <w:rPr>
          <w:rFonts w:ascii="Times New Roman" w:hAnsi="Times New Roman" w:cs="Times New Roman"/>
          <w:szCs w:val="20"/>
        </w:rPr>
        <w:t>Dersom en person med AIP har andre symptomer som ikke innbefatter sterke magesmerter, men som gjenkjennes som typiske symptomer som pleier å melde seg i forkant av kraftige anfall hos vedkommende person, kan det også være aktuelt å forsøke behandling med intravenøs glukose. Dette er i den hensikt å reversere utviklingen av et større anfall. Effekten av behandling gitt på denne indikasjonen er imidlertid lite dokumentert.</w:t>
      </w:r>
    </w:p>
    <w:p w:rsidR="00C86318" w:rsidRPr="00C86318" w:rsidP="00C86318" w14:paraId="4162E486" w14:textId="77777777">
      <w:pPr>
        <w:autoSpaceDE w:val="0"/>
        <w:autoSpaceDN w:val="0"/>
        <w:adjustRightInd w:val="0"/>
        <w:spacing w:before="0" w:after="0"/>
        <w:ind w:left="360"/>
        <w:rPr>
          <w:rFonts w:ascii="Times New Roman" w:hAnsi="Times New Roman" w:cs="Times New Roman"/>
          <w:szCs w:val="20"/>
        </w:rPr>
      </w:pPr>
      <w:r w:rsidRPr="00C86318">
        <w:rPr>
          <w:rFonts w:ascii="Times New Roman" w:hAnsi="Times New Roman" w:cs="Times New Roman"/>
          <w:szCs w:val="20"/>
        </w:rPr>
        <w:t xml:space="preserve"> </w:t>
      </w:r>
    </w:p>
    <w:p w:rsidR="00C86318" w:rsidRPr="00C86318" w:rsidP="00C86318" w14:paraId="09E5B7F5" w14:textId="77777777">
      <w:pPr>
        <w:autoSpaceDE w:val="0"/>
        <w:autoSpaceDN w:val="0"/>
        <w:adjustRightInd w:val="0"/>
        <w:spacing w:before="0" w:after="0"/>
        <w:rPr>
          <w:rFonts w:ascii="Times New Roman" w:hAnsi="Times New Roman" w:cs="Times New Roman"/>
          <w:szCs w:val="20"/>
        </w:rPr>
      </w:pPr>
      <w:r w:rsidRPr="00C86318">
        <w:rPr>
          <w:rFonts w:ascii="Times New Roman" w:hAnsi="Times New Roman" w:cs="Times New Roman"/>
          <w:b/>
          <w:szCs w:val="20"/>
        </w:rPr>
        <w:t xml:space="preserve">Dosering: </w:t>
      </w:r>
      <w:r w:rsidRPr="00C86318">
        <w:rPr>
          <w:rFonts w:ascii="Times New Roman" w:hAnsi="Times New Roman" w:cs="Times New Roman"/>
          <w:szCs w:val="20"/>
        </w:rPr>
        <w:t xml:space="preserve">En dose på 200- </w:t>
      </w:r>
      <w:smartTag w:uri="urn:schemas-microsoft-com:office:smarttags" w:element="metricconverter">
        <w:smartTagPr>
          <w:attr w:name="ProductID" w:val="300 g"/>
        </w:smartTagPr>
        <w:r w:rsidRPr="00C86318">
          <w:rPr>
            <w:rFonts w:ascii="Times New Roman" w:hAnsi="Times New Roman" w:cs="Times New Roman"/>
            <w:szCs w:val="20"/>
          </w:rPr>
          <w:t>300 g</w:t>
        </w:r>
      </w:smartTag>
      <w:r w:rsidRPr="00C86318">
        <w:rPr>
          <w:rFonts w:ascii="Times New Roman" w:hAnsi="Times New Roman" w:cs="Times New Roman"/>
          <w:szCs w:val="20"/>
        </w:rPr>
        <w:t xml:space="preserve"> /døgn anbefales gitt i.v. som kontinuerlig infusjon i form av 10 – 12%</w:t>
      </w:r>
      <w:r w:rsidRPr="00C86318">
        <w:rPr>
          <w:rFonts w:ascii="Times New Roman" w:hAnsi="Times New Roman" w:cs="Times New Roman"/>
          <w:b/>
          <w:szCs w:val="20"/>
        </w:rPr>
        <w:t xml:space="preserve"> </w:t>
      </w:r>
      <w:r w:rsidRPr="00C86318">
        <w:rPr>
          <w:rFonts w:ascii="Times New Roman" w:hAnsi="Times New Roman" w:cs="Times New Roman"/>
          <w:szCs w:val="20"/>
        </w:rPr>
        <w:t>glukoseløsning. Dette tilsvarer 2-</w:t>
      </w:r>
      <w:smartTag w:uri="urn:schemas-microsoft-com:office:smarttags" w:element="metricconverter">
        <w:smartTagPr>
          <w:attr w:name="ProductID" w:val="3 liter"/>
        </w:smartTagPr>
        <w:r w:rsidRPr="00C86318">
          <w:rPr>
            <w:rFonts w:ascii="Times New Roman" w:hAnsi="Times New Roman" w:cs="Times New Roman"/>
            <w:szCs w:val="20"/>
          </w:rPr>
          <w:t>3 liter</w:t>
        </w:r>
      </w:smartTag>
      <w:r w:rsidRPr="00C86318">
        <w:rPr>
          <w:rFonts w:ascii="Times New Roman" w:hAnsi="Times New Roman" w:cs="Times New Roman"/>
          <w:szCs w:val="20"/>
        </w:rPr>
        <w:t xml:space="preserve"> 10 % glukose i.v</w:t>
      </w:r>
      <w:r w:rsidRPr="00C86318">
        <w:rPr>
          <w:rFonts w:ascii="Times New Roman" w:hAnsi="Times New Roman" w:cs="Times New Roman"/>
          <w:szCs w:val="20"/>
        </w:rPr>
        <w:t xml:space="preserve">. per døgn. Den mengden glukose som gis intravenøst, skal fordeles relativt jevnt over døgnet.  </w:t>
      </w:r>
    </w:p>
    <w:p w:rsidR="00C86318" w:rsidRPr="00C86318" w:rsidP="00C86318" w14:paraId="4CCEEC39" w14:textId="77777777">
      <w:pPr>
        <w:autoSpaceDE w:val="0"/>
        <w:autoSpaceDN w:val="0"/>
        <w:adjustRightInd w:val="0"/>
        <w:spacing w:before="0" w:after="0"/>
        <w:rPr>
          <w:rFonts w:ascii="Times New Roman" w:hAnsi="Times New Roman" w:cs="Times New Roman"/>
          <w:szCs w:val="20"/>
        </w:rPr>
      </w:pPr>
    </w:p>
    <w:p w:rsidR="00C86318" w:rsidRPr="00C86318" w:rsidP="00C86318" w14:paraId="394925B8" w14:textId="77777777">
      <w:pPr>
        <w:autoSpaceDE w:val="0"/>
        <w:autoSpaceDN w:val="0"/>
        <w:adjustRightInd w:val="0"/>
        <w:spacing w:before="0" w:after="0"/>
        <w:rPr>
          <w:rFonts w:ascii="Times New Roman" w:hAnsi="Times New Roman" w:cs="Times New Roman"/>
          <w:b/>
          <w:szCs w:val="20"/>
        </w:rPr>
      </w:pPr>
      <w:r w:rsidRPr="00C86318">
        <w:rPr>
          <w:rFonts w:ascii="Times New Roman" w:hAnsi="Times New Roman" w:cs="Times New Roman"/>
          <w:b/>
          <w:szCs w:val="20"/>
        </w:rPr>
        <w:t xml:space="preserve">Venøs tilgang: </w:t>
      </w:r>
      <w:r w:rsidRPr="00C86318">
        <w:rPr>
          <w:rFonts w:ascii="Times New Roman" w:hAnsi="Times New Roman" w:cs="Times New Roman"/>
          <w:szCs w:val="20"/>
        </w:rPr>
        <w:t xml:space="preserve">Infusjon av konsentrerte glukoseløsninger over litt lengre tid krever tilgang til sentral vene for å unngå flebittdannelse perifert og et sentralvenøst kateter bør derfor ofte legges inn. Før sentralvenøs tilgang er etablert, kan man bruke en større perifer vene (f.eks. cubitalt) som i.v. tilgang. </w:t>
      </w:r>
      <w:r w:rsidRPr="00C86318">
        <w:rPr>
          <w:rFonts w:ascii="Times New Roman" w:hAnsi="Times New Roman" w:cs="Times New Roman"/>
          <w:b/>
          <w:szCs w:val="20"/>
        </w:rPr>
        <w:t xml:space="preserve"> </w:t>
      </w:r>
    </w:p>
    <w:p w:rsidR="00C86318" w:rsidRPr="00C86318" w:rsidP="00C86318" w14:paraId="4638C39C" w14:textId="77777777">
      <w:pPr>
        <w:autoSpaceDE w:val="0"/>
        <w:autoSpaceDN w:val="0"/>
        <w:adjustRightInd w:val="0"/>
        <w:spacing w:before="0" w:after="0"/>
        <w:rPr>
          <w:rFonts w:ascii="Times New Roman" w:hAnsi="Times New Roman" w:cs="Times New Roman"/>
          <w:b/>
          <w:szCs w:val="20"/>
        </w:rPr>
      </w:pPr>
    </w:p>
    <w:p w:rsidR="00C86318" w:rsidRPr="00C86318" w:rsidP="00C86318" w14:paraId="0AB50141" w14:textId="77777777">
      <w:pPr>
        <w:spacing w:before="60" w:after="60"/>
        <w:outlineLvl w:val="5"/>
        <w:rPr>
          <w:rFonts w:ascii="Times New Roman" w:hAnsi="Times New Roman" w:cs="Times New Roman"/>
          <w:b/>
          <w:bCs/>
          <w:szCs w:val="22"/>
        </w:rPr>
      </w:pPr>
      <w:r w:rsidRPr="00C86318">
        <w:rPr>
          <w:rFonts w:ascii="Times New Roman" w:hAnsi="Times New Roman" w:cs="Times New Roman"/>
          <w:b/>
          <w:bCs/>
          <w:szCs w:val="22"/>
        </w:rPr>
        <w:t>Tilsetning av elektrolytter og insulin. Behov for monitorering:</w:t>
      </w:r>
    </w:p>
    <w:p w:rsidR="00C86318" w:rsidRPr="00C86318" w:rsidP="00C86318" w14:paraId="5CFDDC53" w14:textId="77777777">
      <w:pPr>
        <w:numPr>
          <w:ilvl w:val="0"/>
          <w:numId w:val="45"/>
        </w:numPr>
        <w:autoSpaceDE w:val="0"/>
        <w:autoSpaceDN w:val="0"/>
        <w:adjustRightInd w:val="0"/>
        <w:spacing w:before="0" w:after="0"/>
        <w:rPr>
          <w:rFonts w:ascii="Times New Roman" w:hAnsi="Times New Roman" w:cs="Times New Roman"/>
          <w:szCs w:val="20"/>
        </w:rPr>
      </w:pPr>
      <w:r w:rsidRPr="00C86318">
        <w:rPr>
          <w:rFonts w:ascii="Times New Roman" w:hAnsi="Times New Roman" w:cs="Times New Roman"/>
          <w:szCs w:val="20"/>
        </w:rPr>
        <w:t>På grunn av fare for elektrolyttforstyrrelser (betydelig økt hyppighet av hyponatremi, hypokalemi og hypomagnesemi ved akutte porfyrianfall), bør glukoseløsningene tilsettes Na</w:t>
      </w:r>
      <w:r w:rsidRPr="00C86318">
        <w:rPr>
          <w:rFonts w:ascii="Times New Roman" w:hAnsi="Times New Roman" w:cs="Times New Roman"/>
          <w:szCs w:val="20"/>
          <w:vertAlign w:val="superscript"/>
        </w:rPr>
        <w:t>+</w:t>
      </w:r>
      <w:r w:rsidRPr="00C86318">
        <w:rPr>
          <w:rFonts w:ascii="Times New Roman" w:hAnsi="Times New Roman" w:cs="Times New Roman"/>
          <w:szCs w:val="20"/>
        </w:rPr>
        <w:t>, K</w:t>
      </w:r>
      <w:r w:rsidRPr="00C86318">
        <w:rPr>
          <w:rFonts w:ascii="Times New Roman" w:hAnsi="Times New Roman" w:cs="Times New Roman"/>
          <w:szCs w:val="20"/>
          <w:vertAlign w:val="superscript"/>
        </w:rPr>
        <w:t>+</w:t>
      </w:r>
      <w:r w:rsidRPr="00C86318">
        <w:rPr>
          <w:rFonts w:ascii="Times New Roman" w:hAnsi="Times New Roman" w:cs="Times New Roman"/>
          <w:szCs w:val="20"/>
        </w:rPr>
        <w:t xml:space="preserve"> og Mg</w:t>
      </w:r>
      <w:r w:rsidRPr="00C86318">
        <w:rPr>
          <w:rFonts w:ascii="Times New Roman" w:hAnsi="Times New Roman" w:cs="Times New Roman"/>
          <w:szCs w:val="20"/>
          <w:vertAlign w:val="superscript"/>
        </w:rPr>
        <w:t>+</w:t>
      </w:r>
      <w:r w:rsidRPr="00C86318">
        <w:rPr>
          <w:rFonts w:ascii="Times New Roman" w:hAnsi="Times New Roman" w:cs="Times New Roman"/>
          <w:szCs w:val="20"/>
        </w:rPr>
        <w:t xml:space="preserve"> (i utgangspunktet tilsvarende døgnbehovet og senere vurdert ut fra serum elektrolyttmålinger og behov). </w:t>
      </w:r>
    </w:p>
    <w:p w:rsidR="00C86318" w:rsidRPr="00C86318" w:rsidP="00C86318" w14:paraId="11FA4175" w14:textId="77777777">
      <w:pPr>
        <w:numPr>
          <w:ilvl w:val="0"/>
          <w:numId w:val="45"/>
        </w:numPr>
        <w:autoSpaceDE w:val="0"/>
        <w:autoSpaceDN w:val="0"/>
        <w:adjustRightInd w:val="0"/>
        <w:spacing w:before="0" w:after="0"/>
        <w:rPr>
          <w:rFonts w:ascii="Times New Roman" w:hAnsi="Times New Roman" w:cs="Times New Roman"/>
          <w:szCs w:val="20"/>
        </w:rPr>
      </w:pPr>
      <w:r w:rsidRPr="00C86318">
        <w:rPr>
          <w:rFonts w:ascii="Times New Roman" w:hAnsi="Times New Roman" w:cs="Times New Roman"/>
          <w:szCs w:val="20"/>
        </w:rPr>
        <w:t xml:space="preserve">Rent praktisk kan en bruke en glukose infusjonsløsning med ferdig tilsetning av elektrolytter tilpasset normalt basisbehov, f.eks.. </w:t>
      </w:r>
      <w:r w:rsidRPr="00C86318">
        <w:rPr>
          <w:rFonts w:ascii="Times New Roman" w:hAnsi="Times New Roman" w:cs="Times New Roman"/>
          <w:szCs w:val="20"/>
          <w:lang w:val="nn-NO"/>
        </w:rPr>
        <w:t>Glukosel med 10 % glukose (elektrolyttinnhold; Na</w:t>
      </w:r>
      <w:r w:rsidRPr="00C86318">
        <w:rPr>
          <w:rFonts w:ascii="Times New Roman" w:hAnsi="Times New Roman" w:cs="Times New Roman"/>
          <w:szCs w:val="20"/>
          <w:vertAlign w:val="superscript"/>
          <w:lang w:val="nn-NO"/>
        </w:rPr>
        <w:t>+</w:t>
      </w:r>
      <w:r w:rsidRPr="00C86318">
        <w:rPr>
          <w:rFonts w:ascii="Times New Roman" w:hAnsi="Times New Roman" w:cs="Times New Roman"/>
          <w:szCs w:val="20"/>
          <w:lang w:val="nn-NO"/>
        </w:rPr>
        <w:t xml:space="preserve"> 50 mmol/L, K</w:t>
      </w:r>
      <w:r w:rsidRPr="00C86318">
        <w:rPr>
          <w:rFonts w:ascii="Times New Roman" w:hAnsi="Times New Roman" w:cs="Times New Roman"/>
          <w:szCs w:val="20"/>
          <w:vertAlign w:val="superscript"/>
          <w:lang w:val="nn-NO"/>
        </w:rPr>
        <w:t>+</w:t>
      </w:r>
      <w:r w:rsidRPr="00C86318">
        <w:rPr>
          <w:rFonts w:ascii="Times New Roman" w:hAnsi="Times New Roman" w:cs="Times New Roman"/>
          <w:szCs w:val="20"/>
          <w:lang w:val="nn-NO"/>
        </w:rPr>
        <w:t xml:space="preserve"> 25 mmol/L, Mg</w:t>
      </w:r>
      <w:r w:rsidRPr="00C86318">
        <w:rPr>
          <w:rFonts w:ascii="Times New Roman" w:hAnsi="Times New Roman" w:cs="Times New Roman"/>
          <w:szCs w:val="20"/>
          <w:vertAlign w:val="superscript"/>
          <w:lang w:val="nn-NO"/>
        </w:rPr>
        <w:t>+</w:t>
      </w:r>
      <w:r w:rsidRPr="00C86318">
        <w:rPr>
          <w:rFonts w:ascii="Times New Roman" w:hAnsi="Times New Roman" w:cs="Times New Roman"/>
          <w:szCs w:val="20"/>
          <w:lang w:val="nn-NO"/>
        </w:rPr>
        <w:t xml:space="preserve"> 2,5 mmol/L, Cl</w:t>
      </w:r>
      <w:r w:rsidRPr="00C86318">
        <w:rPr>
          <w:rFonts w:ascii="Times New Roman" w:hAnsi="Times New Roman" w:cs="Times New Roman"/>
          <w:szCs w:val="20"/>
          <w:vertAlign w:val="superscript"/>
          <w:lang w:val="nn-NO"/>
        </w:rPr>
        <w:t>-</w:t>
      </w:r>
      <w:r w:rsidRPr="00C86318">
        <w:rPr>
          <w:rFonts w:ascii="Times New Roman" w:hAnsi="Times New Roman" w:cs="Times New Roman"/>
          <w:szCs w:val="20"/>
          <w:lang w:val="nn-NO"/>
        </w:rPr>
        <w:t xml:space="preserve"> 70 mmol/L). </w:t>
      </w:r>
      <w:r w:rsidRPr="00C86318">
        <w:rPr>
          <w:rFonts w:ascii="Times New Roman" w:hAnsi="Times New Roman" w:cs="Times New Roman"/>
          <w:szCs w:val="20"/>
          <w:lang w:val="nn-NO"/>
        </w:rPr>
        <w:br/>
      </w:r>
      <w:smartTag w:uri="urn:schemas-microsoft-com:office:smarttags" w:element="metricconverter">
        <w:smartTagPr>
          <w:attr w:name="ProductID" w:val="1 L"/>
        </w:smartTagPr>
        <w:r w:rsidRPr="00C86318">
          <w:rPr>
            <w:rFonts w:ascii="Times New Roman" w:hAnsi="Times New Roman" w:cs="Times New Roman"/>
            <w:szCs w:val="20"/>
          </w:rPr>
          <w:t>1 L</w:t>
        </w:r>
      </w:smartTag>
      <w:r w:rsidRPr="00C86318">
        <w:rPr>
          <w:rFonts w:ascii="Times New Roman" w:hAnsi="Times New Roman" w:cs="Times New Roman"/>
          <w:szCs w:val="20"/>
        </w:rPr>
        <w:t xml:space="preserve"> </w:t>
      </w:r>
      <w:r w:rsidRPr="00C86318">
        <w:rPr>
          <w:rFonts w:ascii="Times New Roman" w:hAnsi="Times New Roman" w:cs="Times New Roman"/>
          <w:szCs w:val="20"/>
        </w:rPr>
        <w:t>Glukosel bør infunderes over minst 4 timer.</w:t>
      </w:r>
    </w:p>
    <w:p w:rsidR="00C86318" w:rsidRPr="00C86318" w:rsidP="00C86318" w14:paraId="48ADEF29" w14:textId="77777777">
      <w:pPr>
        <w:numPr>
          <w:ilvl w:val="0"/>
          <w:numId w:val="45"/>
        </w:numPr>
        <w:autoSpaceDE w:val="0"/>
        <w:autoSpaceDN w:val="0"/>
        <w:adjustRightInd w:val="0"/>
        <w:spacing w:before="0" w:after="0"/>
        <w:rPr>
          <w:rFonts w:ascii="Times New Roman" w:hAnsi="Times New Roman" w:cs="Times New Roman"/>
          <w:szCs w:val="20"/>
        </w:rPr>
      </w:pPr>
      <w:r w:rsidRPr="00C86318">
        <w:rPr>
          <w:rFonts w:ascii="Times New Roman" w:hAnsi="Times New Roman" w:cs="Times New Roman"/>
          <w:szCs w:val="20"/>
        </w:rPr>
        <w:t xml:space="preserve">Hver liter 10% Glukoscel kan med fordel tilsettes 10 IE hurtigvirkende insulin (for å unngå hyperglykemi under infusjonsbehandlingen og dessuten hypoglykemi med ubehagelige symptomer som ellers kan opptre ved kortere stopp i glukoseinfusjonen). </w:t>
      </w:r>
    </w:p>
    <w:p w:rsidR="00C86318" w:rsidRPr="00C86318" w:rsidP="00C86318" w14:paraId="53BCC093" w14:textId="77777777">
      <w:pPr>
        <w:numPr>
          <w:ilvl w:val="0"/>
          <w:numId w:val="45"/>
        </w:numPr>
        <w:autoSpaceDE w:val="0"/>
        <w:autoSpaceDN w:val="0"/>
        <w:adjustRightInd w:val="0"/>
        <w:spacing w:before="0" w:after="0"/>
        <w:rPr>
          <w:rFonts w:ascii="Times New Roman" w:hAnsi="Times New Roman" w:cs="Times New Roman"/>
          <w:szCs w:val="20"/>
        </w:rPr>
      </w:pPr>
      <w:r w:rsidRPr="00C86318">
        <w:rPr>
          <w:rFonts w:ascii="Times New Roman" w:hAnsi="Times New Roman" w:cs="Times New Roman"/>
          <w:szCs w:val="20"/>
        </w:rPr>
        <w:t xml:space="preserve">Behov for monitorering av elektrolytter: </w:t>
      </w:r>
    </w:p>
    <w:p w:rsidR="00C86318" w:rsidRPr="00C86318" w:rsidP="00C86318" w14:paraId="0B34A896" w14:textId="77777777">
      <w:pPr>
        <w:numPr>
          <w:ilvl w:val="0"/>
          <w:numId w:val="46"/>
        </w:numPr>
        <w:tabs>
          <w:tab w:val="num" w:pos="720"/>
        </w:tabs>
        <w:autoSpaceDE w:val="0"/>
        <w:autoSpaceDN w:val="0"/>
        <w:adjustRightInd w:val="0"/>
        <w:spacing w:before="0" w:after="0"/>
        <w:ind w:left="720"/>
        <w:rPr>
          <w:rFonts w:ascii="Times New Roman" w:hAnsi="Times New Roman" w:cs="Times New Roman"/>
          <w:szCs w:val="20"/>
        </w:rPr>
      </w:pPr>
      <w:r w:rsidRPr="00C86318">
        <w:rPr>
          <w:rFonts w:ascii="Times New Roman" w:hAnsi="Times New Roman" w:cs="Times New Roman"/>
          <w:szCs w:val="20"/>
        </w:rPr>
        <w:t>Glukose og insulin vil gjøre at K</w:t>
      </w:r>
      <w:r w:rsidRPr="00C86318">
        <w:rPr>
          <w:rFonts w:ascii="Times New Roman" w:hAnsi="Times New Roman" w:cs="Times New Roman"/>
          <w:szCs w:val="20"/>
          <w:vertAlign w:val="superscript"/>
        </w:rPr>
        <w:t>+</w:t>
      </w:r>
      <w:r w:rsidRPr="00C86318">
        <w:rPr>
          <w:rFonts w:ascii="Times New Roman" w:hAnsi="Times New Roman" w:cs="Times New Roman"/>
          <w:szCs w:val="20"/>
        </w:rPr>
        <w:t xml:space="preserve"> går inn i cellene (co-transport) og behandlingen kan derfor gi hypokalemi. Hyppig monitorering av elektrolytter (f.eks. hver annen time) kan derfor være nødvendig, særlig under den initialte oppvæsking og i hvert fall dersom pasienten har elektrolyttforstyrrelser ved innkomst.</w:t>
      </w:r>
    </w:p>
    <w:p w:rsidR="00851976" w:rsidP="00C86318" w14:paraId="49931698" w14:textId="77777777">
      <w:pPr>
        <w:numPr>
          <w:ilvl w:val="0"/>
          <w:numId w:val="46"/>
        </w:numPr>
        <w:tabs>
          <w:tab w:val="num" w:pos="720"/>
        </w:tabs>
        <w:autoSpaceDE w:val="0"/>
        <w:autoSpaceDN w:val="0"/>
        <w:adjustRightInd w:val="0"/>
        <w:spacing w:before="0" w:after="0"/>
        <w:ind w:left="720"/>
        <w:rPr>
          <w:rFonts w:ascii="Times New Roman" w:hAnsi="Times New Roman" w:cs="Times New Roman"/>
          <w:szCs w:val="20"/>
        </w:rPr>
      </w:pPr>
      <w:r w:rsidRPr="00C86318">
        <w:rPr>
          <w:rFonts w:ascii="Times New Roman" w:hAnsi="Times New Roman" w:cs="Times New Roman"/>
          <w:szCs w:val="20"/>
        </w:rPr>
        <w:t>Ved uttalt lave verdier av Na</w:t>
      </w:r>
      <w:r w:rsidRPr="00C86318">
        <w:rPr>
          <w:rFonts w:ascii="Times New Roman" w:hAnsi="Times New Roman" w:cs="Times New Roman"/>
          <w:szCs w:val="20"/>
          <w:vertAlign w:val="superscript"/>
        </w:rPr>
        <w:t>+</w:t>
      </w:r>
      <w:r w:rsidRPr="00C86318">
        <w:rPr>
          <w:rFonts w:ascii="Times New Roman" w:hAnsi="Times New Roman" w:cs="Times New Roman"/>
          <w:szCs w:val="20"/>
        </w:rPr>
        <w:t>, K</w:t>
      </w:r>
      <w:r w:rsidRPr="00C86318">
        <w:rPr>
          <w:rFonts w:ascii="Times New Roman" w:hAnsi="Times New Roman" w:cs="Times New Roman"/>
          <w:szCs w:val="20"/>
          <w:vertAlign w:val="superscript"/>
        </w:rPr>
        <w:t xml:space="preserve">+ </w:t>
      </w:r>
      <w:r w:rsidRPr="00C86318">
        <w:rPr>
          <w:rFonts w:ascii="Times New Roman" w:hAnsi="Times New Roman" w:cs="Times New Roman"/>
          <w:szCs w:val="20"/>
        </w:rPr>
        <w:t>eller Mg</w:t>
      </w:r>
      <w:r w:rsidRPr="00C86318">
        <w:rPr>
          <w:rFonts w:ascii="Times New Roman" w:hAnsi="Times New Roman" w:cs="Times New Roman"/>
          <w:szCs w:val="20"/>
          <w:vertAlign w:val="superscript"/>
        </w:rPr>
        <w:t xml:space="preserve">+ </w:t>
      </w:r>
      <w:r w:rsidRPr="00C86318">
        <w:rPr>
          <w:rFonts w:ascii="Times New Roman" w:hAnsi="Times New Roman" w:cs="Times New Roman"/>
          <w:szCs w:val="20"/>
        </w:rPr>
        <w:t>må dette korrigeres med i.v. væske som er mer konsentrert enn det Glukosel inneholder. En betydelig hyponatremi må korrigeres svært forsiktig og langsomt og være basert på hyppig elektrolyttmonitorering.</w:t>
      </w:r>
    </w:p>
    <w:p w:rsidR="00C86318" w:rsidRPr="00C86318" w:rsidP="00851976" w14:paraId="7E344C85" w14:textId="2AD6A414">
      <w:pPr>
        <w:autoSpaceDE w:val="0"/>
        <w:autoSpaceDN w:val="0"/>
        <w:adjustRightInd w:val="0"/>
        <w:spacing w:before="0" w:after="0"/>
        <w:ind w:left="720"/>
        <w:rPr>
          <w:rFonts w:ascii="Times New Roman" w:hAnsi="Times New Roman" w:cs="Times New Roman"/>
          <w:szCs w:val="20"/>
        </w:rPr>
      </w:pPr>
      <w:r w:rsidRPr="00C86318">
        <w:rPr>
          <w:rFonts w:ascii="Times New Roman" w:hAnsi="Times New Roman" w:cs="Times New Roman"/>
          <w:szCs w:val="20"/>
        </w:rPr>
        <w:t>Dette er for å unngå CNS-skade (sentral pontin myelinolyse),</w:t>
      </w:r>
      <w:r w:rsidRPr="00C86318">
        <w:rPr>
          <w:rFonts w:ascii="Courier New" w:hAnsi="Courier New" w:cs="Times New Roman"/>
          <w:sz w:val="20"/>
          <w:szCs w:val="20"/>
        </w:rPr>
        <w:t xml:space="preserve"> </w:t>
      </w:r>
      <w:r w:rsidRPr="00C86318">
        <w:rPr>
          <w:rFonts w:ascii="Times New Roman" w:hAnsi="Times New Roman" w:cs="Times New Roman"/>
          <w:szCs w:val="20"/>
        </w:rPr>
        <w:t>se ”Behandling av elektrolyttforstyrrelser” under.</w:t>
      </w:r>
    </w:p>
    <w:p w:rsidR="00C86318" w:rsidRPr="00C86318" w:rsidP="00C86318" w14:paraId="376875D7" w14:textId="77777777">
      <w:pPr>
        <w:autoSpaceDE w:val="0"/>
        <w:autoSpaceDN w:val="0"/>
        <w:adjustRightInd w:val="0"/>
        <w:spacing w:before="0" w:after="0"/>
        <w:rPr>
          <w:rFonts w:ascii="Courier New" w:hAnsi="Courier New" w:cs="Times New Roman"/>
          <w:sz w:val="20"/>
          <w:szCs w:val="20"/>
        </w:rPr>
      </w:pPr>
    </w:p>
    <w:p w:rsidR="00C86318" w:rsidRPr="00C86318" w:rsidP="00C86318" w14:paraId="3D7D85C2" w14:textId="77777777">
      <w:pPr>
        <w:spacing w:before="0" w:after="0"/>
        <w:rPr>
          <w:rFonts w:ascii="Times New Roman" w:hAnsi="Times New Roman" w:cs="Times New Roman"/>
          <w:szCs w:val="20"/>
        </w:rPr>
      </w:pPr>
      <w:r w:rsidRPr="00C86318">
        <w:rPr>
          <w:rFonts w:ascii="Times New Roman" w:hAnsi="Times New Roman" w:cs="Times New Roman"/>
          <w:b/>
          <w:szCs w:val="20"/>
        </w:rPr>
        <w:t xml:space="preserve">Behandlingstid: </w:t>
      </w:r>
      <w:r w:rsidRPr="00C86318">
        <w:rPr>
          <w:rFonts w:ascii="Times New Roman" w:hAnsi="Times New Roman" w:cs="Times New Roman"/>
          <w:szCs w:val="20"/>
        </w:rPr>
        <w:t>Behandlingen skal fortsette til symptomene er borte. Effekten på smertene kommer vanligvis etter 2- 6 døgn. Hvis anfallet ikke har vart så lenge, kan effekt sees allerede etter 1 døgn. Hvis glukoseinfusjonen ikke er tilsatt insulin, bør en ved avslutning av behandlingen redusere dråpetakten gradvis i løpet av en time (for å unngå at det høye insulin-nivået sekundært til glukosebehandlingen gir en hypoglykemi og ubehagelige symptomer når glukosetilførselen raskt bortfaller).</w:t>
      </w:r>
    </w:p>
    <w:p w:rsidR="00C86318" w:rsidRPr="00C86318" w:rsidP="00C86318" w14:paraId="1381365A" w14:textId="77777777">
      <w:pPr>
        <w:spacing w:before="0" w:after="0"/>
        <w:rPr>
          <w:rFonts w:ascii="Times New Roman" w:hAnsi="Times New Roman" w:cs="Times New Roman"/>
          <w:szCs w:val="20"/>
        </w:rPr>
      </w:pPr>
    </w:p>
    <w:p w:rsidR="00C86318" w:rsidRPr="00C86318" w:rsidP="00C86318" w14:paraId="5F0ECA20" w14:textId="77777777">
      <w:pPr>
        <w:spacing w:before="0" w:after="0"/>
        <w:outlineLvl w:val="0"/>
        <w:rPr>
          <w:rFonts w:ascii="Times New Roman" w:hAnsi="Times New Roman" w:cs="Times New Roman"/>
          <w:b/>
          <w:i/>
          <w:sz w:val="28"/>
          <w:szCs w:val="20"/>
        </w:rPr>
      </w:pPr>
      <w:r w:rsidRPr="00C86318">
        <w:rPr>
          <w:rFonts w:ascii="Times New Roman" w:hAnsi="Times New Roman" w:cs="Times New Roman"/>
          <w:b/>
          <w:i/>
          <w:sz w:val="28"/>
          <w:szCs w:val="20"/>
        </w:rPr>
        <w:t>Behandling med Normosang</w:t>
      </w:r>
      <w:r w:rsidRPr="00C86318">
        <w:rPr>
          <w:rFonts w:ascii="Symbol" w:hAnsi="Symbol" w:cs="Times New Roman"/>
          <w:b/>
          <w:i/>
          <w:sz w:val="28"/>
          <w:szCs w:val="20"/>
          <w:vertAlign w:val="superscript"/>
        </w:rPr>
        <w:sym w:font="Symbol" w:char="F0E2"/>
      </w:r>
    </w:p>
    <w:p w:rsidR="00C86318" w:rsidRPr="00C86318" w:rsidP="00C86318" w14:paraId="556D06A4" w14:textId="77777777">
      <w:pPr>
        <w:spacing w:before="60" w:after="60"/>
        <w:outlineLvl w:val="5"/>
        <w:rPr>
          <w:rFonts w:ascii="Times New Roman" w:hAnsi="Times New Roman" w:cs="Times New Roman"/>
          <w:b/>
          <w:bCs/>
          <w:szCs w:val="22"/>
        </w:rPr>
      </w:pPr>
      <w:r w:rsidRPr="00C86318">
        <w:rPr>
          <w:rFonts w:ascii="Times New Roman" w:hAnsi="Times New Roman" w:cs="Times New Roman"/>
          <w:b/>
          <w:bCs/>
          <w:szCs w:val="22"/>
        </w:rPr>
        <w:t>Indikasjon for å starte behandling:</w:t>
      </w:r>
    </w:p>
    <w:p w:rsidR="00C86318" w:rsidRPr="00C86318" w:rsidP="00C86318" w14:paraId="52A49353" w14:textId="77777777">
      <w:pPr>
        <w:numPr>
          <w:ilvl w:val="0"/>
          <w:numId w:val="42"/>
        </w:numPr>
        <w:tabs>
          <w:tab w:val="num" w:pos="1068"/>
        </w:tabs>
        <w:spacing w:before="0" w:after="0"/>
        <w:rPr>
          <w:rFonts w:ascii="Times New Roman" w:hAnsi="Times New Roman" w:cs="Times New Roman"/>
          <w:szCs w:val="20"/>
        </w:rPr>
      </w:pPr>
      <w:r w:rsidRPr="00C86318">
        <w:rPr>
          <w:rFonts w:ascii="Times New Roman" w:hAnsi="Times New Roman" w:cs="Times New Roman"/>
          <w:szCs w:val="20"/>
        </w:rPr>
        <w:t xml:space="preserve">Porfyrianfall som har ført til nevrologiske symptomer og funn </w:t>
      </w:r>
    </w:p>
    <w:p w:rsidR="00C86318" w:rsidRPr="00C86318" w:rsidP="00C86318" w14:paraId="0EB4B783" w14:textId="77777777">
      <w:pPr>
        <w:numPr>
          <w:ilvl w:val="0"/>
          <w:numId w:val="42"/>
        </w:numPr>
        <w:spacing w:before="0" w:after="0"/>
        <w:rPr>
          <w:rFonts w:ascii="Times New Roman" w:hAnsi="Times New Roman" w:cs="Times New Roman"/>
          <w:szCs w:val="20"/>
        </w:rPr>
      </w:pPr>
      <w:r w:rsidRPr="00C86318">
        <w:rPr>
          <w:rFonts w:ascii="Times New Roman" w:hAnsi="Times New Roman" w:cs="Times New Roman"/>
          <w:szCs w:val="20"/>
        </w:rPr>
        <w:t>Eller: Alvorlig anfall med intense smerter som ikke responderer på glukosebehandling innen rimelig tid (2-4 døgn)</w:t>
      </w:r>
    </w:p>
    <w:p w:rsidR="00C86318" w:rsidRPr="00C86318" w:rsidP="00C86318" w14:paraId="45F0E6B2" w14:textId="77777777">
      <w:pPr>
        <w:numPr>
          <w:ilvl w:val="0"/>
          <w:numId w:val="42"/>
        </w:numPr>
        <w:spacing w:before="0" w:after="0"/>
        <w:rPr>
          <w:rFonts w:ascii="Times New Roman" w:hAnsi="Times New Roman" w:cs="Times New Roman"/>
          <w:szCs w:val="20"/>
        </w:rPr>
      </w:pPr>
      <w:r w:rsidRPr="00C86318">
        <w:rPr>
          <w:rFonts w:ascii="Times New Roman" w:hAnsi="Times New Roman" w:cs="Times New Roman"/>
          <w:szCs w:val="20"/>
        </w:rPr>
        <w:t>Eller: Spesielle tilfeller av akutt intermitterende porfyri med et kronisk forløp</w:t>
      </w:r>
    </w:p>
    <w:p w:rsidR="00C86318" w:rsidRPr="00C86318" w:rsidP="00C86318" w14:paraId="45CF06CB" w14:textId="77777777">
      <w:pPr>
        <w:spacing w:before="0" w:after="0"/>
        <w:rPr>
          <w:rFonts w:ascii="Times New Roman" w:hAnsi="Times New Roman" w:cs="Times New Roman"/>
          <w:szCs w:val="20"/>
        </w:rPr>
      </w:pPr>
    </w:p>
    <w:p w:rsidR="00C86318" w:rsidRPr="00C86318" w:rsidP="00C86318" w14:paraId="32446234" w14:textId="5EC9F3C0">
      <w:pPr>
        <w:spacing w:before="0" w:after="0"/>
        <w:rPr>
          <w:rFonts w:ascii="Times New Roman" w:hAnsi="Times New Roman" w:cs="Times New Roman"/>
          <w:szCs w:val="20"/>
        </w:rPr>
      </w:pPr>
      <w:r w:rsidRPr="00C86318">
        <w:rPr>
          <w:rFonts w:ascii="Times New Roman" w:hAnsi="Times New Roman" w:cs="Times New Roman"/>
          <w:szCs w:val="20"/>
        </w:rPr>
        <w:t>Den virksomme substansen i Normosang (Orphan Europe) er heme (stabilisert som heme arginat). Virkningsmekanismen er negativ feedback på første enzym i hemebiosyntesen. Behandlingen har vært brukt i over 20 år og effekten er veldokumentert. Det anbefales å kombinere Normosang-behandling med i.v. glukosebehandling. Behandling med Normosang</w:t>
      </w:r>
      <w:r w:rsidRPr="00C86318">
        <w:rPr>
          <w:rFonts w:ascii="Symbol" w:hAnsi="Symbol" w:cs="Times New Roman"/>
          <w:szCs w:val="20"/>
          <w:vertAlign w:val="superscript"/>
        </w:rPr>
        <w:sym w:font="Symbol" w:char="F0E2"/>
      </w:r>
      <w:r w:rsidRPr="00C86318">
        <w:rPr>
          <w:rFonts w:ascii="Times New Roman" w:hAnsi="Times New Roman" w:cs="Times New Roman"/>
          <w:szCs w:val="20"/>
        </w:rPr>
        <w:t xml:space="preserve"> kan gi bivirkninger (bl.a. flebitter) og krever derfor spesielle behandlingsrutiner.  </w:t>
      </w:r>
    </w:p>
    <w:p w:rsidR="00C86318" w:rsidRPr="00C86318" w:rsidP="00C86318" w14:paraId="0478312C" w14:textId="77777777">
      <w:pPr>
        <w:spacing w:before="0" w:after="0"/>
        <w:rPr>
          <w:rFonts w:ascii="Times New Roman" w:hAnsi="Times New Roman" w:cs="Times New Roman"/>
          <w:color w:val="FF0000"/>
          <w:szCs w:val="20"/>
        </w:rPr>
      </w:pPr>
      <w:r w:rsidRPr="00C86318">
        <w:rPr>
          <w:rFonts w:ascii="Times New Roman" w:hAnsi="Times New Roman" w:cs="Times New Roman"/>
          <w:szCs w:val="20"/>
        </w:rPr>
        <w:t>Normosang finnes i 250 mg per ampulle. Pakninger på 4 x 10 mL (25 mg/mL). Normosang finnes som regel i beredskap på en del større sykehus (eller kan via sykehusapotek fremskaffes i løpet av ett døgn). Gis i korttidsinfusjon i en albuminløsning på glassflaske, feks. humant albumin 200 mg/mL i 100 ml glassflaske. Dersom det skulle være problemer med å skaffe humant albumin på glassflaske kan noen sykehusapotek overføre albumin til steril glassflaske.</w:t>
      </w:r>
    </w:p>
    <w:p w:rsidR="00C86318" w:rsidRPr="00C86318" w:rsidP="00C86318" w14:paraId="12031504" w14:textId="77777777">
      <w:pPr>
        <w:spacing w:before="0" w:after="0"/>
        <w:rPr>
          <w:rFonts w:ascii="Times New Roman" w:hAnsi="Times New Roman" w:cs="Times New Roman"/>
          <w:szCs w:val="20"/>
        </w:rPr>
      </w:pPr>
    </w:p>
    <w:p w:rsidR="00C86318" w:rsidRPr="00C86318" w:rsidP="00C86318" w14:paraId="1B49FE7E" w14:textId="77777777">
      <w:pPr>
        <w:spacing w:before="0" w:after="0"/>
        <w:rPr>
          <w:rFonts w:ascii="Times New Roman" w:hAnsi="Times New Roman" w:cs="Times New Roman"/>
          <w:szCs w:val="20"/>
        </w:rPr>
      </w:pPr>
      <w:r w:rsidRPr="00C86318">
        <w:rPr>
          <w:rFonts w:ascii="Times New Roman" w:hAnsi="Times New Roman" w:cs="Times New Roman"/>
          <w:b/>
          <w:szCs w:val="20"/>
        </w:rPr>
        <w:t>Dosering og behandlingstid:</w:t>
      </w:r>
      <w:r w:rsidRPr="00C86318">
        <w:rPr>
          <w:rFonts w:ascii="Times New Roman" w:hAnsi="Times New Roman" w:cs="Times New Roman"/>
          <w:szCs w:val="20"/>
        </w:rPr>
        <w:t xml:space="preserve"> 3 mg/kg kroppsvekt per døgn gitt som en daglig korttidsinfusjon (30 min). Behandlingen repeteres i inntil 4 døgn. Forkortelse til 3 døgn kan velges hvis behandlingseffekten kommer raskt. Vanligvis inntrer en betydelig klinisk bedring etter 2 døgn.</w:t>
      </w:r>
    </w:p>
    <w:p w:rsidR="00C86318" w:rsidRPr="00C86318" w:rsidP="00C86318" w14:paraId="00B4D88E" w14:textId="77777777">
      <w:pPr>
        <w:spacing w:before="0" w:after="0"/>
        <w:rPr>
          <w:rFonts w:ascii="Times New Roman" w:hAnsi="Times New Roman" w:cs="Times New Roman"/>
          <w:szCs w:val="20"/>
        </w:rPr>
      </w:pPr>
    </w:p>
    <w:p w:rsidR="00C86318" w:rsidRPr="00C86318" w:rsidP="00C86318" w14:paraId="34E47C94" w14:textId="77777777">
      <w:pPr>
        <w:spacing w:before="0" w:after="0"/>
        <w:rPr>
          <w:rFonts w:ascii="Times New Roman" w:hAnsi="Times New Roman" w:cs="Times New Roman"/>
          <w:b/>
          <w:szCs w:val="20"/>
        </w:rPr>
      </w:pPr>
      <w:r w:rsidRPr="00C86318">
        <w:rPr>
          <w:rFonts w:ascii="Times New Roman" w:hAnsi="Times New Roman" w:cs="Times New Roman"/>
          <w:b/>
          <w:szCs w:val="20"/>
        </w:rPr>
        <w:t>Prosedyre:</w:t>
      </w:r>
    </w:p>
    <w:p w:rsidR="00C86318" w:rsidRPr="00C86318" w:rsidP="00C86318" w14:paraId="3C8C0E10" w14:textId="77777777">
      <w:pPr>
        <w:numPr>
          <w:ilvl w:val="0"/>
          <w:numId w:val="41"/>
        </w:numPr>
        <w:spacing w:before="0" w:after="0"/>
        <w:ind w:right="-284"/>
        <w:rPr>
          <w:rFonts w:ascii="Times New Roman" w:hAnsi="Times New Roman" w:cs="Times New Roman"/>
          <w:szCs w:val="20"/>
        </w:rPr>
      </w:pPr>
      <w:r w:rsidRPr="00C86318">
        <w:rPr>
          <w:rFonts w:ascii="Times New Roman" w:hAnsi="Times New Roman" w:cs="Times New Roman"/>
          <w:szCs w:val="20"/>
        </w:rPr>
        <w:t xml:space="preserve">Kan gis i god perifer vene, men det bør brukes “ny” vene hver dag. Eventuelt CVK. </w:t>
      </w:r>
    </w:p>
    <w:p w:rsidR="00C86318" w:rsidRPr="00C86318" w:rsidP="00C86318" w14:paraId="6404480D" w14:textId="77777777">
      <w:pPr>
        <w:numPr>
          <w:ilvl w:val="0"/>
          <w:numId w:val="41"/>
        </w:numPr>
        <w:spacing w:before="0" w:after="0"/>
        <w:rPr>
          <w:rFonts w:ascii="Times New Roman" w:hAnsi="Times New Roman" w:cs="Times New Roman"/>
          <w:szCs w:val="20"/>
        </w:rPr>
      </w:pPr>
      <w:r w:rsidRPr="00C86318">
        <w:rPr>
          <w:rFonts w:ascii="Times New Roman" w:hAnsi="Times New Roman" w:cs="Times New Roman"/>
          <w:szCs w:val="20"/>
        </w:rPr>
        <w:t>Bruk gjerne Y-kran til infusjonen, slik at man enkelt kan skylle gjennom med NaCl i forkant og kontrollere at infusjon går uproblematisk.</w:t>
      </w:r>
    </w:p>
    <w:p w:rsidR="00C86318" w:rsidRPr="00C86318" w:rsidP="00C86318" w14:paraId="134D00C7" w14:textId="77777777">
      <w:pPr>
        <w:numPr>
          <w:ilvl w:val="0"/>
          <w:numId w:val="41"/>
        </w:numPr>
        <w:spacing w:before="0" w:after="0"/>
        <w:rPr>
          <w:rFonts w:ascii="Times New Roman" w:hAnsi="Times New Roman" w:cs="Times New Roman"/>
          <w:szCs w:val="20"/>
          <w:lang w:val="nn-NO"/>
        </w:rPr>
      </w:pPr>
      <w:r w:rsidRPr="00C86318">
        <w:rPr>
          <w:rFonts w:ascii="Times New Roman" w:hAnsi="Times New Roman" w:cs="Times New Roman"/>
          <w:szCs w:val="20"/>
          <w:lang w:val="nn-NO"/>
        </w:rPr>
        <w:t>Bruk infusjonssett med 15-25 micron (</w:t>
      </w:r>
      <w:r w:rsidRPr="00C86318">
        <w:rPr>
          <w:rFonts w:ascii="Symbol" w:hAnsi="Symbol" w:cs="Times New Roman"/>
          <w:szCs w:val="20"/>
        </w:rPr>
        <w:sym w:font="Symbol" w:char="F06D"/>
      </w:r>
      <w:r w:rsidRPr="00C86318">
        <w:rPr>
          <w:rFonts w:ascii="Times New Roman" w:hAnsi="Times New Roman" w:cs="Times New Roman"/>
          <w:szCs w:val="20"/>
          <w:lang w:val="nn-NO"/>
        </w:rPr>
        <w:t>m) filter.</w:t>
      </w:r>
    </w:p>
    <w:p w:rsidR="00C86318" w:rsidRPr="00C86318" w:rsidP="00C86318" w14:paraId="0C2394E8" w14:textId="77777777">
      <w:pPr>
        <w:numPr>
          <w:ilvl w:val="0"/>
          <w:numId w:val="41"/>
        </w:numPr>
        <w:spacing w:before="0" w:after="0"/>
        <w:rPr>
          <w:rFonts w:ascii="Times New Roman" w:hAnsi="Times New Roman" w:cs="Times New Roman"/>
          <w:szCs w:val="20"/>
        </w:rPr>
      </w:pPr>
      <w:r w:rsidRPr="00C86318">
        <w:rPr>
          <w:rFonts w:ascii="Times New Roman" w:hAnsi="Times New Roman" w:cs="Times New Roman"/>
          <w:szCs w:val="20"/>
        </w:rPr>
        <w:t>Normosang</w:t>
      </w:r>
      <w:r w:rsidRPr="00C86318">
        <w:rPr>
          <w:rFonts w:ascii="Times New Roman" w:hAnsi="Times New Roman" w:cs="Times New Roman"/>
          <w:szCs w:val="20"/>
        </w:rPr>
        <w:t xml:space="preserve"> 3mg/kg kroppsvekt løses i 100 mL albumin, (konsentrasjon 200mg/mL).</w:t>
      </w:r>
    </w:p>
    <w:p w:rsidR="00C86318" w:rsidRPr="00C86318" w:rsidP="00C86318" w14:paraId="4C144E1D" w14:textId="77777777">
      <w:pPr>
        <w:spacing w:before="0" w:after="0"/>
        <w:ind w:left="360"/>
        <w:rPr>
          <w:rFonts w:ascii="Times New Roman" w:hAnsi="Times New Roman" w:cs="Times New Roman"/>
          <w:szCs w:val="20"/>
        </w:rPr>
      </w:pPr>
      <w:r w:rsidRPr="00C86318">
        <w:rPr>
          <w:rFonts w:ascii="Times New Roman" w:hAnsi="Times New Roman" w:cs="Times New Roman"/>
          <w:szCs w:val="20"/>
        </w:rPr>
        <w:t xml:space="preserve">Det brukes Humant albumin (Octafarma), som leveres på glassflaske (Normosang skal </w:t>
      </w:r>
      <w:r w:rsidRPr="00C86318">
        <w:rPr>
          <w:rFonts w:ascii="Times New Roman" w:hAnsi="Times New Roman" w:cs="Times New Roman"/>
          <w:b/>
          <w:szCs w:val="20"/>
          <w:u w:val="single"/>
        </w:rPr>
        <w:t>ikke</w:t>
      </w:r>
      <w:r w:rsidRPr="00C86318">
        <w:rPr>
          <w:rFonts w:ascii="Times New Roman" w:hAnsi="Times New Roman" w:cs="Times New Roman"/>
          <w:szCs w:val="20"/>
        </w:rPr>
        <w:t xml:space="preserve"> blandes ut i plastflaske). Flasken lysbeskyttes. Løsningen er ikke stabil og må infunderes umiddelbart. </w:t>
      </w:r>
    </w:p>
    <w:p w:rsidR="00C86318" w:rsidRPr="00C86318" w:rsidP="00C86318" w14:paraId="42059377" w14:textId="77777777">
      <w:pPr>
        <w:numPr>
          <w:ilvl w:val="0"/>
          <w:numId w:val="41"/>
        </w:numPr>
        <w:spacing w:before="0" w:after="0"/>
        <w:rPr>
          <w:rFonts w:ascii="Times New Roman" w:hAnsi="Times New Roman" w:cs="Times New Roman"/>
          <w:szCs w:val="20"/>
        </w:rPr>
      </w:pPr>
      <w:r w:rsidRPr="00C86318">
        <w:rPr>
          <w:rFonts w:ascii="Times New Roman" w:hAnsi="Times New Roman" w:cs="Times New Roman"/>
          <w:szCs w:val="20"/>
        </w:rPr>
        <w:t>Infunderes i løpet av ca 30 min (men ikke &gt;1 time p.g.a. begrenset stabilitet). Dette tilsvarer en dråpetakt på ~ 60 dråper per minutt.</w:t>
      </w:r>
    </w:p>
    <w:p w:rsidR="00C86318" w:rsidRPr="00C86318" w:rsidP="00C86318" w14:paraId="6AF70968" w14:textId="77777777">
      <w:pPr>
        <w:numPr>
          <w:ilvl w:val="0"/>
          <w:numId w:val="41"/>
        </w:numPr>
        <w:spacing w:before="0" w:after="0"/>
        <w:rPr>
          <w:rFonts w:ascii="Times New Roman" w:hAnsi="Times New Roman" w:cs="Times New Roman"/>
          <w:szCs w:val="20"/>
        </w:rPr>
      </w:pPr>
      <w:r w:rsidRPr="00C86318">
        <w:rPr>
          <w:rFonts w:ascii="Times New Roman" w:hAnsi="Times New Roman" w:cs="Times New Roman"/>
          <w:szCs w:val="20"/>
        </w:rPr>
        <w:t>Etter infusjonen er det viktig straks å skylle aggregat og “vene” med 100mL 0,9 % NaCl.</w:t>
      </w:r>
    </w:p>
    <w:p w:rsidR="00C86318" w:rsidRPr="00C86318" w:rsidP="00C86318" w14:paraId="2230B812" w14:textId="77777777">
      <w:pPr>
        <w:spacing w:before="0" w:after="0"/>
        <w:ind w:left="360"/>
        <w:rPr>
          <w:rFonts w:ascii="Times New Roman" w:hAnsi="Times New Roman" w:cs="Times New Roman"/>
          <w:szCs w:val="20"/>
        </w:rPr>
      </w:pPr>
      <w:r w:rsidRPr="00C86318">
        <w:rPr>
          <w:rFonts w:ascii="Times New Roman" w:hAnsi="Times New Roman" w:cs="Times New Roman"/>
          <w:szCs w:val="20"/>
        </w:rPr>
        <w:t>Det anbefales at venen først skylles med 3 til 4 bolusinjeksjoner med 10ml 0,9 % NaCl og at gjenværende saltvannsvolum infunderes over 10-15 min.</w:t>
      </w:r>
    </w:p>
    <w:p w:rsidR="00C86318" w:rsidRPr="00C86318" w:rsidP="00C86318" w14:paraId="4212438F" w14:textId="77777777">
      <w:pPr>
        <w:spacing w:before="0" w:after="0"/>
        <w:ind w:left="360"/>
        <w:rPr>
          <w:rFonts w:ascii="Times New Roman" w:hAnsi="Times New Roman" w:cs="Times New Roman"/>
          <w:szCs w:val="20"/>
        </w:rPr>
      </w:pPr>
    </w:p>
    <w:p w:rsidR="00C86318" w:rsidRPr="00C86318" w:rsidP="00851976" w14:paraId="51B6A78E" w14:textId="77777777">
      <w:pPr>
        <w:keepNext/>
        <w:spacing w:before="0" w:after="0"/>
        <w:outlineLvl w:val="1"/>
        <w:rPr>
          <w:rFonts w:ascii="Times New Roman" w:hAnsi="Times New Roman" w:cs="Times New Roman"/>
          <w:b/>
          <w:sz w:val="28"/>
          <w:szCs w:val="20"/>
        </w:rPr>
      </w:pPr>
      <w:r w:rsidRPr="00C86318">
        <w:rPr>
          <w:rFonts w:ascii="Times New Roman" w:hAnsi="Times New Roman" w:cs="Times New Roman"/>
          <w:b/>
          <w:sz w:val="28"/>
          <w:szCs w:val="20"/>
        </w:rPr>
        <w:br w:type="page"/>
      </w:r>
      <w:r w:rsidRPr="00C86318">
        <w:rPr>
          <w:rFonts w:ascii="Times New Roman" w:hAnsi="Times New Roman" w:cs="Times New Roman"/>
          <w:b/>
          <w:sz w:val="28"/>
          <w:szCs w:val="20"/>
        </w:rPr>
        <w:t>Smertebehandling med analgetika og andre medikamenter</w:t>
      </w:r>
    </w:p>
    <w:p w:rsidR="00C86318" w:rsidRPr="00C86318" w:rsidP="00C86318" w14:paraId="6746CDEC" w14:textId="77777777">
      <w:pPr>
        <w:spacing w:before="0" w:after="0"/>
        <w:rPr>
          <w:rFonts w:ascii="Times New Roman" w:hAnsi="Times New Roman" w:cs="Times New Roman"/>
          <w:szCs w:val="20"/>
        </w:rPr>
      </w:pPr>
      <w:r w:rsidRPr="00C86318">
        <w:rPr>
          <w:rFonts w:ascii="Times New Roman" w:hAnsi="Times New Roman" w:cs="Times New Roman"/>
          <w:szCs w:val="20"/>
        </w:rPr>
        <w:t>Det er viktig å være klar over at smertene ved akutte porfyrianfall kan være av de mest intense smerter et menneske kan oppleve. Sentralt virkende analgetika i hyppige og noen ganger store doser kan derfor være nødvendig for å kunne gi smertelindring. Ved sterke smerter anbefales det å gi Morfin, 5-15 mg 3-6 ganger i døgnet alt etter behov. Som alternativ kan brukes Petidin (Petidinhydroklorid), 50-100 mg 3-6 ganger i døgnet. Husk at det ikke finnes noe objektivt mål på smerteintensitet og at mangelen på ab</w:t>
      </w:r>
      <w:r w:rsidRPr="00C86318">
        <w:rPr>
          <w:rFonts w:ascii="Times New Roman" w:hAnsi="Times New Roman" w:cs="Times New Roman"/>
          <w:szCs w:val="20"/>
        </w:rPr>
        <w:t>dominalfunn (ingen palpasjonsømhet eller slippømhet) ved et porfyrianfall ofte står i kontrast til de intense smertene. Et karakteristisk trekk for akutte porfyrianfall er dessuten at smertelindringen på en adekvat dose analgetika initialt er god, men av unormalt kort varighet. At porfyripasienten etter relativt kort tid igjen klager over intense smerter og ber om ny dose med smertestillende, kan derfor feilaktig bli tolket som en overdrivelse av smertene fra pasientens side. En svært hyppig dosering av ana</w:t>
      </w:r>
      <w:r w:rsidRPr="00C86318">
        <w:rPr>
          <w:rFonts w:ascii="Times New Roman" w:hAnsi="Times New Roman" w:cs="Times New Roman"/>
          <w:szCs w:val="20"/>
        </w:rPr>
        <w:t>lgetika, morfin 5-10 mg hver time, kan derfor være nødvendig for å kunne gi god nok smertelindring. Ved høye doser av opiatanalgetika er adekvat monitorering av respirasjon og blodtrykk nødvendig.</w:t>
      </w:r>
    </w:p>
    <w:p w:rsidR="00C86318" w:rsidRPr="00C86318" w:rsidP="00C86318" w14:paraId="2256C0AF" w14:textId="77777777">
      <w:pPr>
        <w:spacing w:before="0" w:after="0"/>
        <w:rPr>
          <w:rFonts w:ascii="Times New Roman" w:hAnsi="Times New Roman" w:cs="Times New Roman"/>
          <w:szCs w:val="20"/>
        </w:rPr>
      </w:pPr>
      <w:r w:rsidRPr="00C86318">
        <w:rPr>
          <w:rFonts w:ascii="Times New Roman" w:hAnsi="Times New Roman" w:cs="Times New Roman"/>
          <w:szCs w:val="20"/>
        </w:rPr>
        <w:t>Buprenorfin (Temgesic) er også et trygt analgetikum ved akutt porfyri og kan brukes som et alternativ til opiater eller i kombinasjon. Buprenorfin gis i.m., langsomt i.v. eller som resoribletter sublingualt. Andre trygge opiatanalgetika:</w:t>
      </w:r>
      <w:r w:rsidRPr="00C86318">
        <w:rPr>
          <w:rFonts w:ascii="Times New Roman" w:hAnsi="Times New Roman" w:cs="Times New Roman"/>
          <w:color w:val="FF0000"/>
          <w:szCs w:val="20"/>
        </w:rPr>
        <w:t xml:space="preserve"> </w:t>
      </w:r>
      <w:r w:rsidRPr="00C86318">
        <w:rPr>
          <w:rFonts w:ascii="Times New Roman" w:hAnsi="Times New Roman" w:cs="Times New Roman"/>
          <w:szCs w:val="20"/>
        </w:rPr>
        <w:t xml:space="preserve">Ketobemidon, fentanyl, kombinasjoner: Kodein+Paracetamol (=Paralgin forte, Pinex forte). Tramadol er også et trygt analgetikum.            </w:t>
      </w:r>
    </w:p>
    <w:p w:rsidR="00C86318" w:rsidRPr="00C86318" w:rsidP="00C86318" w14:paraId="752ACD44" w14:textId="77777777">
      <w:pPr>
        <w:spacing w:before="0" w:after="0"/>
        <w:rPr>
          <w:rFonts w:ascii="Times New Roman" w:hAnsi="Times New Roman" w:cs="Times New Roman"/>
          <w:szCs w:val="20"/>
        </w:rPr>
      </w:pPr>
      <w:r w:rsidRPr="00C86318">
        <w:rPr>
          <w:rFonts w:ascii="Times New Roman" w:hAnsi="Times New Roman" w:cs="Times New Roman"/>
          <w:szCs w:val="20"/>
        </w:rPr>
        <w:t>Erfaring har vist god effekt hos mange dersom analgetika kombineres med for eksempel klorpromazin. I tillegg til potenseringen av analgetika og sedativ virkning, vil den antiemetiske effekten være gunstig for å motvirke den økte kvalmen som kan oppstå ved bruk av opiatanalgetika.</w:t>
      </w:r>
    </w:p>
    <w:p w:rsidR="00C86318" w:rsidRPr="00C86318" w:rsidP="00C86318" w14:paraId="0611A5CA" w14:textId="77777777">
      <w:pPr>
        <w:spacing w:before="0" w:after="0"/>
        <w:rPr>
          <w:rFonts w:ascii="Times New Roman" w:hAnsi="Times New Roman" w:cs="Times New Roman"/>
          <w:szCs w:val="20"/>
        </w:rPr>
      </w:pPr>
      <w:r w:rsidRPr="00C86318">
        <w:rPr>
          <w:rFonts w:ascii="Times New Roman" w:hAnsi="Times New Roman" w:cs="Times New Roman"/>
          <w:szCs w:val="20"/>
        </w:rPr>
        <w:t>Ved analgetika misbruksproblematikk, kan epidural smertelindring være et alternativ. P.g.a. mulig ubalanse i det autonome nervesystem må dosen økes langsomt.</w:t>
      </w:r>
    </w:p>
    <w:p w:rsidR="00C86318" w:rsidRPr="00C86318" w:rsidP="00C86318" w14:paraId="6E11E210" w14:textId="77777777">
      <w:pPr>
        <w:spacing w:before="0" w:after="0"/>
        <w:rPr>
          <w:rFonts w:ascii="Times New Roman" w:hAnsi="Times New Roman" w:cs="Times New Roman"/>
          <w:szCs w:val="20"/>
        </w:rPr>
      </w:pPr>
    </w:p>
    <w:p w:rsidR="00C86318" w:rsidRPr="00C86318" w:rsidP="00851976" w14:paraId="3F1A7C0B" w14:textId="77777777">
      <w:pPr>
        <w:keepNext/>
        <w:spacing w:before="0" w:after="0"/>
        <w:outlineLvl w:val="1"/>
        <w:rPr>
          <w:rFonts w:ascii="Times New Roman" w:hAnsi="Times New Roman" w:cs="Times New Roman"/>
          <w:b/>
          <w:sz w:val="28"/>
          <w:szCs w:val="20"/>
        </w:rPr>
      </w:pPr>
      <w:r w:rsidRPr="00C86318">
        <w:rPr>
          <w:rFonts w:ascii="Times New Roman" w:hAnsi="Times New Roman" w:cs="Times New Roman"/>
          <w:b/>
          <w:sz w:val="28"/>
          <w:szCs w:val="20"/>
        </w:rPr>
        <w:t>Behandling av kvalme og brekninger</w:t>
      </w:r>
    </w:p>
    <w:p w:rsidR="00C86318" w:rsidRPr="00C86318" w:rsidP="00C86318" w14:paraId="76159220" w14:textId="77777777">
      <w:pPr>
        <w:spacing w:before="0" w:after="0"/>
        <w:rPr>
          <w:rFonts w:ascii="Times New Roman" w:hAnsi="Times New Roman" w:cs="Times New Roman"/>
          <w:szCs w:val="20"/>
        </w:rPr>
      </w:pPr>
      <w:r w:rsidRPr="00C86318">
        <w:rPr>
          <w:rFonts w:ascii="Times New Roman" w:hAnsi="Times New Roman" w:cs="Times New Roman"/>
          <w:szCs w:val="20"/>
        </w:rPr>
        <w:t xml:space="preserve">Ved akutte porfyrianfall er kvalme og eventuelt brekninger ofte en del av symptomkomplekset. Smertebehandling med opiater kan eventuelt forverre disse symptomene. Følgende antiemetika er trygge å bruke ved akutt porfyrisykdom: Metoklopramid, droperidol, proklorperazin, klorpromazin, ondansetron, palonosetron, prometazin, skopolamin og tropisetron. </w:t>
      </w:r>
    </w:p>
    <w:p w:rsidR="00C86318" w:rsidRPr="00C86318" w:rsidP="00C86318" w14:paraId="3493D78D" w14:textId="77777777">
      <w:pPr>
        <w:spacing w:before="0" w:after="0"/>
        <w:rPr>
          <w:rFonts w:ascii="Times New Roman" w:hAnsi="Times New Roman" w:cs="Times New Roman"/>
          <w:szCs w:val="20"/>
        </w:rPr>
      </w:pPr>
    </w:p>
    <w:p w:rsidR="00C86318" w:rsidRPr="00C86318" w:rsidP="00851976" w14:paraId="26C114DD" w14:textId="77777777">
      <w:pPr>
        <w:keepNext/>
        <w:spacing w:before="0" w:after="0"/>
        <w:outlineLvl w:val="1"/>
        <w:rPr>
          <w:rFonts w:ascii="Times New Roman" w:hAnsi="Times New Roman" w:cs="Times New Roman"/>
          <w:b/>
          <w:sz w:val="28"/>
          <w:szCs w:val="20"/>
        </w:rPr>
      </w:pPr>
      <w:r w:rsidRPr="00C86318">
        <w:rPr>
          <w:rFonts w:ascii="Times New Roman" w:hAnsi="Times New Roman" w:cs="Times New Roman"/>
          <w:b/>
          <w:sz w:val="28"/>
          <w:szCs w:val="20"/>
        </w:rPr>
        <w:t>Behandling av forstoppelse</w:t>
      </w:r>
    </w:p>
    <w:p w:rsidR="00C86318" w:rsidRPr="00C86318" w:rsidP="00C86318" w14:paraId="584A378D" w14:textId="77777777">
      <w:pPr>
        <w:spacing w:before="0" w:after="0"/>
        <w:rPr>
          <w:rFonts w:ascii="Times New Roman" w:hAnsi="Times New Roman" w:cs="Times New Roman"/>
          <w:szCs w:val="20"/>
        </w:rPr>
      </w:pPr>
      <w:r w:rsidRPr="00C86318">
        <w:rPr>
          <w:rFonts w:ascii="Times New Roman" w:hAnsi="Times New Roman" w:cs="Times New Roman"/>
          <w:szCs w:val="20"/>
        </w:rPr>
        <w:t>Vanlige laksantia kan brukes, f. eks. laktulose 20 -30 ml/d. Ved uttalt tarmparese kan neostigmin overveies.</w:t>
      </w:r>
    </w:p>
    <w:p w:rsidR="00C86318" w:rsidRPr="00C86318" w:rsidP="00C86318" w14:paraId="32421130" w14:textId="77777777">
      <w:pPr>
        <w:spacing w:before="0" w:after="0"/>
        <w:rPr>
          <w:rFonts w:ascii="Times New Roman" w:hAnsi="Times New Roman" w:cs="Times New Roman"/>
          <w:szCs w:val="20"/>
        </w:rPr>
      </w:pPr>
    </w:p>
    <w:p w:rsidR="00C86318" w:rsidRPr="00C86318" w:rsidP="00851976" w14:paraId="2B9A26AC" w14:textId="77777777">
      <w:pPr>
        <w:keepNext/>
        <w:spacing w:before="0" w:after="0"/>
        <w:outlineLvl w:val="1"/>
        <w:rPr>
          <w:rFonts w:ascii="Times New Roman" w:hAnsi="Times New Roman" w:cs="Times New Roman"/>
          <w:b/>
          <w:sz w:val="28"/>
          <w:szCs w:val="20"/>
        </w:rPr>
      </w:pPr>
      <w:r w:rsidRPr="00C86318">
        <w:rPr>
          <w:rFonts w:ascii="Times New Roman" w:hAnsi="Times New Roman" w:cs="Times New Roman"/>
          <w:b/>
          <w:sz w:val="28"/>
          <w:szCs w:val="20"/>
        </w:rPr>
        <w:t>Behandling av psykiske symptomer</w:t>
      </w:r>
    </w:p>
    <w:p w:rsidR="00C86318" w:rsidRPr="00C86318" w:rsidP="00C86318" w14:paraId="53CA4BDB" w14:textId="77777777">
      <w:pPr>
        <w:spacing w:before="0" w:after="0"/>
        <w:rPr>
          <w:rFonts w:ascii="Times New Roman" w:hAnsi="Times New Roman" w:cs="Times New Roman"/>
          <w:sz w:val="32"/>
          <w:szCs w:val="20"/>
        </w:rPr>
      </w:pPr>
      <w:r w:rsidRPr="00C86318">
        <w:rPr>
          <w:rFonts w:ascii="Times New Roman" w:hAnsi="Times New Roman" w:cs="Times New Roman"/>
          <w:szCs w:val="20"/>
        </w:rPr>
        <w:t>Psykiske symptomer forekommer ved ca. 50% av akutte porfyrianfall. Symptomene kan variere fra angst, depresjon og apati på den ene side og søvnløshet, rastløshet, irritabilitet, agitasjon, forvirring eller hallusinasjoner på den andre. Klorpromazin eller dixyrazin kan i mange tilfeller være nyttig å bruke. Andre trygge psykofarmaka: Levomepromazin, flufenazin, perfenazin, proklorperazin, haloperidol, klozapin, olanzapin, oksazepam, lorazepam, alprazolam, zopiklon og triazolam.</w:t>
      </w:r>
    </w:p>
    <w:p w:rsidR="00C86318" w:rsidRPr="00C86318" w:rsidP="00C86318" w14:paraId="12CCF351" w14:textId="77777777">
      <w:pPr>
        <w:spacing w:before="0" w:after="0"/>
        <w:rPr>
          <w:rFonts w:ascii="Times New Roman" w:hAnsi="Times New Roman" w:cs="Times New Roman"/>
          <w:szCs w:val="20"/>
        </w:rPr>
      </w:pPr>
      <w:r w:rsidRPr="00C86318">
        <w:rPr>
          <w:rFonts w:ascii="Times New Roman" w:hAnsi="Times New Roman" w:cs="Times New Roman"/>
          <w:color w:val="FF0000"/>
          <w:szCs w:val="20"/>
        </w:rPr>
        <w:t xml:space="preserve"> </w:t>
      </w:r>
      <w:r w:rsidRPr="00C86318">
        <w:rPr>
          <w:rFonts w:ascii="Times New Roman" w:hAnsi="Times New Roman" w:cs="Times New Roman"/>
          <w:szCs w:val="20"/>
        </w:rPr>
        <w:t xml:space="preserve">  </w:t>
      </w:r>
    </w:p>
    <w:p w:rsidR="00C86318" w:rsidRPr="00C86318" w:rsidP="00851976" w14:paraId="5B9F2D56" w14:textId="77777777">
      <w:pPr>
        <w:keepNext/>
        <w:spacing w:before="0" w:after="0"/>
        <w:outlineLvl w:val="1"/>
        <w:rPr>
          <w:rFonts w:ascii="Times New Roman" w:hAnsi="Times New Roman" w:cs="Times New Roman"/>
          <w:b/>
          <w:sz w:val="28"/>
          <w:szCs w:val="20"/>
        </w:rPr>
      </w:pPr>
      <w:r w:rsidRPr="00C86318">
        <w:rPr>
          <w:rFonts w:ascii="Times New Roman" w:hAnsi="Times New Roman" w:cs="Times New Roman"/>
          <w:b/>
          <w:sz w:val="28"/>
          <w:szCs w:val="20"/>
        </w:rPr>
        <w:t>Behandling av hypertensjon og takykardi</w:t>
      </w:r>
    </w:p>
    <w:p w:rsidR="00851976" w:rsidP="00C86318" w14:paraId="3F643953" w14:textId="77777777">
      <w:pPr>
        <w:spacing w:before="0" w:after="0"/>
        <w:rPr>
          <w:rFonts w:ascii="Times New Roman" w:hAnsi="Times New Roman" w:cs="Times New Roman"/>
          <w:szCs w:val="20"/>
        </w:rPr>
      </w:pPr>
      <w:r w:rsidRPr="00C86318">
        <w:rPr>
          <w:rFonts w:ascii="Times New Roman" w:hAnsi="Times New Roman" w:cs="Times New Roman"/>
          <w:szCs w:val="20"/>
        </w:rPr>
        <w:t>Takykardi</w:t>
      </w:r>
      <w:r w:rsidRPr="00C86318">
        <w:rPr>
          <w:rFonts w:ascii="Times New Roman" w:hAnsi="Times New Roman" w:cs="Times New Roman"/>
          <w:szCs w:val="20"/>
        </w:rPr>
        <w:t xml:space="preserve"> og hypertensjon forekommer hyppig ved akutte porfyrianfall. Ofte sees en betydelig overaktivering av det sympatiske nervesystemet (p.g.a. en adrenerg storm på linje med et feokromocytom). Puls og blodtrykk er ofte labile, kan føre til hypertensiv encefalopati </w:t>
      </w:r>
      <w:r w:rsidRPr="00C86318">
        <w:rPr>
          <w:rFonts w:ascii="Times New Roman" w:hAnsi="Times New Roman" w:cs="Times New Roman"/>
          <w:szCs w:val="20"/>
        </w:rPr>
        <w:t>og bør derfor monitoreres. Symptomene fører dessuten ofte til økt engstelse og ugunstig psykisk stress hos pasienten. Takykardi og hypertensjon bør derfor behandles med legemiddeldoser som gir en normalisering. Behandles trygt med en rekke betablokker</w:t>
      </w:r>
      <w:r w:rsidRPr="00C86318">
        <w:rPr>
          <w:rFonts w:ascii="Times New Roman" w:hAnsi="Times New Roman" w:cs="Times New Roman"/>
          <w:szCs w:val="20"/>
        </w:rPr>
        <w:t xml:space="preserve">e. </w:t>
      </w:r>
    </w:p>
    <w:p w:rsidR="00851976" w:rsidP="00C86318" w14:paraId="010390AC" w14:textId="77777777">
      <w:pPr>
        <w:spacing w:before="0" w:after="0"/>
        <w:rPr>
          <w:rFonts w:ascii="Times New Roman" w:hAnsi="Times New Roman" w:cs="Times New Roman"/>
          <w:szCs w:val="20"/>
        </w:rPr>
      </w:pPr>
    </w:p>
    <w:p w:rsidR="00C86318" w:rsidRPr="00C86318" w:rsidP="00C86318" w14:paraId="049B1DF4" w14:textId="02F80C7C">
      <w:pPr>
        <w:spacing w:before="0" w:after="0"/>
        <w:rPr>
          <w:rFonts w:ascii="Times New Roman" w:hAnsi="Times New Roman" w:cs="Times New Roman"/>
          <w:szCs w:val="20"/>
        </w:rPr>
      </w:pPr>
      <w:r w:rsidRPr="00C86318">
        <w:rPr>
          <w:rFonts w:ascii="Times New Roman" w:hAnsi="Times New Roman" w:cs="Times New Roman"/>
          <w:szCs w:val="20"/>
        </w:rPr>
        <w:t>Akutte porfyrianfall gir ofte en gastrointestinal tilstand som ligner en paralytisk ileus. Per oral medikasjon er derfor usikker med tanke på absorbsjonen av legemidlet og en bør i den akutte behandlingsfasen gi antihypertensiva i.v. Eksempelvis kan en bruke Labetalol (Trandate) intravenøst. Dose titreres opp til en tilstrekkelig effekt oppnås. P.g.a. sympatikus overaktivitet kreves ofte meget høye doser. Vær oppmerksom på labilt blodtrykk og postural hypotensjon. Ved kardiovaskulær instabilitet bør pasient</w:t>
      </w:r>
      <w:r w:rsidRPr="00C86318">
        <w:rPr>
          <w:rFonts w:ascii="Times New Roman" w:hAnsi="Times New Roman" w:cs="Times New Roman"/>
          <w:szCs w:val="20"/>
        </w:rPr>
        <w:t>en telemetriovervåkes.</w:t>
      </w:r>
    </w:p>
    <w:p w:rsidR="00C86318" w:rsidRPr="00C86318" w:rsidP="00C86318" w14:paraId="4DD8C7B9" w14:textId="77777777">
      <w:pPr>
        <w:spacing w:before="0" w:after="0"/>
        <w:rPr>
          <w:rFonts w:ascii="Times New Roman" w:hAnsi="Times New Roman" w:cs="Times New Roman"/>
          <w:szCs w:val="20"/>
        </w:rPr>
      </w:pPr>
    </w:p>
    <w:p w:rsidR="00C86318" w:rsidRPr="00C86318" w:rsidP="00851976" w14:paraId="1072D2E3" w14:textId="77777777">
      <w:pPr>
        <w:keepNext/>
        <w:spacing w:before="0" w:after="0"/>
        <w:outlineLvl w:val="1"/>
        <w:rPr>
          <w:rFonts w:ascii="Times New Roman" w:hAnsi="Times New Roman" w:cs="Times New Roman"/>
          <w:b/>
          <w:sz w:val="28"/>
          <w:szCs w:val="20"/>
        </w:rPr>
      </w:pPr>
      <w:r w:rsidRPr="00C86318">
        <w:rPr>
          <w:rFonts w:ascii="Times New Roman" w:hAnsi="Times New Roman" w:cs="Times New Roman"/>
          <w:b/>
          <w:sz w:val="28"/>
          <w:szCs w:val="20"/>
        </w:rPr>
        <w:t>Behandling av elektrolyttforstyrrelser</w:t>
      </w:r>
    </w:p>
    <w:p w:rsidR="00C86318" w:rsidRPr="00C86318" w:rsidP="00C86318" w14:paraId="2010F74E" w14:textId="77777777">
      <w:pPr>
        <w:spacing w:before="0" w:after="0"/>
        <w:rPr>
          <w:rFonts w:ascii="Times New Roman" w:hAnsi="Times New Roman" w:cs="Times New Roman"/>
          <w:szCs w:val="20"/>
        </w:rPr>
      </w:pPr>
      <w:r w:rsidRPr="00C86318">
        <w:rPr>
          <w:rFonts w:ascii="Times New Roman" w:hAnsi="Times New Roman" w:cs="Times New Roman"/>
          <w:szCs w:val="20"/>
        </w:rPr>
        <w:t>Elektrolyttforstyrrelsene (hyponatremi, hypokalemi, hypomagnesemi</w:t>
      </w:r>
      <w:r w:rsidRPr="00C86318">
        <w:rPr>
          <w:rFonts w:ascii="Times New Roman" w:hAnsi="Times New Roman" w:cs="Times New Roman"/>
          <w:szCs w:val="20"/>
        </w:rPr>
        <w:t xml:space="preserve">, hypokalsemi) under anfall kan bli uttalte. Epileptiske anfall har ofte sammenheng med hyponatremi og/eller hypomagnesemi. </w:t>
      </w:r>
    </w:p>
    <w:p w:rsidR="00C86318" w:rsidRPr="00C86318" w:rsidP="00C86318" w14:paraId="45EC1E96" w14:textId="77777777">
      <w:pPr>
        <w:spacing w:before="0" w:after="0"/>
        <w:rPr>
          <w:rFonts w:ascii="Times New Roman" w:hAnsi="Times New Roman" w:cs="Times New Roman"/>
          <w:szCs w:val="20"/>
        </w:rPr>
      </w:pPr>
    </w:p>
    <w:p w:rsidR="00C86318" w:rsidRPr="00C86318" w:rsidP="00C86318" w14:paraId="0E5E43A0" w14:textId="77777777">
      <w:pPr>
        <w:spacing w:before="0" w:after="0"/>
        <w:rPr>
          <w:rFonts w:ascii="Times New Roman" w:hAnsi="Times New Roman" w:cs="Times New Roman"/>
          <w:szCs w:val="20"/>
        </w:rPr>
      </w:pPr>
      <w:r w:rsidRPr="00C86318">
        <w:rPr>
          <w:rFonts w:ascii="Times New Roman" w:hAnsi="Times New Roman" w:cs="Times New Roman"/>
          <w:b/>
          <w:i/>
          <w:szCs w:val="20"/>
        </w:rPr>
        <w:t>Hypokalemi/ hypomagnesemi/</w:t>
      </w:r>
      <w:r w:rsidRPr="00C86318">
        <w:rPr>
          <w:rFonts w:ascii="Times New Roman" w:hAnsi="Times New Roman" w:cs="Times New Roman"/>
          <w:b/>
          <w:sz w:val="20"/>
          <w:szCs w:val="20"/>
        </w:rPr>
        <w:t xml:space="preserve"> </w:t>
      </w:r>
      <w:r w:rsidRPr="00C86318">
        <w:rPr>
          <w:rFonts w:ascii="Times New Roman" w:hAnsi="Times New Roman" w:cs="Times New Roman"/>
          <w:b/>
          <w:i/>
          <w:szCs w:val="20"/>
        </w:rPr>
        <w:t>hypokalsemi:</w:t>
      </w:r>
      <w:r w:rsidRPr="00C86318">
        <w:rPr>
          <w:rFonts w:ascii="Times New Roman" w:hAnsi="Times New Roman" w:cs="Times New Roman"/>
          <w:i/>
          <w:szCs w:val="20"/>
        </w:rPr>
        <w:t xml:space="preserve"> </w:t>
      </w:r>
      <w:r w:rsidRPr="00C86318">
        <w:rPr>
          <w:rFonts w:ascii="Times New Roman" w:hAnsi="Times New Roman" w:cs="Times New Roman"/>
          <w:szCs w:val="20"/>
        </w:rPr>
        <w:t>Korrigerende behandling følger vanlige medisinske retningslinjer.</w:t>
      </w:r>
    </w:p>
    <w:p w:rsidR="00C86318" w:rsidRPr="00C86318" w:rsidP="00C86318" w14:paraId="51551083" w14:textId="77777777">
      <w:pPr>
        <w:spacing w:before="0" w:after="0"/>
        <w:rPr>
          <w:rFonts w:ascii="Times New Roman" w:hAnsi="Times New Roman" w:cs="Times New Roman"/>
          <w:szCs w:val="20"/>
        </w:rPr>
      </w:pPr>
    </w:p>
    <w:p w:rsidR="00C86318" w:rsidRPr="00C86318" w:rsidP="00C86318" w14:paraId="4767650E" w14:textId="77777777">
      <w:pPr>
        <w:spacing w:before="0" w:after="0"/>
        <w:rPr>
          <w:rFonts w:ascii="Times New Roman" w:hAnsi="Times New Roman" w:cs="Times New Roman"/>
          <w:szCs w:val="20"/>
        </w:rPr>
      </w:pPr>
      <w:r w:rsidRPr="00C86318">
        <w:rPr>
          <w:rFonts w:ascii="Times New Roman" w:hAnsi="Times New Roman" w:cs="Times New Roman"/>
          <w:b/>
          <w:i/>
          <w:szCs w:val="20"/>
        </w:rPr>
        <w:t>Hyponatremi:</w:t>
      </w:r>
      <w:r w:rsidRPr="00C86318">
        <w:rPr>
          <w:rFonts w:ascii="Times New Roman" w:hAnsi="Times New Roman" w:cs="Times New Roman"/>
          <w:i/>
          <w:szCs w:val="20"/>
        </w:rPr>
        <w:t xml:space="preserve"> </w:t>
      </w:r>
      <w:r w:rsidRPr="00C86318">
        <w:rPr>
          <w:rFonts w:ascii="Times New Roman" w:hAnsi="Times New Roman" w:cs="Times New Roman"/>
          <w:szCs w:val="20"/>
        </w:rPr>
        <w:t>Hvor raskt en hyponatremi bør korrigeres, avhenger av om pasienten har nevrologiske symptomer / dysfunksjon (CNS dysfunksjon avhenger av hvor hurtig hyponatremien er utviklet og hvor uttalt den er). Følgende hovedretningslinjer for behandling anbefales:</w:t>
      </w:r>
    </w:p>
    <w:p w:rsidR="00C86318" w:rsidRPr="00C86318" w:rsidP="00C86318" w14:paraId="649CA067" w14:textId="77777777">
      <w:pPr>
        <w:spacing w:before="0" w:after="0"/>
        <w:rPr>
          <w:rFonts w:ascii="Times New Roman" w:hAnsi="Times New Roman" w:cs="Times New Roman"/>
          <w:szCs w:val="20"/>
          <w:u w:val="single"/>
        </w:rPr>
      </w:pPr>
      <w:r w:rsidRPr="00C86318">
        <w:rPr>
          <w:rFonts w:ascii="Times New Roman" w:hAnsi="Times New Roman" w:cs="Times New Roman"/>
          <w:szCs w:val="20"/>
        </w:rPr>
        <w:t xml:space="preserve"> </w:t>
      </w:r>
    </w:p>
    <w:p w:rsidR="00C86318" w:rsidRPr="00C86318" w:rsidP="00C86318" w14:paraId="67C272D9" w14:textId="77777777">
      <w:pPr>
        <w:numPr>
          <w:ilvl w:val="0"/>
          <w:numId w:val="43"/>
        </w:numPr>
        <w:spacing w:before="0" w:after="0"/>
        <w:rPr>
          <w:rFonts w:ascii="Times New Roman" w:hAnsi="Times New Roman" w:cs="Times New Roman"/>
          <w:szCs w:val="20"/>
          <w:u w:val="single"/>
        </w:rPr>
      </w:pPr>
      <w:r w:rsidRPr="00C86318">
        <w:rPr>
          <w:rFonts w:ascii="Times New Roman" w:hAnsi="Times New Roman" w:cs="Times New Roman"/>
          <w:b/>
          <w:szCs w:val="20"/>
        </w:rPr>
        <w:t>Pasienter med alvorlig CNS-symptomatologi:</w:t>
      </w:r>
      <w:r w:rsidRPr="00C86318">
        <w:rPr>
          <w:rFonts w:ascii="Times New Roman" w:hAnsi="Times New Roman" w:cs="Times New Roman"/>
          <w:szCs w:val="20"/>
        </w:rPr>
        <w:t xml:space="preserve"> Hurtig utvikling (1-2 døgn) av alvorlig hyponatremi (&lt; 120 mmol/L) fører til hjerneødem med fare for irreversible skader. Tilstanden er forbundet med alvorlige CNS manifestasjoner (generaliserte kramper, redusert mental status eller koma, CNS hernieringsymptomer). Korrigerende behandling av hyponatremien må igangsettes umiddelbart og monitorering av elektrolytter hver time er helt nødvendig.</w:t>
      </w:r>
    </w:p>
    <w:p w:rsidR="00C86318" w:rsidRPr="00C86318" w:rsidP="00C86318" w14:paraId="29BCCA19" w14:textId="3D18AB81">
      <w:pPr>
        <w:spacing w:before="240" w:after="0"/>
        <w:ind w:left="360"/>
        <w:rPr>
          <w:rFonts w:ascii="Times New Roman" w:hAnsi="Times New Roman" w:cs="Times New Roman"/>
          <w:szCs w:val="20"/>
        </w:rPr>
      </w:pPr>
      <w:r w:rsidRPr="00C86318">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simplePos x="0" y="0"/>
                <wp:positionH relativeFrom="column">
                  <wp:posOffset>154305</wp:posOffset>
                </wp:positionH>
                <wp:positionV relativeFrom="paragraph">
                  <wp:posOffset>104775</wp:posOffset>
                </wp:positionV>
                <wp:extent cx="6009640" cy="605790"/>
                <wp:effectExtent l="7620" t="5080" r="12065" b="8255"/>
                <wp:wrapNone/>
                <wp:docPr id="1636241081" name="Rektangel 3" descr="Illustrativ"/>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09640" cy="605790"/>
                        </a:xfrm>
                        <a:prstGeom prst="rect">
                          <a:avLst/>
                        </a:prstGeom>
                        <a:noFill/>
                        <a:ln w="6350">
                          <a:solidFill>
                            <a:srgbClr val="042433"/>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wps:wsp>
                  </a:graphicData>
                </a:graphic>
                <wp14:sizeRelH relativeFrom="page">
                  <wp14:pctWidth>0</wp14:pctWidth>
                </wp14:sizeRelH>
                <wp14:sizeRelV relativeFrom="margin">
                  <wp14:pctHeight>0</wp14:pctHeight>
                </wp14:sizeRelV>
              </wp:anchor>
            </w:drawing>
          </mc:Choice>
          <mc:Fallback>
            <w:pict>
              <v:rect id="Rektangel 3" o:spid="_x0000_s1029" alt="Illustrativ" style="width:473.2pt;height:47.7pt;margin-top:8.25pt;margin-left:12.15pt;mso-height-percent:0;mso-height-relative:margin;mso-width-percent:0;mso-width-relative:page;mso-wrap-distance-bottom:0;mso-wrap-distance-left:9pt;mso-wrap-distance-right:9pt;mso-wrap-distance-top:0;mso-wrap-style:square;position:absolute;visibility:visible;v-text-anchor:middle;z-index:251669504" filled="f" strokecolor="#042433" strokeweight="0.5pt"/>
            </w:pict>
          </mc:Fallback>
        </mc:AlternateContent>
      </w:r>
      <w:r w:rsidRPr="00C86318">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simplePos x="0" y="0"/>
                <wp:positionH relativeFrom="column">
                  <wp:posOffset>826770</wp:posOffset>
                </wp:positionH>
                <wp:positionV relativeFrom="paragraph">
                  <wp:posOffset>7883525</wp:posOffset>
                </wp:positionV>
                <wp:extent cx="5732780" cy="843915"/>
                <wp:effectExtent l="0" t="0" r="20320" b="13335"/>
                <wp:wrapNone/>
                <wp:docPr id="1856219290" name="Rektangel 2"/>
                <wp:cNvGraphicFramePr/>
                <a:graphic xmlns:a="http://schemas.openxmlformats.org/drawingml/2006/main">
                  <a:graphicData uri="http://schemas.microsoft.com/office/word/2010/wordprocessingShape">
                    <wps:wsp xmlns:wps="http://schemas.microsoft.com/office/word/2010/wordprocessingShape">
                      <wps:cNvSpPr/>
                      <wps:spPr>
                        <a:xfrm>
                          <a:off x="0" y="0"/>
                          <a:ext cx="5732780" cy="843915"/>
                        </a:xfrm>
                        <a:prstGeom prst="rect">
                          <a:avLst/>
                        </a:prstGeom>
                        <a:noFill/>
                        <a:ln w="6350">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ktangel 2" o:spid="_x0000_s1030" style="width:451.4pt;height:66.45pt;margin-top:620.75pt;margin-left:65.1pt;mso-height-percent:0;mso-height-relative:margin;mso-width-percent:0;mso-width-relative:page;mso-wrap-distance-bottom:0;mso-wrap-distance-left:9pt;mso-wrap-distance-right:9pt;mso-wrap-distance-top:0;mso-wrap-style:square;position:absolute;visibility:visible;v-text-anchor:middle;z-index:251667456" filled="f" strokecolor="#042433" strokeweight="0.5pt">
                <v:path arrowok="t"/>
              </v:rect>
            </w:pict>
          </mc:Fallback>
        </mc:AlternateContent>
      </w:r>
      <w:r w:rsidRPr="00C86318">
        <w:rPr>
          <w:rFonts w:ascii="Times New Roman" w:hAnsi="Times New Roman" w:cs="Times New Roman"/>
          <w:szCs w:val="20"/>
        </w:rPr>
        <w:t>Plasma Na+ anbefales økt med 1,5 - 2 mmol/L per time de første 3 - 4 timer eller inntil symptomene forsvinner. I løpet av 24 timer skal imidlertid Na+ ikke økes mer enn 10-12 mmol/L og maksimalt 18 mmol/L på 48 timer.</w:t>
      </w:r>
    </w:p>
    <w:p w:rsidR="00C86318" w:rsidRPr="00C86318" w:rsidP="00C86318" w14:paraId="4AA1DDB3" w14:textId="77777777">
      <w:pPr>
        <w:numPr>
          <w:ilvl w:val="0"/>
          <w:numId w:val="43"/>
        </w:numPr>
        <w:spacing w:before="240" w:after="0"/>
        <w:ind w:left="357" w:hanging="357"/>
        <w:rPr>
          <w:rFonts w:ascii="Times New Roman" w:hAnsi="Times New Roman" w:cs="Times New Roman"/>
          <w:b/>
          <w:szCs w:val="20"/>
          <w:u w:val="single"/>
        </w:rPr>
      </w:pPr>
      <w:r w:rsidRPr="00C86318">
        <w:rPr>
          <w:rFonts w:ascii="Times New Roman" w:hAnsi="Times New Roman" w:cs="Times New Roman"/>
          <w:b/>
          <w:szCs w:val="20"/>
        </w:rPr>
        <w:t xml:space="preserve">Pasienter med ingen eller moderat CNS-symptomatologi: </w:t>
      </w:r>
      <w:r w:rsidRPr="00C86318">
        <w:rPr>
          <w:rFonts w:ascii="Times New Roman" w:hAnsi="Times New Roman" w:cs="Times New Roman"/>
          <w:szCs w:val="20"/>
        </w:rPr>
        <w:t>En hyponatremi</w:t>
      </w:r>
      <w:r w:rsidRPr="00C86318">
        <w:rPr>
          <w:rFonts w:ascii="Times New Roman" w:hAnsi="Times New Roman" w:cs="Times New Roman"/>
          <w:szCs w:val="20"/>
        </w:rPr>
        <w:t xml:space="preserve"> som utvikles over flere døgn gir, p.g.a. adapteringsmekanismer i hjernen, langt mindre CNS-symptomer. Selv en uttalt hyponatremi (&lt;110-115 mmol/L) kan hos slike pasienter kun resultere i moderate CNS-symptomer (tretthet, kvalme, ustøhet, nedsatt hukommelse, muskelkramper). Å sette i gang hyponatremibehanding har ikke samme uttalte hastegrad som hos pasienter med alvorlig CNS-symptomatologi, men tilstanden bør korrigeres relativt raskt (fare for generaliserte kramper). Det viktigste ved denne pasientkategor</w:t>
      </w:r>
      <w:r w:rsidRPr="00C86318">
        <w:rPr>
          <w:rFonts w:ascii="Times New Roman" w:hAnsi="Times New Roman" w:cs="Times New Roman"/>
          <w:szCs w:val="20"/>
        </w:rPr>
        <w:t>ien er at korrigeringen skjer svært langsom, støttet av hyppig elektrolytt-monitorering (hver annen time). Dersom Na</w:t>
      </w:r>
      <w:r w:rsidRPr="00C86318">
        <w:rPr>
          <w:rFonts w:ascii="Times New Roman" w:hAnsi="Times New Roman" w:cs="Times New Roman"/>
          <w:szCs w:val="20"/>
          <w:vertAlign w:val="superscript"/>
        </w:rPr>
        <w:t>+</w:t>
      </w:r>
      <w:r w:rsidRPr="00C86318">
        <w:rPr>
          <w:rFonts w:ascii="Times New Roman" w:hAnsi="Times New Roman" w:cs="Times New Roman"/>
          <w:szCs w:val="20"/>
        </w:rPr>
        <w:t xml:space="preserve"> korrigeres for raskt kan dette føre til osmotisk demyeliniserende syndrom (sentral pontin myelinolyse) med irreversible skader.</w:t>
      </w:r>
    </w:p>
    <w:p w:rsidR="00C86318" w:rsidRPr="00C86318" w:rsidP="00C86318" w14:paraId="3EC2F3D8" w14:textId="4B60A61E">
      <w:pPr>
        <w:spacing w:before="240" w:after="0"/>
        <w:ind w:left="360"/>
        <w:rPr>
          <w:rFonts w:ascii="Times New Roman" w:hAnsi="Times New Roman" w:cs="Times New Roman"/>
          <w:szCs w:val="20"/>
        </w:rPr>
      </w:pPr>
      <w:r w:rsidRPr="00C86318">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simplePos x="0" y="0"/>
                <wp:positionH relativeFrom="column">
                  <wp:posOffset>154305</wp:posOffset>
                </wp:positionH>
                <wp:positionV relativeFrom="paragraph">
                  <wp:posOffset>114935</wp:posOffset>
                </wp:positionV>
                <wp:extent cx="6009640" cy="771525"/>
                <wp:effectExtent l="7620" t="7620" r="12065" b="11430"/>
                <wp:wrapNone/>
                <wp:docPr id="811645964" name="Rektangel 1" descr="Illustrativ"/>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09640" cy="771525"/>
                        </a:xfrm>
                        <a:prstGeom prst="rect">
                          <a:avLst/>
                        </a:prstGeom>
                        <a:noFill/>
                        <a:ln w="6350">
                          <a:solidFill>
                            <a:srgbClr val="042433"/>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wps:wsp>
                  </a:graphicData>
                </a:graphic>
                <wp14:sizeRelH relativeFrom="page">
                  <wp14:pctWidth>0</wp14:pctWidth>
                </wp14:sizeRelH>
                <wp14:sizeRelV relativeFrom="margin">
                  <wp14:pctHeight>0</wp14:pctHeight>
                </wp14:sizeRelV>
              </wp:anchor>
            </w:drawing>
          </mc:Choice>
          <mc:Fallback>
            <w:pict>
              <v:rect id="Rektangel 1" o:spid="_x0000_s1031" alt="Illustrativ" style="width:473.2pt;height:60.75pt;margin-top:9.05pt;margin-left:12.15pt;mso-height-percent:0;mso-height-relative:margin;mso-width-percent:0;mso-width-relative:page;mso-wrap-distance-bottom:0;mso-wrap-distance-left:9pt;mso-wrap-distance-right:9pt;mso-wrap-distance-top:0;mso-wrap-style:square;position:absolute;visibility:visible;v-text-anchor:middle;z-index:251671552" filled="f" strokecolor="#042433" strokeweight="0.5pt"/>
            </w:pict>
          </mc:Fallback>
        </mc:AlternateContent>
      </w:r>
      <w:r w:rsidRPr="00C86318">
        <w:rPr>
          <w:rFonts w:ascii="Times New Roman" w:hAnsi="Times New Roman" w:cs="Times New Roman"/>
          <w:szCs w:val="20"/>
        </w:rPr>
        <w:t>Behandlingsmålet for de første 24 timer: Heve plasma Na+ med ≤ 8 mmol/L. Hos pasienter med moderate CNS symptomer kan plasma Na+ økes med 0,5 - 1 mmol/L per time de første 3 - 4 timer, men skal ikke overskride 8 mmol/l første døgnet. I løpet av 48 timer skal Na+-økningen ikke overskride 18 mmol/L.</w:t>
      </w:r>
    </w:p>
    <w:p w:rsidR="00C86318" w:rsidRPr="00C86318" w:rsidP="00C86318" w14:paraId="58117AD0" w14:textId="77777777">
      <w:pPr>
        <w:spacing w:before="0" w:after="0"/>
        <w:rPr>
          <w:rFonts w:ascii="Times New Roman" w:hAnsi="Times New Roman" w:cs="Times New Roman"/>
          <w:sz w:val="20"/>
          <w:szCs w:val="20"/>
        </w:rPr>
      </w:pPr>
    </w:p>
    <w:p w:rsidR="00851976" w:rsidRPr="004A62DA" w:rsidP="004A62DA" w14:paraId="7CFBB133" w14:textId="02DD8236">
      <w:pPr>
        <w:spacing w:before="0" w:after="0"/>
        <w:rPr>
          <w:rFonts w:ascii="Times New Roman" w:hAnsi="Times New Roman" w:cs="Times New Roman"/>
          <w:szCs w:val="20"/>
        </w:rPr>
      </w:pPr>
      <w:r w:rsidRPr="00C86318">
        <w:rPr>
          <w:rFonts w:ascii="Times New Roman" w:hAnsi="Times New Roman" w:cs="Times New Roman"/>
          <w:b/>
          <w:szCs w:val="20"/>
        </w:rPr>
        <w:t>Valg av behandling for å korrigere natrium:</w:t>
      </w:r>
      <w:r w:rsidRPr="00C86318">
        <w:rPr>
          <w:rFonts w:ascii="Times New Roman" w:hAnsi="Times New Roman" w:cs="Times New Roman"/>
          <w:szCs w:val="20"/>
        </w:rPr>
        <w:t xml:space="preserve"> Mekanismen for utvikling av hyponatremi ved akutte porfyrianfall er usikker, men synes å ha likhetstrekk med SIADH. Væskerestriksjon er umulig å gjennomføre p.g.a. den store mengde av intravenøs glukose (</w:t>
      </w:r>
      <w:smartTag w:uri="urn:schemas-microsoft-com:office:smarttags" w:element="metricconverter">
        <w:smartTagPr>
          <w:attr w:name="ProductID" w:val="3 L"/>
        </w:smartTagPr>
        <w:r w:rsidRPr="00C86318">
          <w:rPr>
            <w:rFonts w:ascii="Times New Roman" w:hAnsi="Times New Roman" w:cs="Times New Roman"/>
            <w:szCs w:val="20"/>
          </w:rPr>
          <w:t>3 L</w:t>
        </w:r>
      </w:smartTag>
      <w:r w:rsidRPr="00C86318">
        <w:rPr>
          <w:rFonts w:ascii="Times New Roman" w:hAnsi="Times New Roman" w:cs="Times New Roman"/>
          <w:szCs w:val="20"/>
        </w:rPr>
        <w:t>) som må gis. Isoton NaCl (Na</w:t>
      </w:r>
      <w:r w:rsidRPr="00C86318">
        <w:rPr>
          <w:rFonts w:ascii="Times New Roman" w:hAnsi="Times New Roman" w:cs="Times New Roman"/>
          <w:szCs w:val="20"/>
          <w:vertAlign w:val="superscript"/>
        </w:rPr>
        <w:t>+</w:t>
      </w:r>
      <w:r w:rsidRPr="00C86318">
        <w:rPr>
          <w:rFonts w:ascii="Times New Roman" w:hAnsi="Times New Roman" w:cs="Times New Roman"/>
          <w:szCs w:val="20"/>
        </w:rPr>
        <w:t xml:space="preserve"> ;154 mmol/L) vil ved SIADH ofte være utilstrekkelig for å kunne gi en korreksjon av natrium og hyperosmolar NaCl løsning må derfor i mange tilfeller brukes. P.g.a. faren for osmotisk demyeliniserende syndrom ved for rask stigning av Na</w:t>
      </w:r>
      <w:r w:rsidRPr="00C86318">
        <w:rPr>
          <w:rFonts w:ascii="Times New Roman" w:hAnsi="Times New Roman" w:cs="Times New Roman"/>
          <w:szCs w:val="20"/>
          <w:vertAlign w:val="superscript"/>
        </w:rPr>
        <w:t>+</w:t>
      </w:r>
      <w:r w:rsidRPr="00C86318">
        <w:rPr>
          <w:rFonts w:ascii="Times New Roman" w:hAnsi="Times New Roman" w:cs="Times New Roman"/>
          <w:szCs w:val="20"/>
        </w:rPr>
        <w:t>, er det svært viktig med en nøye kon</w:t>
      </w:r>
      <w:r w:rsidRPr="00C86318">
        <w:rPr>
          <w:rFonts w:ascii="Times New Roman" w:hAnsi="Times New Roman" w:cs="Times New Roman"/>
          <w:szCs w:val="20"/>
        </w:rPr>
        <w:t>trollert tilførsel av elektrolytter (pumpe) og svært hyppig monitorering av elektrolyttnivået ved blodprøver.</w:t>
      </w:r>
    </w:p>
    <w:p w:rsidR="00C86318" w:rsidRPr="00C86318" w:rsidP="004A62DA" w14:paraId="14FF0377" w14:textId="078463F7">
      <w:pPr>
        <w:keepNext/>
        <w:spacing w:before="360" w:after="0"/>
        <w:outlineLvl w:val="1"/>
        <w:rPr>
          <w:rFonts w:ascii="Times New Roman" w:hAnsi="Times New Roman" w:cs="Times New Roman"/>
          <w:b/>
          <w:sz w:val="28"/>
          <w:szCs w:val="20"/>
        </w:rPr>
      </w:pPr>
      <w:r w:rsidRPr="00C86318">
        <w:rPr>
          <w:rFonts w:ascii="Times New Roman" w:hAnsi="Times New Roman" w:cs="Times New Roman"/>
          <w:b/>
          <w:sz w:val="28"/>
          <w:szCs w:val="20"/>
        </w:rPr>
        <w:t>Behandling av kramper</w:t>
      </w:r>
    </w:p>
    <w:p w:rsidR="00C86318" w:rsidRPr="00C86318" w:rsidP="00C86318" w14:paraId="1634A3FB" w14:textId="77777777">
      <w:pPr>
        <w:spacing w:before="0" w:after="0"/>
        <w:rPr>
          <w:rFonts w:ascii="Times New Roman" w:hAnsi="Times New Roman" w:cs="Times New Roman"/>
          <w:szCs w:val="20"/>
        </w:rPr>
      </w:pPr>
      <w:r w:rsidRPr="00C86318">
        <w:rPr>
          <w:rFonts w:ascii="Times New Roman" w:hAnsi="Times New Roman" w:cs="Times New Roman"/>
          <w:szCs w:val="20"/>
        </w:rPr>
        <w:t xml:space="preserve">Det er viktig å monitorere og korrigere elektrolyttforstyrrelse (se over angående hyponatremi / hypomagnesemi og kramper). Diazepam kan brukes i akuttbehandlingen av et krampeanfall. Legemiddelet er klassifisert som et trygt legemiddel for pasienter med akutt porfyrisykdom. Vedvarende kramper kan behandles med klonazepam. Barbiturater er sterkt kontraindisert.      </w:t>
      </w:r>
    </w:p>
    <w:p w:rsidR="00C86318" w:rsidRPr="00C86318" w:rsidP="00B262CE" w14:paraId="0EB47506" w14:textId="77777777">
      <w:pPr>
        <w:spacing w:before="720" w:after="0"/>
        <w:rPr>
          <w:rFonts w:ascii="Times New Roman" w:hAnsi="Times New Roman" w:cs="Times New Roman"/>
          <w:szCs w:val="20"/>
        </w:rPr>
      </w:pPr>
      <w:r w:rsidRPr="00C86318">
        <w:rPr>
          <w:rFonts w:ascii="Times New Roman" w:hAnsi="Times New Roman" w:cs="Times New Roman"/>
          <w:szCs w:val="20"/>
        </w:rPr>
        <w:t>Siste faglige revisjon: 01.06.2015</w:t>
      </w:r>
    </w:p>
    <w:p w:rsidR="00C86318" w:rsidRPr="004B2EA5" w:rsidP="00C86318" w14:paraId="3BFA1A22" w14:textId="5145460F">
      <w:pPr>
        <w:spacing w:before="0" w:after="0"/>
        <w:rPr>
          <w:rFonts w:ascii="Times New Roman" w:hAnsi="Times New Roman" w:cs="Times New Roman"/>
          <w:szCs w:val="20"/>
          <w:lang w:val="nn-NO"/>
        </w:rPr>
      </w:pPr>
      <w:r w:rsidRPr="004B2EA5">
        <w:rPr>
          <w:rFonts w:ascii="Times New Roman" w:hAnsi="Times New Roman" w:cs="Times New Roman"/>
          <w:szCs w:val="20"/>
          <w:lang w:val="nn-NO"/>
        </w:rPr>
        <w:t xml:space="preserve">Oppdatert med nytt navn: </w:t>
      </w:r>
      <w:r w:rsidRPr="004B2EA5" w:rsidR="00B262CE">
        <w:rPr>
          <w:rFonts w:ascii="Times New Roman" w:hAnsi="Times New Roman" w:cs="Times New Roman"/>
          <w:szCs w:val="20"/>
          <w:lang w:val="nn-NO"/>
        </w:rPr>
        <w:t>25</w:t>
      </w:r>
      <w:r w:rsidRPr="004B2EA5">
        <w:rPr>
          <w:rFonts w:ascii="Times New Roman" w:hAnsi="Times New Roman" w:cs="Times New Roman"/>
          <w:szCs w:val="20"/>
          <w:lang w:val="nn-NO"/>
        </w:rPr>
        <w:t>.06.2026</w:t>
      </w:r>
    </w:p>
    <w:p w:rsidR="00B262CE" w:rsidRPr="004B2EA5" w:rsidP="00C86318" w14:paraId="47711D4E" w14:textId="77777777">
      <w:pPr>
        <w:spacing w:before="0" w:after="0"/>
        <w:rPr>
          <w:rFonts w:ascii="Times New Roman" w:hAnsi="Times New Roman" w:cs="Times New Roman"/>
          <w:szCs w:val="20"/>
          <w:lang w:val="nn-NO"/>
        </w:rPr>
      </w:pPr>
    </w:p>
    <w:p w:rsidR="00B262CE" w:rsidP="00B262CE" w14:paraId="2C8B3154" w14:textId="77777777">
      <w:pPr>
        <w:spacing w:before="0" w:after="0"/>
        <w:rPr>
          <w:rFonts w:ascii="Times New Roman" w:hAnsi="Times New Roman" w:cs="Times New Roman"/>
          <w:szCs w:val="20"/>
          <w:lang w:val="nn-NO"/>
        </w:rPr>
        <w:sectPr w:rsidSect="00C86318">
          <w:type w:val="continuous"/>
          <w:pgSz w:w="11907" w:h="16840" w:code="9"/>
          <w:pgMar w:top="1418" w:right="1418" w:bottom="1134" w:left="1418" w:header="397" w:footer="170" w:gutter="0"/>
          <w:pgNumType w:start="1"/>
          <w:cols w:space="708"/>
          <w:formProt w:val="0"/>
          <w:titlePg/>
          <w:docGrid w:linePitch="326"/>
        </w:sectPr>
      </w:pPr>
    </w:p>
    <w:p w:rsidR="00B262CE" w:rsidP="00B262CE" w14:paraId="427EECFE" w14:textId="79AB11C0">
      <w:pPr>
        <w:spacing w:before="600" w:after="0"/>
        <w:rPr>
          <w:rFonts w:ascii="Times New Roman" w:hAnsi="Times New Roman" w:cs="Times New Roman"/>
          <w:szCs w:val="20"/>
          <w:lang w:val="nn-NO"/>
        </w:rPr>
      </w:pPr>
      <w:r w:rsidRPr="00C86318">
        <w:rPr>
          <w:rFonts w:ascii="Times New Roman" w:hAnsi="Times New Roman" w:cs="Times New Roman"/>
          <w:szCs w:val="20"/>
          <w:lang w:val="nn-NO"/>
        </w:rPr>
        <w:t>Sverre Sandberg</w:t>
      </w:r>
      <w:r w:rsidRPr="00B262CE">
        <w:rPr>
          <w:rFonts w:ascii="Times New Roman" w:hAnsi="Times New Roman" w:cs="Times New Roman"/>
          <w:szCs w:val="20"/>
          <w:lang w:val="nn-NO"/>
        </w:rPr>
        <w:br/>
      </w:r>
      <w:r w:rsidRPr="00C86318">
        <w:rPr>
          <w:rFonts w:ascii="Times New Roman" w:hAnsi="Times New Roman" w:cs="Times New Roman"/>
          <w:szCs w:val="20"/>
          <w:lang w:val="nn-NO"/>
        </w:rPr>
        <w:t>Overlege, Prof. dr.med</w:t>
      </w:r>
      <w:r>
        <w:rPr>
          <w:rFonts w:ascii="Times New Roman" w:hAnsi="Times New Roman" w:cs="Times New Roman"/>
          <w:szCs w:val="20"/>
          <w:lang w:val="nn-NO"/>
        </w:rPr>
        <w:br/>
      </w:r>
      <w:r w:rsidRPr="00C86318">
        <w:rPr>
          <w:rFonts w:ascii="Times New Roman" w:hAnsi="Times New Roman" w:cs="Times New Roman"/>
          <w:szCs w:val="20"/>
          <w:lang w:val="nn-NO"/>
        </w:rPr>
        <w:t>Napo</w:t>
      </w:r>
      <w:r>
        <w:rPr>
          <w:rFonts w:ascii="Times New Roman" w:hAnsi="Times New Roman" w:cs="Times New Roman"/>
          <w:szCs w:val="20"/>
          <w:lang w:val="nn-NO"/>
        </w:rPr>
        <w:t>s</w:t>
      </w:r>
    </w:p>
    <w:p w:rsidR="00C86318" w:rsidRPr="00C86318" w:rsidP="00B262CE" w14:paraId="72D7C645" w14:textId="52452A91">
      <w:pPr>
        <w:spacing w:before="600" w:after="0"/>
        <w:rPr>
          <w:rFonts w:ascii="Times New Roman" w:hAnsi="Times New Roman" w:cs="Times New Roman"/>
          <w:szCs w:val="20"/>
          <w:lang w:val="nn-NO"/>
        </w:rPr>
      </w:pPr>
      <w:r w:rsidRPr="00B262CE">
        <w:rPr>
          <w:rFonts w:ascii="Times New Roman" w:hAnsi="Times New Roman" w:cs="Times New Roman"/>
          <w:szCs w:val="20"/>
          <w:lang w:val="nn-NO"/>
        </w:rPr>
        <w:t xml:space="preserve"> </w:t>
      </w:r>
      <w:r w:rsidRPr="00C86318">
        <w:rPr>
          <w:rFonts w:ascii="Times New Roman" w:hAnsi="Times New Roman" w:cs="Times New Roman"/>
          <w:szCs w:val="20"/>
          <w:lang w:val="nn-NO"/>
        </w:rPr>
        <w:t>Atle Brun</w:t>
      </w:r>
    </w:p>
    <w:p w:rsidR="00C86318" w:rsidP="00C86318" w14:paraId="5ADE2E31" w14:textId="3FE438C8">
      <w:pPr>
        <w:spacing w:before="0" w:after="0"/>
        <w:rPr>
          <w:rFonts w:ascii="Times New Roman" w:hAnsi="Times New Roman" w:cs="Times New Roman"/>
          <w:szCs w:val="20"/>
        </w:rPr>
      </w:pPr>
      <w:r w:rsidRPr="00C86318">
        <w:rPr>
          <w:rFonts w:ascii="Times New Roman" w:hAnsi="Times New Roman" w:cs="Times New Roman"/>
          <w:szCs w:val="20"/>
        </w:rPr>
        <w:t>Overlege, dr.me</w:t>
      </w:r>
      <w:r w:rsidR="00B262CE">
        <w:rPr>
          <w:rFonts w:ascii="Times New Roman" w:hAnsi="Times New Roman" w:cs="Times New Roman"/>
          <w:szCs w:val="20"/>
        </w:rPr>
        <w:t>d</w:t>
      </w:r>
    </w:p>
    <w:p w:rsidR="00B262CE" w:rsidP="00C86318" w14:paraId="72F02B25" w14:textId="77777777">
      <w:pPr>
        <w:spacing w:before="0" w:after="0"/>
        <w:rPr>
          <w:rFonts w:ascii="Times New Roman" w:hAnsi="Times New Roman" w:cs="Times New Roman"/>
          <w:szCs w:val="20"/>
        </w:rPr>
        <w:sectPr w:rsidSect="00B262CE">
          <w:type w:val="continuous"/>
          <w:pgSz w:w="11907" w:h="16840" w:code="9"/>
          <w:pgMar w:top="1418" w:right="1418" w:bottom="1134" w:left="1418" w:header="397" w:footer="170" w:gutter="0"/>
          <w:pgNumType w:start="1"/>
          <w:cols w:num="2" w:space="709"/>
          <w:formProt w:val="0"/>
          <w:titlePg/>
          <w:docGrid w:linePitch="326"/>
        </w:sectPr>
      </w:pPr>
    </w:p>
    <w:p w:rsidR="00B262CE" w:rsidRPr="00C86318" w:rsidP="00C86318" w14:paraId="5359868A" w14:textId="77777777">
      <w:pPr>
        <w:spacing w:before="0" w:after="0"/>
        <w:rPr>
          <w:rFonts w:ascii="Times New Roman" w:hAnsi="Times New Roman" w:cs="Times New Roman"/>
          <w:szCs w:val="20"/>
        </w:rPr>
      </w:pPr>
    </w:p>
    <w:sectPr w:rsidSect="00C86318">
      <w:type w:val="continuous"/>
      <w:pgSz w:w="11907" w:h="16840" w:code="9"/>
      <w:pgMar w:top="1418" w:right="1418" w:bottom="1134" w:left="1418" w:header="397" w:footer="170" w:gutter="0"/>
      <w:pgNumType w:start="1"/>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926C1" w14:paraId="6475DA07" w14:textId="77777777">
      <w:pPr>
        <w:spacing w:before="0" w:after="0"/>
      </w:pPr>
      <w:r>
        <w:separator/>
      </w:r>
    </w:p>
  </w:endnote>
  <w:endnote w:type="continuationSeparator" w:id="1">
    <w:p w:rsidR="008926C1" w14:paraId="64D7B493"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jc w:val="center"/>
      <w:tblBorders>
        <w:top w:val="single" w:sz="4" w:space="0" w:color="auto"/>
      </w:tblBorders>
      <w:tblCellMar>
        <w:left w:w="70" w:type="dxa"/>
        <w:right w:w="70" w:type="dxa"/>
      </w:tblCellMar>
      <w:tblLook w:val="0000"/>
    </w:tblPr>
    <w:tblGrid>
      <w:gridCol w:w="1187"/>
      <w:gridCol w:w="5153"/>
      <w:gridCol w:w="2733"/>
    </w:tblGrid>
    <w:tr w14:paraId="52098FBC" w14:textId="77777777" w:rsidTr="005A6D97">
      <w:tblPrEx>
        <w:tblW w:w="0" w:type="auto"/>
        <w:jc w:val="center"/>
        <w:tblBorders>
          <w:top w:val="single" w:sz="4" w:space="0" w:color="auto"/>
        </w:tblBorders>
        <w:tblCellMar>
          <w:left w:w="70" w:type="dxa"/>
          <w:right w:w="70" w:type="dxa"/>
        </w:tblCellMar>
        <w:tblLook w:val="0000"/>
      </w:tblPrEx>
      <w:trPr>
        <w:trHeight w:val="270"/>
        <w:jc w:val="center"/>
      </w:trPr>
      <w:tc>
        <w:tcPr>
          <w:tcW w:w="1204" w:type="dxa"/>
          <w:tcBorders>
            <w:right w:val="single" w:sz="4" w:space="0" w:color="auto"/>
          </w:tcBorders>
        </w:tcPr>
        <w:p w:rsidR="002348BC" w:rsidP="005A6D97" w14:paraId="52098FB9" w14:textId="30B65AE5">
          <w:pPr>
            <w:pStyle w:val="Footer"/>
            <w:rPr>
              <w:sz w:val="16"/>
            </w:rPr>
          </w:pPr>
          <w:r>
            <w:rPr>
              <w:noProof/>
              <w:sz w:val="16"/>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1405255" cy="345440"/>
                    <wp:effectExtent l="0" t="0" r="4445" b="0"/>
                    <wp:wrapNone/>
                    <wp:docPr id="1957788839" name="Tekstboks 2"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5255" cy="345440"/>
                            </a:xfrm>
                            <a:prstGeom prst="rect">
                              <a:avLst/>
                            </a:prstGeom>
                            <a:noFill/>
                            <a:ln>
                              <a:noFill/>
                            </a:ln>
                          </wps:spPr>
                          <wps:txbx>
                            <w:txbxContent>
                              <w:p w:rsidR="00444B43" w:rsidRPr="00444B43" w:rsidP="00444B43" w14:textId="77777777">
                                <w:pPr>
                                  <w:rPr>
                                    <w:rFonts w:ascii="Calibri" w:eastAsia="Calibri" w:hAnsi="Calibri" w:cs="Calibri"/>
                                    <w:noProof/>
                                    <w:color w:val="000000"/>
                                    <w:sz w:val="20"/>
                                    <w:szCs w:val="20"/>
                                  </w:rPr>
                                </w:pPr>
                                <w:r w:rsidRPr="00444B43">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2" o:spid="_x0000_s2049" type="#_x0000_t202" alt="Følsomhet Intern (gul)" style="width:110.6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z-index:251658240" filled="f" fillcolor="this" stroked="f">
                    <v:textbox style="mso-fit-shape-to-text:t" inset="20pt,0,0,15pt">
                      <w:txbxContent>
                        <w:p w:rsidR="00444B43" w:rsidRPr="00444B43" w:rsidP="00444B43" w14:paraId="5A4AAB14" w14:textId="77777777">
                          <w:pPr>
                            <w:rPr>
                              <w:rFonts w:ascii="Calibri" w:eastAsia="Calibri" w:hAnsi="Calibri" w:cs="Calibri"/>
                              <w:noProof/>
                              <w:color w:val="000000"/>
                              <w:sz w:val="20"/>
                              <w:szCs w:val="20"/>
                            </w:rPr>
                          </w:pPr>
                          <w:r w:rsidRPr="00444B43">
                            <w:rPr>
                              <w:rFonts w:ascii="Calibri" w:eastAsia="Calibri" w:hAnsi="Calibri" w:cs="Calibri"/>
                              <w:noProof/>
                              <w:color w:val="000000"/>
                              <w:sz w:val="20"/>
                              <w:szCs w:val="20"/>
                            </w:rPr>
                            <w:t>Følsomhet Intern (gul)</w:t>
                          </w:r>
                        </w:p>
                      </w:txbxContent>
                    </v:textbox>
                  </v:shape>
                </w:pict>
              </mc:Fallback>
            </mc:AlternateContent>
          </w: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sidR="00C4760F">
            <w:rPr>
              <w:rStyle w:val="PageNumber"/>
              <w:noProof/>
              <w:sz w:val="16"/>
            </w:rPr>
            <w:t>2</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sidR="00C4760F">
            <w:rPr>
              <w:rStyle w:val="PageNumber"/>
              <w:noProof/>
              <w:sz w:val="16"/>
            </w:rPr>
            <w:t>2</w:t>
          </w:r>
          <w:r>
            <w:rPr>
              <w:rStyle w:val="PageNumber"/>
              <w:sz w:val="16"/>
            </w:rPr>
            <w:fldChar w:fldCharType="end"/>
          </w:r>
        </w:p>
      </w:tc>
      <w:tc>
        <w:tcPr>
          <w:tcW w:w="5245" w:type="dxa"/>
          <w:tcBorders>
            <w:left w:val="single" w:sz="4" w:space="0" w:color="auto"/>
            <w:right w:val="single" w:sz="4" w:space="0" w:color="auto"/>
          </w:tcBorders>
        </w:tcPr>
        <w:p w:rsidR="002348BC" w:rsidP="005A6D97" w14:paraId="52098FBA" w14:textId="144FB0AC">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r>
            <w:rPr>
              <w:sz w:val="16"/>
            </w:rPr>
            <w:t xml:space="preserve">: </w:t>
          </w:r>
        </w:p>
      </w:tc>
      <w:tc>
        <w:tcPr>
          <w:tcW w:w="2762" w:type="dxa"/>
          <w:tcBorders>
            <w:left w:val="single" w:sz="4" w:space="0" w:color="auto"/>
          </w:tcBorders>
        </w:tcPr>
        <w:p w:rsidR="002348BC" w:rsidP="005A6D97" w14:paraId="52098FBB" w14:textId="77777777">
          <w:pPr>
            <w:pStyle w:val="Footer"/>
            <w:jc w:val="right"/>
            <w:rPr>
              <w:sz w:val="16"/>
            </w:rPr>
          </w:pPr>
          <w:r>
            <w:rPr>
              <w:sz w:val="16"/>
            </w:rPr>
            <w:t xml:space="preserve">Ref. 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13.4.24.8-12</w:t>
          </w:r>
          <w:r>
            <w:rPr>
              <w:color w:val="000080"/>
              <w:sz w:val="16"/>
            </w:rPr>
            <w:fldChar w:fldCharType="end"/>
          </w:r>
        </w:p>
      </w:tc>
    </w:tr>
  </w:tbl>
  <w:p w:rsidR="002348BC" w:rsidP="002348BC" w14:paraId="52098FBD" w14:textId="77777777">
    <w:pPr>
      <w:pStyle w:val="Footer"/>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5000" w:type="pct"/>
      <w:tblBorders>
        <w:top w:val="single" w:sz="4" w:space="0" w:color="auto"/>
      </w:tblBorders>
      <w:tblCellMar>
        <w:left w:w="70" w:type="dxa"/>
        <w:right w:w="70" w:type="dxa"/>
      </w:tblCellMar>
      <w:tblLook w:val="0000"/>
    </w:tblPr>
    <w:tblGrid>
      <w:gridCol w:w="5860"/>
      <w:gridCol w:w="3211"/>
    </w:tblGrid>
    <w:tr w14:paraId="002F653F" w14:textId="77777777" w:rsidTr="0072068F">
      <w:tblPrEx>
        <w:tblW w:w="5000" w:type="pct"/>
        <w:tblBorders>
          <w:top w:val="single" w:sz="4" w:space="0" w:color="auto"/>
        </w:tblBorders>
        <w:tblCellMar>
          <w:left w:w="70" w:type="dxa"/>
          <w:right w:w="70" w:type="dxa"/>
        </w:tblCellMar>
        <w:tblLook w:val="0000"/>
      </w:tblPrEx>
      <w:trPr>
        <w:trHeight w:val="340"/>
      </w:trPr>
      <w:tc>
        <w:tcPr>
          <w:tcW w:w="3230" w:type="pct"/>
          <w:vAlign w:val="center"/>
        </w:tcPr>
        <w:p w:rsidR="0072068F" w:rsidRPr="00633B83" w:rsidP="0072068F" w14:paraId="50C8C90C" w14:textId="07A0E327">
          <w:pPr>
            <w:spacing w:before="0" w:after="0"/>
            <w:rPr>
              <w:sz w:val="16"/>
              <w:szCs w:val="16"/>
            </w:rPr>
          </w:pPr>
          <w:r w:rsidRPr="00633B83">
            <w:rPr>
              <w:sz w:val="16"/>
              <w:szCs w:val="16"/>
            </w:rPr>
            <w:fldChar w:fldCharType="begin" w:fldLock="1"/>
          </w:r>
          <w:r w:rsidRPr="00633B83">
            <w:rPr>
              <w:sz w:val="16"/>
              <w:szCs w:val="16"/>
            </w:rPr>
            <w:instrText>DOCPROPERTY EK_DokTittel \*charformat \* MERGEFORMAT</w:instrText>
          </w:r>
          <w:r w:rsidRPr="00633B83">
            <w:rPr>
              <w:sz w:val="16"/>
              <w:szCs w:val="16"/>
            </w:rPr>
            <w:fldChar w:fldCharType="separate"/>
          </w:r>
          <w:r w:rsidRPr="00633B83">
            <w:rPr>
              <w:noProof/>
              <w:sz w:val="16"/>
              <w:szCs w:val="16"/>
            </w:rPr>
            <w:t>Rutiner for sykehusbehandling</w:t>
          </w:r>
          <w:r w:rsidRPr="00633B83">
            <w:rPr>
              <w:sz w:val="16"/>
              <w:szCs w:val="16"/>
            </w:rPr>
            <w:t xml:space="preserve"> av akutte porfyrianfall</w:t>
          </w:r>
          <w:r w:rsidRPr="00633B83">
            <w:rPr>
              <w:sz w:val="16"/>
              <w:szCs w:val="16"/>
            </w:rPr>
            <w:fldChar w:fldCharType="end"/>
          </w:r>
        </w:p>
        <w:p w:rsidR="0072068F" w:rsidRPr="00633B83" w:rsidP="0072068F" w14:paraId="41D5ADA2" w14:textId="77777777">
          <w:pPr>
            <w:spacing w:before="0" w:after="0"/>
            <w:rPr>
              <w:sz w:val="16"/>
              <w:szCs w:val="16"/>
            </w:rPr>
          </w:pPr>
          <w:r w:rsidRPr="00633B83">
            <w:rPr>
              <w:sz w:val="16"/>
              <w:szCs w:val="16"/>
            </w:rPr>
            <w:t xml:space="preserve">Versjon </w:t>
          </w:r>
          <w:r w:rsidRPr="00633B83">
            <w:rPr>
              <w:sz w:val="16"/>
              <w:szCs w:val="16"/>
            </w:rPr>
            <w:fldChar w:fldCharType="begin" w:fldLock="1"/>
          </w:r>
          <w:r w:rsidRPr="00633B83">
            <w:rPr>
              <w:sz w:val="16"/>
              <w:szCs w:val="16"/>
            </w:rPr>
            <w:instrText xml:space="preserve"> DOCPROPERTY EK_Utgave </w:instrText>
          </w:r>
          <w:r w:rsidRPr="00633B83">
            <w:rPr>
              <w:sz w:val="16"/>
              <w:szCs w:val="16"/>
            </w:rPr>
            <w:fldChar w:fldCharType="separate"/>
          </w:r>
          <w:r w:rsidRPr="00633B83">
            <w:rPr>
              <w:sz w:val="16"/>
              <w:szCs w:val="16"/>
            </w:rPr>
            <w:t>2.00</w:t>
          </w:r>
          <w:r w:rsidRPr="00633B83">
            <w:rPr>
              <w:sz w:val="16"/>
              <w:szCs w:val="16"/>
            </w:rPr>
            <w:fldChar w:fldCharType="end"/>
          </w:r>
          <w:r w:rsidRPr="00633B83">
            <w:rPr>
              <w:sz w:val="16"/>
              <w:szCs w:val="16"/>
            </w:rPr>
            <w:t xml:space="preserve">/ </w:t>
          </w:r>
          <w:r w:rsidRPr="00633B83">
            <w:rPr>
              <w:sz w:val="16"/>
              <w:szCs w:val="16"/>
            </w:rPr>
            <w:fldChar w:fldCharType="begin" w:fldLock="1"/>
          </w:r>
          <w:r w:rsidRPr="00633B83">
            <w:rPr>
              <w:sz w:val="16"/>
              <w:szCs w:val="16"/>
            </w:rPr>
            <w:instrText xml:space="preserve"> DOCPROPERTY EK_GjelderFra </w:instrText>
          </w:r>
          <w:r w:rsidRPr="00633B83">
            <w:rPr>
              <w:sz w:val="16"/>
              <w:szCs w:val="16"/>
            </w:rPr>
            <w:fldChar w:fldCharType="separate"/>
          </w:r>
          <w:r w:rsidRPr="00633B83">
            <w:rPr>
              <w:sz w:val="16"/>
              <w:szCs w:val="16"/>
            </w:rPr>
            <w:t>01.07.2026</w:t>
          </w:r>
          <w:r w:rsidRPr="00633B83">
            <w:rPr>
              <w:sz w:val="16"/>
              <w:szCs w:val="16"/>
            </w:rPr>
            <w:fldChar w:fldCharType="end"/>
          </w:r>
          <w:r w:rsidRPr="00633B83">
            <w:rPr>
              <w:sz w:val="16"/>
              <w:szCs w:val="16"/>
            </w:rPr>
            <w:t xml:space="preserve">                </w:t>
          </w:r>
          <w:r w:rsidRPr="00633B83">
            <w:rPr>
              <w:sz w:val="16"/>
              <w:szCs w:val="16"/>
            </w:rPr>
            <w:t>DokumentID</w:t>
          </w:r>
          <w:r w:rsidRPr="00633B83">
            <w:rPr>
              <w:sz w:val="16"/>
              <w:szCs w:val="16"/>
            </w:rPr>
            <w:t xml:space="preserve"> </w:t>
          </w:r>
          <w:r w:rsidRPr="00633B83">
            <w:rPr>
              <w:sz w:val="16"/>
              <w:szCs w:val="16"/>
            </w:rPr>
            <w:fldChar w:fldCharType="begin" w:fldLock="1"/>
          </w:r>
          <w:r w:rsidRPr="00633B83">
            <w:rPr>
              <w:sz w:val="16"/>
              <w:szCs w:val="16"/>
            </w:rPr>
            <w:instrText xml:space="preserve"> DOCPROPERTY EK_DokumentID </w:instrText>
          </w:r>
          <w:r w:rsidRPr="00633B83">
            <w:rPr>
              <w:sz w:val="16"/>
              <w:szCs w:val="16"/>
            </w:rPr>
            <w:fldChar w:fldCharType="separate"/>
          </w:r>
          <w:r w:rsidRPr="00633B83">
            <w:rPr>
              <w:sz w:val="16"/>
              <w:szCs w:val="16"/>
            </w:rPr>
            <w:t>D84969</w:t>
          </w:r>
          <w:r w:rsidRPr="00633B83">
            <w:rPr>
              <w:sz w:val="16"/>
              <w:szCs w:val="16"/>
            </w:rPr>
            <w:fldChar w:fldCharType="end"/>
          </w:r>
        </w:p>
      </w:tc>
      <w:tc>
        <w:tcPr>
          <w:tcW w:w="1770" w:type="pct"/>
          <w:vAlign w:val="center"/>
        </w:tcPr>
        <w:p w:rsidR="0072068F" w:rsidRPr="00633B83" w:rsidP="0072068F" w14:paraId="3D7300F6" w14:textId="77777777">
          <w:pPr>
            <w:spacing w:before="0" w:after="0"/>
            <w:rPr>
              <w:sz w:val="16"/>
              <w:szCs w:val="16"/>
            </w:rPr>
          </w:pPr>
        </w:p>
        <w:p w:rsidR="0072068F" w:rsidRPr="00633B83" w:rsidP="0072068F" w14:paraId="7FF8A06D" w14:textId="77777777">
          <w:pPr>
            <w:spacing w:before="0" w:after="0"/>
            <w:jc w:val="right"/>
            <w:rPr>
              <w:sz w:val="16"/>
              <w:szCs w:val="16"/>
            </w:rPr>
          </w:pPr>
          <w:r w:rsidRPr="00633B83">
            <w:rPr>
              <w:sz w:val="16"/>
              <w:szCs w:val="16"/>
            </w:rPr>
            <w:t xml:space="preserve">Side </w:t>
          </w:r>
          <w:r w:rsidRPr="00633B83">
            <w:rPr>
              <w:rStyle w:val="PageNumber"/>
              <w:sz w:val="16"/>
              <w:szCs w:val="16"/>
            </w:rPr>
            <w:fldChar w:fldCharType="begin"/>
          </w:r>
          <w:r w:rsidRPr="00633B83">
            <w:rPr>
              <w:rStyle w:val="PageNumber"/>
              <w:sz w:val="16"/>
              <w:szCs w:val="16"/>
            </w:rPr>
            <w:instrText xml:space="preserve"> PAGE </w:instrText>
          </w:r>
          <w:r w:rsidRPr="00633B83">
            <w:rPr>
              <w:rStyle w:val="PageNumber"/>
              <w:sz w:val="16"/>
              <w:szCs w:val="16"/>
            </w:rPr>
            <w:fldChar w:fldCharType="separate"/>
          </w:r>
          <w:r w:rsidRPr="00633B83">
            <w:rPr>
              <w:rStyle w:val="PageNumber"/>
              <w:rFonts w:asciiTheme="minorHAnsi" w:hAnsiTheme="minorHAnsi" w:cs="Arial"/>
              <w:sz w:val="16"/>
              <w:szCs w:val="16"/>
              <w:lang w:val="nb-NO" w:eastAsia="nb-NO" w:bidi="ar-SA"/>
            </w:rPr>
            <w:t>7</w:t>
          </w:r>
          <w:r w:rsidRPr="00633B83">
            <w:rPr>
              <w:rStyle w:val="PageNumber"/>
              <w:sz w:val="16"/>
              <w:szCs w:val="16"/>
            </w:rPr>
            <w:fldChar w:fldCharType="end"/>
          </w:r>
          <w:r w:rsidRPr="00633B83">
            <w:rPr>
              <w:rStyle w:val="PageNumber"/>
              <w:sz w:val="16"/>
              <w:szCs w:val="16"/>
            </w:rPr>
            <w:t xml:space="preserve"> av </w:t>
          </w:r>
          <w:r w:rsidRPr="00633B83">
            <w:rPr>
              <w:rStyle w:val="PageNumber"/>
              <w:sz w:val="16"/>
              <w:szCs w:val="16"/>
            </w:rPr>
            <w:fldChar w:fldCharType="begin"/>
          </w:r>
          <w:r w:rsidRPr="00633B83">
            <w:rPr>
              <w:rStyle w:val="PageNumber"/>
              <w:sz w:val="16"/>
              <w:szCs w:val="16"/>
            </w:rPr>
            <w:instrText xml:space="preserve"> NUMPAGES  \* MERGEFORMAT </w:instrText>
          </w:r>
          <w:r w:rsidRPr="00633B83">
            <w:rPr>
              <w:rStyle w:val="PageNumber"/>
              <w:sz w:val="16"/>
              <w:szCs w:val="16"/>
            </w:rPr>
            <w:fldChar w:fldCharType="separate"/>
          </w:r>
          <w:r w:rsidRPr="00633B83">
            <w:rPr>
              <w:rStyle w:val="PageNumber"/>
              <w:rFonts w:asciiTheme="minorHAnsi" w:hAnsiTheme="minorHAnsi" w:cstheme="minorHAnsi"/>
              <w:noProof/>
              <w:sz w:val="16"/>
              <w:szCs w:val="16"/>
              <w:lang w:val="nb-NO" w:eastAsia="nb-NO" w:bidi="ar-SA"/>
            </w:rPr>
            <w:t>7</w:t>
          </w:r>
          <w:r w:rsidRPr="00633B83">
            <w:rPr>
              <w:rStyle w:val="PageNumber"/>
              <w:sz w:val="16"/>
              <w:szCs w:val="16"/>
            </w:rPr>
            <w:fldChar w:fldCharType="end"/>
          </w:r>
          <w:r w:rsidRPr="00633B83">
            <w:rPr>
              <w:sz w:val="16"/>
              <w:szCs w:val="16"/>
            </w:rPr>
            <w:t xml:space="preserve"> </w:t>
          </w:r>
        </w:p>
      </w:tc>
    </w:tr>
  </w:tbl>
  <w:p w:rsidR="008B1B4E" w:rsidRPr="00561365" w:rsidP="00561365" w14:paraId="7B8FCEA8" w14:textId="77777777">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68F" w:rsidRPr="0072068F" w:rsidP="005C0709" w14:paraId="4B9EB3B8" w14:textId="52907EE4">
    <w:pPr>
      <w:pStyle w:val="Footer"/>
      <w:spacing w:after="0"/>
      <w:rPr>
        <w:rFonts w:cstheme="minorHAnsi"/>
        <w:b/>
        <w:bCs/>
        <w:sz w:val="16"/>
      </w:rPr>
    </w:pPr>
    <w:r w:rsidRPr="0072068F">
      <w:rPr>
        <w:rFonts w:cstheme="minorHAnsi"/>
        <w:b/>
        <w:bCs/>
        <w:sz w:val="16"/>
      </w:rPr>
      <w:t>Utarbe</w:t>
    </w:r>
    <w:r>
      <w:rPr>
        <w:rFonts w:cstheme="minorHAnsi"/>
        <w:b/>
        <w:bCs/>
        <w:sz w:val="16"/>
      </w:rPr>
      <w:t>i</w:t>
    </w:r>
    <w:r w:rsidRPr="0072068F">
      <w:rPr>
        <w:rFonts w:cstheme="minorHAnsi"/>
        <w:b/>
        <w:bCs/>
        <w:sz w:val="16"/>
      </w:rPr>
      <w:t xml:space="preserve">det av: </w:t>
    </w:r>
  </w:p>
  <w:tbl>
    <w:tblPr>
      <w:tblStyle w:val="TableNormal"/>
      <w:tblW w:w="0" w:type="auto"/>
      <w:tblBorders>
        <w:top w:val="single" w:sz="4" w:space="0" w:color="auto"/>
      </w:tblBorders>
      <w:tblLayout w:type="fixed"/>
      <w:tblCellMar>
        <w:left w:w="70" w:type="dxa"/>
        <w:right w:w="70" w:type="dxa"/>
      </w:tblCellMar>
      <w:tblLook w:val="0000"/>
    </w:tblPr>
    <w:tblGrid>
      <w:gridCol w:w="3212"/>
      <w:gridCol w:w="3411"/>
      <w:gridCol w:w="2450"/>
    </w:tblGrid>
    <w:tr w14:paraId="17A031C0" w14:textId="77777777" w:rsidTr="008F48A5">
      <w:tblPrEx>
        <w:tblW w:w="0" w:type="auto"/>
        <w:tblBorders>
          <w:top w:val="single" w:sz="4" w:space="0" w:color="auto"/>
        </w:tblBorders>
        <w:tblLayout w:type="fixed"/>
        <w:tblCellMar>
          <w:left w:w="70" w:type="dxa"/>
          <w:right w:w="70" w:type="dxa"/>
        </w:tblCellMar>
        <w:tblLook w:val="0000"/>
      </w:tblPrEx>
      <w:trPr>
        <w:trHeight w:val="340"/>
      </w:trPr>
      <w:tc>
        <w:tcPr>
          <w:tcW w:w="3212" w:type="dxa"/>
          <w:vAlign w:val="center"/>
        </w:tcPr>
        <w:p w:rsidR="0072068F" w:rsidRPr="00633B83" w:rsidP="004D6E5D" w14:paraId="22617C4D" w14:textId="77777777">
          <w:pPr>
            <w:spacing w:before="0" w:after="0"/>
            <w:ind w:left="-65"/>
            <w:rPr>
              <w:sz w:val="16"/>
            </w:rPr>
          </w:pPr>
          <w:r w:rsidRPr="00633B83">
            <w:rPr>
              <w:sz w:val="16"/>
            </w:rPr>
            <w:t xml:space="preserve">Nasjonalt senter for sjeldne diagnoser, </w:t>
          </w:r>
        </w:p>
        <w:p w:rsidR="0072068F" w:rsidRPr="00633B83" w:rsidP="004D6E5D" w14:paraId="10EA6360" w14:textId="77777777">
          <w:pPr>
            <w:spacing w:before="0" w:after="0"/>
            <w:ind w:left="-65"/>
            <w:rPr>
              <w:sz w:val="16"/>
            </w:rPr>
          </w:pPr>
          <w:r w:rsidRPr="00633B83">
            <w:rPr>
              <w:sz w:val="16"/>
            </w:rPr>
            <w:t>enhet porfyrisykdommer (Napos)</w:t>
          </w:r>
        </w:p>
        <w:p w:rsidR="0072068F" w:rsidP="004D6E5D" w14:paraId="0AF325B5" w14:textId="77777777">
          <w:pPr>
            <w:spacing w:before="0" w:after="0"/>
            <w:ind w:left="-65"/>
            <w:rPr>
              <w:sz w:val="16"/>
              <w:lang w:val="nn-NO"/>
            </w:rPr>
          </w:pPr>
          <w:r>
            <w:rPr>
              <w:sz w:val="16"/>
              <w:lang w:val="nn-NO"/>
            </w:rPr>
            <w:t>Haukeland universitetssjukehus</w:t>
          </w:r>
        </w:p>
        <w:p w:rsidR="0072068F" w:rsidRPr="00965E9F" w:rsidP="004D6E5D" w14:paraId="2CFA3D56" w14:textId="5D2DDF0B">
          <w:pPr>
            <w:spacing w:before="0" w:after="0"/>
            <w:ind w:left="-65"/>
            <w:rPr>
              <w:sz w:val="16"/>
              <w:lang w:val="nn-NO"/>
            </w:rPr>
          </w:pPr>
          <w:r>
            <w:rPr>
              <w:sz w:val="16"/>
              <w:lang w:val="nn-NO"/>
            </w:rPr>
            <w:t>Postbok</w:t>
          </w:r>
          <w:r>
            <w:rPr>
              <w:sz w:val="16"/>
              <w:lang w:val="nn-NO"/>
            </w:rPr>
            <w:t>s</w:t>
          </w:r>
          <w:r>
            <w:rPr>
              <w:sz w:val="16"/>
              <w:lang w:val="nn-NO"/>
            </w:rPr>
            <w:t xml:space="preserve"> 1400, 5021 Bergen</w:t>
          </w:r>
        </w:p>
      </w:tc>
      <w:tc>
        <w:tcPr>
          <w:tcW w:w="3411" w:type="dxa"/>
          <w:vAlign w:val="center"/>
        </w:tcPr>
        <w:p w:rsidR="0072068F" w:rsidP="0072068F" w14:paraId="170FE902" w14:textId="77777777">
          <w:pPr>
            <w:spacing w:before="0" w:after="0"/>
            <w:rPr>
              <w:sz w:val="16"/>
              <w:lang w:val="nn-NO"/>
            </w:rPr>
          </w:pPr>
          <w:r>
            <w:rPr>
              <w:sz w:val="16"/>
              <w:lang w:val="nn-NO"/>
            </w:rPr>
            <w:t xml:space="preserve">Nettside: </w:t>
          </w:r>
          <w:hyperlink r:id="rId1" w:history="1">
            <w:r w:rsidRPr="00052E6B">
              <w:rPr>
                <w:rStyle w:val="Hyperlink"/>
                <w:sz w:val="16"/>
                <w:lang w:val="nn-NO"/>
              </w:rPr>
              <w:t>napos.no</w:t>
            </w:r>
          </w:hyperlink>
        </w:p>
        <w:p w:rsidR="0072068F" w:rsidP="0072068F" w14:paraId="586AA042" w14:textId="77777777">
          <w:pPr>
            <w:spacing w:before="0" w:after="0"/>
            <w:rPr>
              <w:sz w:val="16"/>
              <w:lang w:val="nn-NO"/>
            </w:rPr>
          </w:pPr>
        </w:p>
        <w:p w:rsidR="0072068F" w:rsidP="0072068F" w14:paraId="0D92D61A" w14:textId="77777777">
          <w:pPr>
            <w:spacing w:before="0" w:after="0"/>
            <w:rPr>
              <w:sz w:val="16"/>
              <w:lang w:val="nn-NO"/>
            </w:rPr>
          </w:pPr>
          <w:r>
            <w:rPr>
              <w:sz w:val="16"/>
              <w:lang w:val="nn-NO"/>
            </w:rPr>
            <w:t>Telefon: 55 97 31 70</w:t>
          </w:r>
        </w:p>
        <w:p w:rsidR="0072068F" w:rsidRPr="009F4777" w:rsidP="0072068F" w14:paraId="552C59EB" w14:textId="77777777">
          <w:pPr>
            <w:spacing w:before="0" w:after="0"/>
            <w:rPr>
              <w:sz w:val="16"/>
              <w:lang w:val="nn-NO"/>
            </w:rPr>
          </w:pPr>
          <w:r>
            <w:rPr>
              <w:sz w:val="16"/>
              <w:lang w:val="nn-NO"/>
            </w:rPr>
            <w:t xml:space="preserve">E-post: </w:t>
          </w:r>
          <w:hyperlink r:id="rId2" w:history="1">
            <w:r w:rsidRPr="00FE0162">
              <w:rPr>
                <w:rStyle w:val="Hyperlink"/>
                <w:sz w:val="16"/>
                <w:lang w:val="nn-NO"/>
              </w:rPr>
              <w:t>porfyri@helse-bergen.no</w:t>
            </w:r>
          </w:hyperlink>
        </w:p>
      </w:tc>
      <w:tc>
        <w:tcPr>
          <w:tcW w:w="2450" w:type="dxa"/>
          <w:vAlign w:val="center"/>
        </w:tcPr>
        <w:p w:rsidR="0072068F" w:rsidP="0072068F" w14:paraId="2182683C" w14:textId="77777777">
          <w:pPr>
            <w:spacing w:before="0" w:after="0"/>
            <w:rPr>
              <w:sz w:val="16"/>
            </w:rPr>
          </w:pPr>
          <w:r w:rsidRPr="00910F62">
            <w:rPr>
              <w:sz w:val="16"/>
            </w:rPr>
            <w:t xml:space="preserve">Versjon </w:t>
          </w:r>
          <w:r w:rsidRPr="00910F62">
            <w:rPr>
              <w:sz w:val="16"/>
            </w:rPr>
            <w:fldChar w:fldCharType="begin" w:fldLock="1"/>
          </w:r>
          <w:r w:rsidRPr="00910F62">
            <w:rPr>
              <w:sz w:val="16"/>
            </w:rPr>
            <w:instrText xml:space="preserve"> DOCPROPERTY EK_Utgave </w:instrText>
          </w:r>
          <w:r w:rsidRPr="00910F62">
            <w:rPr>
              <w:sz w:val="16"/>
            </w:rPr>
            <w:fldChar w:fldCharType="separate"/>
          </w:r>
          <w:r w:rsidRPr="00910F62">
            <w:rPr>
              <w:sz w:val="16"/>
            </w:rPr>
            <w:t>2.00</w:t>
          </w:r>
          <w:r w:rsidRPr="00910F62">
            <w:rPr>
              <w:sz w:val="16"/>
            </w:rPr>
            <w:fldChar w:fldCharType="end"/>
          </w:r>
          <w:r w:rsidRPr="00910F62">
            <w:rPr>
              <w:sz w:val="16"/>
            </w:rPr>
            <w:t xml:space="preserve">/ </w:t>
          </w:r>
          <w:r w:rsidRPr="00910F62">
            <w:rPr>
              <w:sz w:val="16"/>
            </w:rPr>
            <w:fldChar w:fldCharType="begin" w:fldLock="1"/>
          </w:r>
          <w:r w:rsidRPr="00910F62">
            <w:rPr>
              <w:sz w:val="16"/>
            </w:rPr>
            <w:instrText xml:space="preserve"> DOCPROPERTY EK_GjelderFra </w:instrText>
          </w:r>
          <w:r w:rsidRPr="00910F62">
            <w:rPr>
              <w:sz w:val="16"/>
            </w:rPr>
            <w:fldChar w:fldCharType="separate"/>
          </w:r>
          <w:r w:rsidRPr="00910F62">
            <w:rPr>
              <w:sz w:val="16"/>
            </w:rPr>
            <w:t>01.07.2026</w:t>
          </w:r>
          <w:r w:rsidRPr="00910F62">
            <w:rPr>
              <w:sz w:val="16"/>
            </w:rPr>
            <w:fldChar w:fldCharType="end"/>
          </w:r>
          <w:r>
            <w:rPr>
              <w:sz w:val="16"/>
            </w:rPr>
            <w:t xml:space="preserve">                </w:t>
          </w:r>
        </w:p>
        <w:p w:rsidR="0072068F" w:rsidP="0072068F" w14:paraId="22E593CD" w14:textId="77777777">
          <w:pPr>
            <w:spacing w:before="0" w:after="0"/>
            <w:rPr>
              <w:sz w:val="16"/>
            </w:rPr>
          </w:pPr>
          <w:r w:rsidRPr="00910F62">
            <w:rPr>
              <w:sz w:val="16"/>
            </w:rPr>
            <w:t>DokID</w:t>
          </w:r>
          <w:r w:rsidRPr="00910F62">
            <w:rPr>
              <w:sz w:val="16"/>
            </w:rPr>
            <w:t xml:space="preserve"> </w:t>
          </w:r>
          <w:r w:rsidRPr="00910F62">
            <w:rPr>
              <w:sz w:val="16"/>
            </w:rPr>
            <w:fldChar w:fldCharType="begin" w:fldLock="1"/>
          </w:r>
          <w:r w:rsidRPr="00910F62">
            <w:rPr>
              <w:sz w:val="16"/>
            </w:rPr>
            <w:instrText xml:space="preserve"> DOCPROPERTY EK_DokumentID </w:instrText>
          </w:r>
          <w:r w:rsidRPr="00910F62">
            <w:rPr>
              <w:sz w:val="16"/>
            </w:rPr>
            <w:fldChar w:fldCharType="separate"/>
          </w:r>
          <w:r w:rsidRPr="00910F62">
            <w:rPr>
              <w:sz w:val="16"/>
            </w:rPr>
            <w:t>D84969</w:t>
          </w:r>
          <w:r w:rsidRPr="00910F62">
            <w:rPr>
              <w:sz w:val="16"/>
            </w:rPr>
            <w:fldChar w:fldCharType="end"/>
          </w:r>
        </w:p>
        <w:p w:rsidR="0072068F" w:rsidP="0072068F" w14:paraId="5C63D652" w14:textId="77777777">
          <w:pPr>
            <w:spacing w:before="0" w:after="0"/>
            <w:rPr>
              <w:sz w:val="16"/>
            </w:rPr>
          </w:pPr>
        </w:p>
        <w:p w:rsidR="0072068F" w:rsidRPr="00910F62" w:rsidP="0072068F" w14:paraId="7D21E020" w14:textId="77777777">
          <w:pPr>
            <w:spacing w:before="0" w:after="0"/>
            <w:rPr>
              <w:sz w:val="16"/>
            </w:rPr>
          </w:pPr>
          <w:r w:rsidRPr="006F1C45">
            <w:rPr>
              <w:sz w:val="16"/>
              <w:szCs w:val="16"/>
            </w:rPr>
            <w:t xml:space="preserve">Side </w:t>
          </w:r>
          <w:r w:rsidRPr="006F1C45">
            <w:rPr>
              <w:rStyle w:val="PageNumber"/>
              <w:sz w:val="16"/>
              <w:szCs w:val="16"/>
            </w:rPr>
            <w:fldChar w:fldCharType="begin"/>
          </w:r>
          <w:r w:rsidRPr="006F1C45">
            <w:rPr>
              <w:rStyle w:val="PageNumber"/>
              <w:sz w:val="16"/>
              <w:szCs w:val="16"/>
            </w:rPr>
            <w:instrText xml:space="preserve"> PAGE </w:instrText>
          </w:r>
          <w:r w:rsidRPr="006F1C45">
            <w:rPr>
              <w:rStyle w:val="PageNumber"/>
              <w:sz w:val="16"/>
              <w:szCs w:val="16"/>
            </w:rPr>
            <w:fldChar w:fldCharType="separate"/>
          </w:r>
          <w:r w:rsidRPr="006F1C45">
            <w:rPr>
              <w:rStyle w:val="PageNumber"/>
              <w:rFonts w:asciiTheme="minorHAnsi" w:hAnsiTheme="minorHAnsi" w:cs="Arial"/>
              <w:sz w:val="16"/>
              <w:szCs w:val="16"/>
              <w:lang w:val="nb-NO" w:eastAsia="nb-NO" w:bidi="ar-SA"/>
            </w:rPr>
            <w:t>1</w:t>
          </w:r>
          <w:r w:rsidRPr="006F1C45">
            <w:rPr>
              <w:rStyle w:val="PageNumber"/>
              <w:sz w:val="16"/>
              <w:szCs w:val="16"/>
            </w:rPr>
            <w:fldChar w:fldCharType="end"/>
          </w:r>
          <w:r w:rsidRPr="006F1C45">
            <w:rPr>
              <w:rStyle w:val="PageNumber"/>
              <w:sz w:val="16"/>
              <w:szCs w:val="16"/>
            </w:rPr>
            <w:t xml:space="preserve"> av </w:t>
          </w:r>
          <w:r w:rsidRPr="006F1C45">
            <w:rPr>
              <w:rStyle w:val="PageNumber"/>
              <w:sz w:val="16"/>
              <w:szCs w:val="16"/>
            </w:rPr>
            <w:fldChar w:fldCharType="begin"/>
          </w:r>
          <w:r w:rsidRPr="006F1C45">
            <w:rPr>
              <w:rStyle w:val="PageNumber"/>
              <w:sz w:val="16"/>
              <w:szCs w:val="16"/>
            </w:rPr>
            <w:instrText xml:space="preserve"> NUMPAGES  \* MERGEFORMAT </w:instrText>
          </w:r>
          <w:r w:rsidRPr="006F1C45">
            <w:rPr>
              <w:rStyle w:val="PageNumber"/>
              <w:sz w:val="16"/>
              <w:szCs w:val="16"/>
            </w:rPr>
            <w:fldChar w:fldCharType="separate"/>
          </w:r>
          <w:r>
            <w:rPr>
              <w:rStyle w:val="PageNumber"/>
              <w:rFonts w:asciiTheme="minorHAnsi" w:hAnsiTheme="minorHAnsi" w:cstheme="minorHAnsi"/>
              <w:noProof/>
              <w:sz w:val="16"/>
              <w:szCs w:val="16"/>
              <w:lang w:val="nb-NO" w:eastAsia="nb-NO" w:bidi="ar-SA"/>
            </w:rPr>
            <w:t>7</w:t>
          </w:r>
          <w:r w:rsidRPr="006F1C45">
            <w:rPr>
              <w:rStyle w:val="PageNumber"/>
              <w:sz w:val="16"/>
              <w:szCs w:val="16"/>
            </w:rPr>
            <w:fldChar w:fldCharType="end"/>
          </w:r>
        </w:p>
      </w:tc>
    </w:tr>
  </w:tbl>
  <w:p w:rsidR="002348BC" w:rsidRPr="00BE7038" w:rsidP="002348BC" w14:paraId="52098FD3" w14:textId="1B209271">
    <w:pPr>
      <w:pStyle w:val="Footer"/>
      <w:rPr>
        <w:rFonts w:cstheme="minorHAnsi"/>
        <w:color w:val="FFFFF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26C1" w14:paraId="38FD0CA4" w14:textId="77777777">
      <w:pPr>
        <w:spacing w:before="0" w:after="0"/>
      </w:pPr>
      <w:r>
        <w:separator/>
      </w:r>
    </w:p>
  </w:footnote>
  <w:footnote w:type="continuationSeparator" w:id="1">
    <w:p w:rsidR="008926C1" w14:paraId="567875BB"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088"/>
      <w:gridCol w:w="1055"/>
    </w:tblGrid>
    <w:tr w14:paraId="52098FB3" w14:textId="77777777" w:rsidTr="005A6D9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val="576"/>
      </w:trPr>
      <w:tc>
        <w:tcPr>
          <w:tcW w:w="8088" w:type="dxa"/>
          <w:tcBorders>
            <w:left w:val="single" w:sz="4" w:space="0" w:color="auto"/>
            <w:bottom w:val="single" w:sz="4" w:space="0" w:color="auto"/>
            <w:right w:val="single" w:sz="4" w:space="0" w:color="auto"/>
          </w:tcBorders>
          <w:vAlign w:val="bottom"/>
        </w:tcPr>
        <w:p w:rsidR="002348BC" w:rsidP="005A6D97" w14:paraId="52098FB0"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Rutiner for sykehusbehandling av akutte porfyrianfall</w:t>
          </w:r>
          <w:r>
            <w:rPr>
              <w:sz w:val="28"/>
            </w:rPr>
            <w:fldChar w:fldCharType="end"/>
          </w:r>
        </w:p>
      </w:tc>
      <w:tc>
        <w:tcPr>
          <w:tcW w:w="1055" w:type="dxa"/>
          <w:tcBorders>
            <w:left w:val="single" w:sz="4" w:space="0" w:color="auto"/>
            <w:bottom w:val="single" w:sz="4" w:space="0" w:color="auto"/>
            <w:right w:val="single" w:sz="4" w:space="0" w:color="auto"/>
          </w:tcBorders>
        </w:tcPr>
        <w:p w:rsidR="002348BC" w:rsidP="005A6D97" w14:paraId="52098FB1" w14:textId="77777777">
          <w:pPr>
            <w:pStyle w:val="Header"/>
            <w:jc w:val="left"/>
            <w:rPr>
              <w:sz w:val="12"/>
            </w:rPr>
          </w:pPr>
        </w:p>
        <w:p w:rsidR="002348BC" w:rsidP="005A6D97" w14:paraId="52098FB2" w14:textId="77777777">
          <w:pPr>
            <w:pStyle w:val="Header"/>
            <w:jc w:val="left"/>
            <w:rPr>
              <w:sz w:val="28"/>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2.00</w:t>
          </w:r>
          <w:r>
            <w:rPr>
              <w:sz w:val="16"/>
            </w:rPr>
            <w:fldChar w:fldCharType="end"/>
          </w:r>
        </w:p>
      </w:tc>
    </w:tr>
  </w:tbl>
  <w:p w:rsidR="002348BC" w:rsidP="002348BC" w14:paraId="52098FB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B4E" w:rsidP="008B1B4E" w14:paraId="7E0F6E72" w14:textId="4EC02D08">
    <w:pPr>
      <w:pStyle w:val="Header"/>
      <w:jc w:val="left"/>
    </w:pPr>
    <w:r>
      <w:rPr>
        <w:noProof/>
      </w:rPr>
      <w:drawing>
        <wp:inline distT="0" distB="0" distL="0" distR="0">
          <wp:extent cx="2361199" cy="495300"/>
          <wp:effectExtent l="0" t="0" r="1270" b="0"/>
          <wp:docPr id="1921898344" name="Bilde 4" descr="Et bilde som inneholder tekst, Font, skjermbilde,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98344" name="Bilde 4" descr="Et bilde som inneholder tekst, Font, skjermbilde, Grafikk&#10;&#10;KI-generert innhold kan være feil."/>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367703" cy="496664"/>
                  </a:xfrm>
                  <a:prstGeom prst="rect">
                    <a:avLst/>
                  </a:prstGeom>
                </pic:spPr>
              </pic:pic>
            </a:graphicData>
          </a:graphic>
        </wp:inline>
      </w:drawing>
    </w:r>
    <w:r>
      <w:t xml:space="preserve">                </w:t>
    </w:r>
    <w:r w:rsidR="00D34484">
      <w:t xml:space="preserve"> </w:t>
    </w:r>
    <w:r>
      <w:t xml:space="preserve">                                                            </w:t>
    </w:r>
    <w:r>
      <w:rPr>
        <w:noProof/>
      </w:rPr>
      <w:drawing>
        <wp:inline distT="0" distB="0" distL="0" distR="0">
          <wp:extent cx="717925" cy="708191"/>
          <wp:effectExtent l="0" t="0" r="6350" b="0"/>
          <wp:docPr id="1248584039" name="Bilde 5" descr="Et bilde som inneholder skjermbilde, symbol, tekst,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584039" name="Bilde 5" descr="Et bilde som inneholder skjermbilde, symbol, tekst, Grafikk&#10;&#10;KI-generert innhold kan være feil."/>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745737" cy="735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5EEAB78A"/>
    <w:lvl w:ilvl="0">
      <w:start w:val="1"/>
      <w:numFmt w:val="decimal"/>
      <w:lvlText w:val="%1."/>
      <w:lvlJc w:val="left"/>
      <w:pPr>
        <w:tabs>
          <w:tab w:val="num" w:pos="1492"/>
        </w:tabs>
        <w:ind w:left="1492" w:hanging="360"/>
      </w:pPr>
    </w:lvl>
  </w:abstractNum>
  <w:abstractNum w:abstractNumId="1">
    <w:nsid w:val="FFFFFF7D"/>
    <w:multiLevelType w:val="singleLevel"/>
    <w:tmpl w:val="75DE3D06"/>
    <w:lvl w:ilvl="0">
      <w:start w:val="1"/>
      <w:numFmt w:val="decimal"/>
      <w:lvlText w:val="%1."/>
      <w:lvlJc w:val="left"/>
      <w:pPr>
        <w:tabs>
          <w:tab w:val="num" w:pos="1209"/>
        </w:tabs>
        <w:ind w:left="1209" w:hanging="360"/>
      </w:pPr>
    </w:lvl>
  </w:abstractNum>
  <w:abstractNum w:abstractNumId="2">
    <w:nsid w:val="FFFFFF7E"/>
    <w:multiLevelType w:val="singleLevel"/>
    <w:tmpl w:val="60003EE6"/>
    <w:lvl w:ilvl="0">
      <w:start w:val="1"/>
      <w:numFmt w:val="decimal"/>
      <w:lvlText w:val="%1."/>
      <w:lvlJc w:val="left"/>
      <w:pPr>
        <w:tabs>
          <w:tab w:val="num" w:pos="926"/>
        </w:tabs>
        <w:ind w:left="926" w:hanging="360"/>
      </w:pPr>
    </w:lvl>
  </w:abstractNum>
  <w:abstractNum w:abstractNumId="3">
    <w:nsid w:val="FFFFFF7F"/>
    <w:multiLevelType w:val="singleLevel"/>
    <w:tmpl w:val="FFF62AAC"/>
    <w:lvl w:ilvl="0">
      <w:start w:val="1"/>
      <w:numFmt w:val="decimal"/>
      <w:lvlText w:val="%1."/>
      <w:lvlJc w:val="left"/>
      <w:pPr>
        <w:tabs>
          <w:tab w:val="num" w:pos="643"/>
        </w:tabs>
        <w:ind w:left="643" w:hanging="360"/>
      </w:pPr>
    </w:lvl>
  </w:abstractNum>
  <w:abstractNum w:abstractNumId="4">
    <w:nsid w:val="FFFFFF80"/>
    <w:multiLevelType w:val="singleLevel"/>
    <w:tmpl w:val="0D6EAE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89855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8E9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C4EA3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82C4C2"/>
    <w:lvl w:ilvl="0">
      <w:start w:val="1"/>
      <w:numFmt w:val="decimal"/>
      <w:lvlText w:val="%1."/>
      <w:lvlJc w:val="left"/>
      <w:pPr>
        <w:tabs>
          <w:tab w:val="num" w:pos="360"/>
        </w:tabs>
        <w:ind w:left="360" w:hanging="360"/>
      </w:pPr>
    </w:lvl>
  </w:abstractNum>
  <w:abstractNum w:abstractNumId="9">
    <w:nsid w:val="FFFFFF89"/>
    <w:multiLevelType w:val="singleLevel"/>
    <w:tmpl w:val="9C665E5C"/>
    <w:lvl w:ilvl="0">
      <w:start w:val="1"/>
      <w:numFmt w:val="bullet"/>
      <w:lvlText w:val=""/>
      <w:lvlJc w:val="left"/>
      <w:pPr>
        <w:tabs>
          <w:tab w:val="num" w:pos="360"/>
        </w:tabs>
        <w:ind w:left="360" w:hanging="360"/>
      </w:pPr>
      <w:rPr>
        <w:rFonts w:ascii="Symbol" w:hAnsi="Symbol" w:hint="default"/>
      </w:rPr>
    </w:lvl>
  </w:abstractNum>
  <w:abstractNum w:abstractNumId="10">
    <w:nsid w:val="016E0407"/>
    <w:multiLevelType w:val="hybridMultilevel"/>
    <w:tmpl w:val="40A4488A"/>
    <w:lvl w:ilvl="0">
      <w:start w:val="1"/>
      <w:numFmt w:val="bullet"/>
      <w:lvlText w:val=""/>
      <w:lvlJc w:val="left"/>
      <w:pPr>
        <w:ind w:left="1077" w:hanging="360"/>
      </w:pPr>
      <w:rPr>
        <w:rFonts w:ascii="Symbol" w:hAnsi="Symbol"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abstractNum w:abstractNumId="11">
    <w:nsid w:val="01B12452"/>
    <w:multiLevelType w:val="multilevel"/>
    <w:tmpl w:val="A0E29820"/>
    <w:lvl w:ilvl="0">
      <w:start w:val="1"/>
      <w:numFmt w:val="decimal"/>
      <w:lvlText w:val="%1"/>
      <w:lvlJc w:val="left"/>
      <w:pPr>
        <w:tabs>
          <w:tab w:val="num" w:pos="432"/>
        </w:tabs>
        <w:ind w:left="432" w:hanging="432"/>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i w:val="0"/>
        <w:sz w:val="24"/>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ascii="Arial" w:hAnsi="Arial" w:hint="default"/>
        <w:b/>
        <w:i w:val="0"/>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04F017E3"/>
    <w:multiLevelType w:val="hybridMultilevel"/>
    <w:tmpl w:val="08E23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A946E9F"/>
    <w:multiLevelType w:val="multilevel"/>
    <w:tmpl w:val="39C47CD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0D6C1A5B"/>
    <w:multiLevelType w:val="hybridMultilevel"/>
    <w:tmpl w:val="8F2034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DBA5454"/>
    <w:multiLevelType w:val="singleLevel"/>
    <w:tmpl w:val="0414000B"/>
    <w:lvl w:ilvl="0">
      <w:start w:val="1"/>
      <w:numFmt w:val="bullet"/>
      <w:lvlText w:val=""/>
      <w:lvlJc w:val="left"/>
      <w:pPr>
        <w:tabs>
          <w:tab w:val="num" w:pos="360"/>
        </w:tabs>
        <w:ind w:left="360" w:hanging="360"/>
      </w:pPr>
      <w:rPr>
        <w:rFonts w:ascii="Wingdings" w:hAnsi="Wingdings" w:hint="default"/>
      </w:rPr>
    </w:lvl>
  </w:abstractNum>
  <w:abstractNum w:abstractNumId="16">
    <w:nsid w:val="0F3D5AAC"/>
    <w:multiLevelType w:val="hybridMultilevel"/>
    <w:tmpl w:val="85023068"/>
    <w:lvl w:ilvl="0">
      <w:start w:val="1"/>
      <w:numFmt w:val="bullet"/>
      <w:pStyle w:val="ListBullet2"/>
      <w:lvlText w:val="°"/>
      <w:lvlJc w:val="left"/>
      <w:pPr>
        <w:ind w:left="360" w:hanging="360"/>
      </w:pPr>
      <w:rPr>
        <w:rFonts w:ascii="Symbol" w:hAnsi="Symbol" w:hint="default"/>
        <w:b w:val="0"/>
        <w:i w:val="0"/>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107729C"/>
    <w:multiLevelType w:val="multilevel"/>
    <w:tmpl w:val="2D5ED0DA"/>
    <w:lvl w:ilvl="0">
      <w:start w:val="1"/>
      <w:numFmt w:val="decimal"/>
      <w:pStyle w:val="Heading1"/>
      <w:lvlText w:val="%1. "/>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964" w:hanging="9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nsid w:val="12E6371A"/>
    <w:multiLevelType w:val="multilevel"/>
    <w:tmpl w:val="43FA5BD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14885A6F"/>
    <w:multiLevelType w:val="hybridMultilevel"/>
    <w:tmpl w:val="3CEE08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49142ED"/>
    <w:multiLevelType w:val="multilevel"/>
    <w:tmpl w:val="7B32A0E2"/>
    <w:lvl w:ilvl="0">
      <w:start w:val="1"/>
      <w:numFmt w:val="decimal"/>
      <w:lvlText w:val="%1"/>
      <w:lvlJc w:val="left"/>
      <w:pPr>
        <w:tabs>
          <w:tab w:val="num" w:pos="432"/>
        </w:tabs>
        <w:ind w:left="432" w:hanging="432"/>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i w:val="0"/>
        <w:sz w:val="24"/>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ascii="Arial" w:hAnsi="Arial" w:hint="default"/>
        <w:b/>
        <w:i w:val="0"/>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14F41A5B"/>
    <w:multiLevelType w:val="hybridMultilevel"/>
    <w:tmpl w:val="9CF87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99805BA"/>
    <w:multiLevelType w:val="hybridMultilevel"/>
    <w:tmpl w:val="75C69850"/>
    <w:lvl w:ilvl="0">
      <w:start w:val="3"/>
      <w:numFmt w:val="decimal"/>
      <w:lvlText w:val="%1)"/>
      <w:lvlJc w:val="left"/>
      <w:pPr>
        <w:tabs>
          <w:tab w:val="num" w:pos="360"/>
        </w:tabs>
        <w:ind w:left="360" w:hanging="360"/>
      </w:pPr>
      <w:rPr>
        <w:rFonts w:ascii="Times New Roman" w:hAnsi="Times New Roman" w:hint="default"/>
        <w:b/>
        <w:i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1A6A08F7"/>
    <w:multiLevelType w:val="multilevel"/>
    <w:tmpl w:val="AFCA46F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1C1B7D76"/>
    <w:multiLevelType w:val="singleLevel"/>
    <w:tmpl w:val="6D281FA4"/>
    <w:lvl w:ilvl="0">
      <w:start w:val="1"/>
      <w:numFmt w:val="bullet"/>
      <w:lvlText w:val=""/>
      <w:lvlJc w:val="left"/>
      <w:pPr>
        <w:tabs>
          <w:tab w:val="num" w:pos="360"/>
        </w:tabs>
        <w:ind w:left="360" w:hanging="360"/>
      </w:pPr>
      <w:rPr>
        <w:rFonts w:ascii="Symbol" w:hAnsi="Symbol" w:hint="default"/>
        <w:sz w:val="24"/>
      </w:rPr>
    </w:lvl>
  </w:abstractNum>
  <w:abstractNum w:abstractNumId="25">
    <w:nsid w:val="27603E91"/>
    <w:multiLevelType w:val="hybridMultilevel"/>
    <w:tmpl w:val="1E5024E8"/>
    <w:lvl w:ilvl="0">
      <w:start w:val="1"/>
      <w:numFmt w:val="bullet"/>
      <w:lvlText w:val=""/>
      <w:lvlJc w:val="left"/>
      <w:pPr>
        <w:tabs>
          <w:tab w:val="num" w:pos="1440"/>
        </w:tabs>
        <w:ind w:left="144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2FE52EBC"/>
    <w:multiLevelType w:val="multilevel"/>
    <w:tmpl w:val="8152914C"/>
    <w:lvl w:ilvl="0">
      <w:start w:val="1"/>
      <w:numFmt w:val="decimal"/>
      <w:lvlText w:val="%1"/>
      <w:lvlJc w:val="left"/>
      <w:pPr>
        <w:tabs>
          <w:tab w:val="num" w:pos="431"/>
        </w:tabs>
        <w:ind w:left="431" w:hanging="431"/>
      </w:pPr>
      <w:rPr>
        <w:rFonts w:ascii="Arial" w:hAnsi="Arial" w:hint="default"/>
        <w:b/>
        <w:i w:val="0"/>
        <w:sz w:val="28"/>
      </w:rPr>
    </w:lvl>
    <w:lvl w:ilvl="1">
      <w:start w:val="1"/>
      <w:numFmt w:val="decimal"/>
      <w:lvlText w:val="%1.%2"/>
      <w:lvlJc w:val="left"/>
      <w:pPr>
        <w:tabs>
          <w:tab w:val="num" w:pos="431"/>
        </w:tabs>
        <w:ind w:left="431" w:hanging="431"/>
      </w:pPr>
      <w:rPr>
        <w:rFonts w:ascii="Arial" w:hAnsi="Arial" w:hint="default"/>
        <w:b/>
        <w:i w:val="0"/>
        <w:sz w:val="24"/>
      </w:rPr>
    </w:lvl>
    <w:lvl w:ilvl="2">
      <w:start w:val="1"/>
      <w:numFmt w:val="decimal"/>
      <w:lvlText w:val="%1.%2.%3"/>
      <w:lvlJc w:val="left"/>
      <w:pPr>
        <w:tabs>
          <w:tab w:val="num" w:pos="431"/>
        </w:tabs>
        <w:ind w:left="431" w:hanging="431"/>
      </w:pPr>
      <w:rPr>
        <w:rFonts w:ascii="Arial" w:hAnsi="Arial" w:hint="default"/>
        <w:b/>
        <w:i w:val="0"/>
        <w:sz w:val="22"/>
      </w:rPr>
    </w:lvl>
    <w:lvl w:ilvl="3">
      <w:start w:val="1"/>
      <w:numFmt w:val="decimal"/>
      <w:lvlText w:val="%1.%2.%3.%4"/>
      <w:lvlJc w:val="left"/>
      <w:pPr>
        <w:tabs>
          <w:tab w:val="num" w:pos="431"/>
        </w:tabs>
        <w:ind w:left="431" w:hanging="431"/>
      </w:pPr>
      <w:rPr>
        <w:rFonts w:ascii="Arial" w:hAnsi="Arial" w:hint="default"/>
        <w:sz w:val="22"/>
      </w:rPr>
    </w:lvl>
    <w:lvl w:ilvl="4">
      <w:start w:val="1"/>
      <w:numFmt w:val="decimal"/>
      <w:lvlText w:val="%1.%2.%3.%4.%5."/>
      <w:lvlJc w:val="left"/>
      <w:pPr>
        <w:tabs>
          <w:tab w:val="num" w:pos="431"/>
        </w:tabs>
        <w:ind w:left="431" w:hanging="431"/>
      </w:pPr>
      <w:rPr>
        <w:rFonts w:hint="default"/>
      </w:rPr>
    </w:lvl>
    <w:lvl w:ilvl="5">
      <w:start w:val="1"/>
      <w:numFmt w:val="decimal"/>
      <w:lvlText w:val="%1.%2.%3.%4.%5.%6."/>
      <w:lvlJc w:val="left"/>
      <w:pPr>
        <w:tabs>
          <w:tab w:val="num" w:pos="431"/>
        </w:tabs>
        <w:ind w:left="431" w:hanging="431"/>
      </w:pPr>
      <w:rPr>
        <w:rFonts w:hint="default"/>
      </w:rPr>
    </w:lvl>
    <w:lvl w:ilvl="6">
      <w:start w:val="1"/>
      <w:numFmt w:val="decimal"/>
      <w:lvlText w:val="%1.%2.%3.%4.%5.%6.%7."/>
      <w:lvlJc w:val="left"/>
      <w:pPr>
        <w:tabs>
          <w:tab w:val="num" w:pos="431"/>
        </w:tabs>
        <w:ind w:left="431" w:hanging="431"/>
      </w:pPr>
      <w:rPr>
        <w:rFonts w:ascii="Arial" w:hAnsi="Arial" w:hint="default"/>
        <w:sz w:val="22"/>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27">
    <w:nsid w:val="3179362B"/>
    <w:multiLevelType w:val="singleLevel"/>
    <w:tmpl w:val="98FC8388"/>
    <w:lvl w:ilvl="0">
      <w:start w:val="1"/>
      <w:numFmt w:val="bullet"/>
      <w:lvlText w:val=""/>
      <w:lvlJc w:val="left"/>
      <w:pPr>
        <w:tabs>
          <w:tab w:val="num" w:pos="360"/>
        </w:tabs>
        <w:ind w:left="360" w:hanging="360"/>
      </w:pPr>
      <w:rPr>
        <w:rFonts w:ascii="Symbol" w:hAnsi="Symbol" w:hint="default"/>
        <w:b w:val="0"/>
        <w:i w:val="0"/>
        <w:sz w:val="24"/>
      </w:rPr>
    </w:lvl>
  </w:abstractNum>
  <w:abstractNum w:abstractNumId="28">
    <w:nsid w:val="31F71FFD"/>
    <w:multiLevelType w:val="multilevel"/>
    <w:tmpl w:val="5344DEB6"/>
    <w:lvl w:ilvl="0">
      <w:start w:val="1"/>
      <w:numFmt w:val="decimal"/>
      <w:lvlText w:val="%1"/>
      <w:lvlJc w:val="left"/>
      <w:pPr>
        <w:tabs>
          <w:tab w:val="num" w:pos="432"/>
        </w:tabs>
        <w:ind w:left="432" w:hanging="432"/>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i w:val="0"/>
        <w:sz w:val="24"/>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ascii="Arial" w:hAnsi="Arial"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ascii="Arial" w:hAnsi="Arial" w:hint="default"/>
        <w:b w:val="0"/>
        <w:i/>
        <w:sz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374E7A59"/>
    <w:multiLevelType w:val="hybridMultilevel"/>
    <w:tmpl w:val="3CEE08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8205996"/>
    <w:multiLevelType w:val="hybridMultilevel"/>
    <w:tmpl w:val="9E362E30"/>
    <w:lvl w:ilvl="0">
      <w:start w:val="3"/>
      <w:numFmt w:val="decimal"/>
      <w:lvlText w:val="%1)"/>
      <w:lvlJc w:val="left"/>
      <w:pPr>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8D63A77"/>
    <w:multiLevelType w:val="hybridMultilevel"/>
    <w:tmpl w:val="2DCC5468"/>
    <w:lvl w:ilvl="0">
      <w:start w:val="1"/>
      <w:numFmt w:val="decimal"/>
      <w:pStyle w:val="ListBullet"/>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95D6EDD"/>
    <w:multiLevelType w:val="singleLevel"/>
    <w:tmpl w:val="0414000B"/>
    <w:lvl w:ilvl="0">
      <w:start w:val="1"/>
      <w:numFmt w:val="bullet"/>
      <w:lvlText w:val=""/>
      <w:lvlJc w:val="left"/>
      <w:pPr>
        <w:tabs>
          <w:tab w:val="num" w:pos="360"/>
        </w:tabs>
        <w:ind w:left="360" w:hanging="360"/>
      </w:pPr>
      <w:rPr>
        <w:rFonts w:ascii="Wingdings" w:hAnsi="Wingdings" w:hint="default"/>
      </w:rPr>
    </w:lvl>
  </w:abstractNum>
  <w:abstractNum w:abstractNumId="33">
    <w:nsid w:val="3F8502E0"/>
    <w:multiLevelType w:val="hybridMultilevel"/>
    <w:tmpl w:val="12F232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14F2797"/>
    <w:multiLevelType w:val="hybridMultilevel"/>
    <w:tmpl w:val="2DFECD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5D07F44"/>
    <w:multiLevelType w:val="multilevel"/>
    <w:tmpl w:val="BC882C44"/>
    <w:lvl w:ilvl="0">
      <w:start w:val="1"/>
      <w:numFmt w:val="decimal"/>
      <w:lvlText w:val="%1"/>
      <w:lvlJc w:val="left"/>
      <w:pPr>
        <w:tabs>
          <w:tab w:val="num" w:pos="432"/>
        </w:tabs>
        <w:ind w:left="432" w:hanging="432"/>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i w:val="0"/>
        <w:sz w:val="24"/>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ascii="Arial" w:hAnsi="Arial" w:hint="default"/>
        <w:b/>
        <w:i w:val="0"/>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4A6012A2"/>
    <w:multiLevelType w:val="singleLevel"/>
    <w:tmpl w:val="0414000B"/>
    <w:lvl w:ilvl="0">
      <w:start w:val="1"/>
      <w:numFmt w:val="bullet"/>
      <w:lvlText w:val=""/>
      <w:lvlJc w:val="left"/>
      <w:pPr>
        <w:tabs>
          <w:tab w:val="num" w:pos="360"/>
        </w:tabs>
        <w:ind w:left="360" w:hanging="360"/>
      </w:pPr>
      <w:rPr>
        <w:rFonts w:ascii="Wingdings" w:hAnsi="Wingdings" w:hint="default"/>
      </w:rPr>
    </w:lvl>
  </w:abstractNum>
  <w:abstractNum w:abstractNumId="37">
    <w:nsid w:val="4A79443E"/>
    <w:multiLevelType w:val="hybridMultilevel"/>
    <w:tmpl w:val="CFB636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2EE35CF"/>
    <w:multiLevelType w:val="hybridMultilevel"/>
    <w:tmpl w:val="E3A25A52"/>
    <w:lvl w:ilvl="0">
      <w:start w:val="1"/>
      <w:numFmt w:val="decimal"/>
      <w:lvlText w:val="%1."/>
      <w:lvlJc w:val="left"/>
      <w:pPr>
        <w:ind w:left="1077" w:hanging="360"/>
      </w:pPr>
    </w:lvl>
    <w:lvl w:ilvl="1" w:tentative="1">
      <w:start w:val="1"/>
      <w:numFmt w:val="lowerLetter"/>
      <w:lvlText w:val="%2."/>
      <w:lvlJc w:val="left"/>
      <w:pPr>
        <w:ind w:left="1797" w:hanging="360"/>
      </w:pPr>
    </w:lvl>
    <w:lvl w:ilvl="2" w:tentative="1">
      <w:start w:val="1"/>
      <w:numFmt w:val="lowerRoman"/>
      <w:lvlText w:val="%3."/>
      <w:lvlJc w:val="right"/>
      <w:pPr>
        <w:ind w:left="2517" w:hanging="180"/>
      </w:pPr>
    </w:lvl>
    <w:lvl w:ilvl="3" w:tentative="1">
      <w:start w:val="1"/>
      <w:numFmt w:val="decimal"/>
      <w:lvlText w:val="%4."/>
      <w:lvlJc w:val="left"/>
      <w:pPr>
        <w:ind w:left="3237" w:hanging="360"/>
      </w:pPr>
    </w:lvl>
    <w:lvl w:ilvl="4" w:tentative="1">
      <w:start w:val="1"/>
      <w:numFmt w:val="lowerLetter"/>
      <w:lvlText w:val="%5."/>
      <w:lvlJc w:val="left"/>
      <w:pPr>
        <w:ind w:left="3957" w:hanging="360"/>
      </w:pPr>
    </w:lvl>
    <w:lvl w:ilvl="5" w:tentative="1">
      <w:start w:val="1"/>
      <w:numFmt w:val="lowerRoman"/>
      <w:lvlText w:val="%6."/>
      <w:lvlJc w:val="right"/>
      <w:pPr>
        <w:ind w:left="4677" w:hanging="180"/>
      </w:pPr>
    </w:lvl>
    <w:lvl w:ilvl="6" w:tentative="1">
      <w:start w:val="1"/>
      <w:numFmt w:val="decimal"/>
      <w:lvlText w:val="%7."/>
      <w:lvlJc w:val="left"/>
      <w:pPr>
        <w:ind w:left="5397" w:hanging="360"/>
      </w:pPr>
    </w:lvl>
    <w:lvl w:ilvl="7" w:tentative="1">
      <w:start w:val="1"/>
      <w:numFmt w:val="lowerLetter"/>
      <w:lvlText w:val="%8."/>
      <w:lvlJc w:val="left"/>
      <w:pPr>
        <w:ind w:left="6117" w:hanging="360"/>
      </w:pPr>
    </w:lvl>
    <w:lvl w:ilvl="8" w:tentative="1">
      <w:start w:val="1"/>
      <w:numFmt w:val="lowerRoman"/>
      <w:lvlText w:val="%9."/>
      <w:lvlJc w:val="right"/>
      <w:pPr>
        <w:ind w:left="6837" w:hanging="180"/>
      </w:pPr>
    </w:lvl>
  </w:abstractNum>
  <w:abstractNum w:abstractNumId="39">
    <w:nsid w:val="555E338B"/>
    <w:multiLevelType w:val="singleLevel"/>
    <w:tmpl w:val="04140011"/>
    <w:lvl w:ilvl="0">
      <w:start w:val="1"/>
      <w:numFmt w:val="decimal"/>
      <w:lvlText w:val="%1)"/>
      <w:lvlJc w:val="left"/>
      <w:pPr>
        <w:tabs>
          <w:tab w:val="num" w:pos="360"/>
        </w:tabs>
        <w:ind w:left="360" w:hanging="360"/>
      </w:pPr>
      <w:rPr>
        <w:rFonts w:hint="default"/>
      </w:rPr>
    </w:lvl>
  </w:abstractNum>
  <w:abstractNum w:abstractNumId="40">
    <w:nsid w:val="592A5F1D"/>
    <w:multiLevelType w:val="multilevel"/>
    <w:tmpl w:val="39C47CD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nsid w:val="5CDF316E"/>
    <w:multiLevelType w:val="hybridMultilevel"/>
    <w:tmpl w:val="1F38EB46"/>
    <w:lvl w:ilvl="0">
      <w:start w:val="1"/>
      <w:numFmt w:val="decimal"/>
      <w:lvlText w:val="%1."/>
      <w:lvlJc w:val="left"/>
      <w:pPr>
        <w:ind w:left="1077" w:hanging="360"/>
      </w:pPr>
    </w:lvl>
    <w:lvl w:ilvl="1" w:tentative="1">
      <w:start w:val="1"/>
      <w:numFmt w:val="lowerLetter"/>
      <w:lvlText w:val="%2."/>
      <w:lvlJc w:val="left"/>
      <w:pPr>
        <w:ind w:left="1797" w:hanging="360"/>
      </w:pPr>
    </w:lvl>
    <w:lvl w:ilvl="2" w:tentative="1">
      <w:start w:val="1"/>
      <w:numFmt w:val="lowerRoman"/>
      <w:lvlText w:val="%3."/>
      <w:lvlJc w:val="right"/>
      <w:pPr>
        <w:ind w:left="2517" w:hanging="180"/>
      </w:pPr>
    </w:lvl>
    <w:lvl w:ilvl="3" w:tentative="1">
      <w:start w:val="1"/>
      <w:numFmt w:val="decimal"/>
      <w:lvlText w:val="%4."/>
      <w:lvlJc w:val="left"/>
      <w:pPr>
        <w:ind w:left="3237" w:hanging="360"/>
      </w:pPr>
    </w:lvl>
    <w:lvl w:ilvl="4" w:tentative="1">
      <w:start w:val="1"/>
      <w:numFmt w:val="lowerLetter"/>
      <w:lvlText w:val="%5."/>
      <w:lvlJc w:val="left"/>
      <w:pPr>
        <w:ind w:left="3957" w:hanging="360"/>
      </w:pPr>
    </w:lvl>
    <w:lvl w:ilvl="5" w:tentative="1">
      <w:start w:val="1"/>
      <w:numFmt w:val="lowerRoman"/>
      <w:lvlText w:val="%6."/>
      <w:lvlJc w:val="right"/>
      <w:pPr>
        <w:ind w:left="4677" w:hanging="180"/>
      </w:pPr>
    </w:lvl>
    <w:lvl w:ilvl="6" w:tentative="1">
      <w:start w:val="1"/>
      <w:numFmt w:val="decimal"/>
      <w:lvlText w:val="%7."/>
      <w:lvlJc w:val="left"/>
      <w:pPr>
        <w:ind w:left="5397" w:hanging="360"/>
      </w:pPr>
    </w:lvl>
    <w:lvl w:ilvl="7" w:tentative="1">
      <w:start w:val="1"/>
      <w:numFmt w:val="lowerLetter"/>
      <w:lvlText w:val="%8."/>
      <w:lvlJc w:val="left"/>
      <w:pPr>
        <w:ind w:left="6117" w:hanging="360"/>
      </w:pPr>
    </w:lvl>
    <w:lvl w:ilvl="8" w:tentative="1">
      <w:start w:val="1"/>
      <w:numFmt w:val="lowerRoman"/>
      <w:lvlText w:val="%9."/>
      <w:lvlJc w:val="right"/>
      <w:pPr>
        <w:ind w:left="6837" w:hanging="180"/>
      </w:pPr>
    </w:lvl>
  </w:abstractNum>
  <w:abstractNum w:abstractNumId="42">
    <w:nsid w:val="693F5AE6"/>
    <w:multiLevelType w:val="multilevel"/>
    <w:tmpl w:val="A0E29820"/>
    <w:lvl w:ilvl="0">
      <w:start w:val="1"/>
      <w:numFmt w:val="decimal"/>
      <w:lvlText w:val="%1"/>
      <w:lvlJc w:val="left"/>
      <w:pPr>
        <w:tabs>
          <w:tab w:val="num" w:pos="432"/>
        </w:tabs>
        <w:ind w:left="432" w:hanging="432"/>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i w:val="0"/>
        <w:sz w:val="24"/>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ascii="Arial" w:hAnsi="Arial" w:hint="default"/>
        <w:b/>
        <w:i w:val="0"/>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63172863">
    <w:abstractNumId w:val="18"/>
  </w:num>
  <w:num w:numId="2" w16cid:durableId="427585102">
    <w:abstractNumId w:val="8"/>
  </w:num>
  <w:num w:numId="3" w16cid:durableId="127674232">
    <w:abstractNumId w:val="3"/>
  </w:num>
  <w:num w:numId="4" w16cid:durableId="2098402443">
    <w:abstractNumId w:val="2"/>
  </w:num>
  <w:num w:numId="5" w16cid:durableId="249701812">
    <w:abstractNumId w:val="1"/>
  </w:num>
  <w:num w:numId="6" w16cid:durableId="1721974544">
    <w:abstractNumId w:val="0"/>
  </w:num>
  <w:num w:numId="7" w16cid:durableId="1559126202">
    <w:abstractNumId w:val="9"/>
  </w:num>
  <w:num w:numId="8" w16cid:durableId="506024420">
    <w:abstractNumId w:val="7"/>
  </w:num>
  <w:num w:numId="9" w16cid:durableId="786000134">
    <w:abstractNumId w:val="6"/>
  </w:num>
  <w:num w:numId="10" w16cid:durableId="233441475">
    <w:abstractNumId w:val="5"/>
  </w:num>
  <w:num w:numId="11" w16cid:durableId="1698698213">
    <w:abstractNumId w:val="4"/>
  </w:num>
  <w:num w:numId="12" w16cid:durableId="100297067">
    <w:abstractNumId w:val="23"/>
  </w:num>
  <w:num w:numId="13" w16cid:durableId="1729761668">
    <w:abstractNumId w:val="35"/>
  </w:num>
  <w:num w:numId="14" w16cid:durableId="1949655627">
    <w:abstractNumId w:val="20"/>
  </w:num>
  <w:num w:numId="15" w16cid:durableId="1135683051">
    <w:abstractNumId w:val="11"/>
  </w:num>
  <w:num w:numId="16" w16cid:durableId="1226526841">
    <w:abstractNumId w:val="42"/>
  </w:num>
  <w:num w:numId="17" w16cid:durableId="2056656953">
    <w:abstractNumId w:val="28"/>
  </w:num>
  <w:num w:numId="18" w16cid:durableId="1101340414">
    <w:abstractNumId w:val="26"/>
  </w:num>
  <w:num w:numId="19" w16cid:durableId="1321032600">
    <w:abstractNumId w:val="34"/>
  </w:num>
  <w:num w:numId="20" w16cid:durableId="93593634">
    <w:abstractNumId w:val="31"/>
  </w:num>
  <w:num w:numId="21" w16cid:durableId="187108547">
    <w:abstractNumId w:val="21"/>
  </w:num>
  <w:num w:numId="22" w16cid:durableId="2146579497">
    <w:abstractNumId w:val="37"/>
  </w:num>
  <w:num w:numId="23" w16cid:durableId="1727946758">
    <w:abstractNumId w:val="12"/>
  </w:num>
  <w:num w:numId="24" w16cid:durableId="1260260369">
    <w:abstractNumId w:val="16"/>
  </w:num>
  <w:num w:numId="25" w16cid:durableId="1691949986">
    <w:abstractNumId w:val="41"/>
  </w:num>
  <w:num w:numId="26" w16cid:durableId="1344890882">
    <w:abstractNumId w:val="38"/>
  </w:num>
  <w:num w:numId="27" w16cid:durableId="202602782">
    <w:abstractNumId w:val="31"/>
    <w:lvlOverride w:ilvl="0">
      <w:startOverride w:val="1"/>
    </w:lvlOverride>
  </w:num>
  <w:num w:numId="28" w16cid:durableId="452017216">
    <w:abstractNumId w:val="31"/>
    <w:lvlOverride w:ilvl="0">
      <w:startOverride w:val="1"/>
    </w:lvlOverride>
  </w:num>
  <w:num w:numId="29" w16cid:durableId="2137092942">
    <w:abstractNumId w:val="31"/>
    <w:lvlOverride w:ilvl="0">
      <w:startOverride w:val="1"/>
    </w:lvlOverride>
  </w:num>
  <w:num w:numId="30" w16cid:durableId="180584376">
    <w:abstractNumId w:val="17"/>
  </w:num>
  <w:num w:numId="31" w16cid:durableId="912423272">
    <w:abstractNumId w:val="33"/>
  </w:num>
  <w:num w:numId="32" w16cid:durableId="2084644974">
    <w:abstractNumId w:val="13"/>
  </w:num>
  <w:num w:numId="33" w16cid:durableId="66847724">
    <w:abstractNumId w:val="40"/>
  </w:num>
  <w:num w:numId="34" w16cid:durableId="1828588365">
    <w:abstractNumId w:val="10"/>
  </w:num>
  <w:num w:numId="35" w16cid:durableId="1646160547">
    <w:abstractNumId w:val="29"/>
  </w:num>
  <w:num w:numId="36" w16cid:durableId="605888547">
    <w:abstractNumId w:val="19"/>
  </w:num>
  <w:num w:numId="37" w16cid:durableId="410126017">
    <w:abstractNumId w:val="14"/>
  </w:num>
  <w:num w:numId="38" w16cid:durableId="353266306">
    <w:abstractNumId w:val="17"/>
    <w:lvlOverride w:ilvl="0">
      <w:startOverride w:val="1"/>
    </w:lvlOverride>
  </w:num>
  <w:num w:numId="39" w16cid:durableId="1310481301">
    <w:abstractNumId w:val="31"/>
    <w:lvlOverride w:ilvl="0">
      <w:startOverride w:val="1"/>
    </w:lvlOverride>
  </w:num>
  <w:num w:numId="40" w16cid:durableId="795948037">
    <w:abstractNumId w:val="31"/>
    <w:lvlOverride w:ilvl="0">
      <w:startOverride w:val="1"/>
    </w:lvlOverride>
  </w:num>
  <w:num w:numId="41" w16cid:durableId="2064911707">
    <w:abstractNumId w:val="36"/>
  </w:num>
  <w:num w:numId="42" w16cid:durableId="627592318">
    <w:abstractNumId w:val="25"/>
  </w:num>
  <w:num w:numId="43" w16cid:durableId="1844278127">
    <w:abstractNumId w:val="15"/>
  </w:num>
  <w:num w:numId="44" w16cid:durableId="271018916">
    <w:abstractNumId w:val="27"/>
  </w:num>
  <w:num w:numId="45" w16cid:durableId="1691494062">
    <w:abstractNumId w:val="32"/>
  </w:num>
  <w:num w:numId="46" w16cid:durableId="1546327786">
    <w:abstractNumId w:val="24"/>
  </w:num>
  <w:num w:numId="47" w16cid:durableId="562832065">
    <w:abstractNumId w:val="39"/>
  </w:num>
  <w:num w:numId="48" w16cid:durableId="315108457">
    <w:abstractNumId w:val="22"/>
  </w:num>
  <w:num w:numId="49" w16cid:durableId="194657600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1E0"/>
    <w:rsid w:val="00001971"/>
    <w:rsid w:val="000021A9"/>
    <w:rsid w:val="00003423"/>
    <w:rsid w:val="00005BAC"/>
    <w:rsid w:val="00007007"/>
    <w:rsid w:val="0001133D"/>
    <w:rsid w:val="000113E0"/>
    <w:rsid w:val="0001473D"/>
    <w:rsid w:val="00017209"/>
    <w:rsid w:val="00017AAC"/>
    <w:rsid w:val="00025082"/>
    <w:rsid w:val="0003240D"/>
    <w:rsid w:val="000328CF"/>
    <w:rsid w:val="00033582"/>
    <w:rsid w:val="00036129"/>
    <w:rsid w:val="00036AC2"/>
    <w:rsid w:val="00041379"/>
    <w:rsid w:val="00042B94"/>
    <w:rsid w:val="00042FA5"/>
    <w:rsid w:val="00044036"/>
    <w:rsid w:val="0004594A"/>
    <w:rsid w:val="00050B15"/>
    <w:rsid w:val="00052E6B"/>
    <w:rsid w:val="00060D72"/>
    <w:rsid w:val="00072A02"/>
    <w:rsid w:val="00084339"/>
    <w:rsid w:val="00084986"/>
    <w:rsid w:val="00084DC4"/>
    <w:rsid w:val="00091A81"/>
    <w:rsid w:val="00093516"/>
    <w:rsid w:val="0009563D"/>
    <w:rsid w:val="000A1FA6"/>
    <w:rsid w:val="000B1580"/>
    <w:rsid w:val="000B68AF"/>
    <w:rsid w:val="000B6AEE"/>
    <w:rsid w:val="000B7DED"/>
    <w:rsid w:val="000C28A7"/>
    <w:rsid w:val="000C5FC7"/>
    <w:rsid w:val="000C6B7E"/>
    <w:rsid w:val="000D2AD5"/>
    <w:rsid w:val="000D52A5"/>
    <w:rsid w:val="000D672E"/>
    <w:rsid w:val="000D679D"/>
    <w:rsid w:val="000D796B"/>
    <w:rsid w:val="000E0324"/>
    <w:rsid w:val="000E3AB8"/>
    <w:rsid w:val="000F2BB4"/>
    <w:rsid w:val="00100826"/>
    <w:rsid w:val="00105791"/>
    <w:rsid w:val="00106F24"/>
    <w:rsid w:val="0010714B"/>
    <w:rsid w:val="00116983"/>
    <w:rsid w:val="00117B44"/>
    <w:rsid w:val="0012262D"/>
    <w:rsid w:val="00125A33"/>
    <w:rsid w:val="001301E8"/>
    <w:rsid w:val="0013385D"/>
    <w:rsid w:val="001364CB"/>
    <w:rsid w:val="001428CB"/>
    <w:rsid w:val="00154ABC"/>
    <w:rsid w:val="0015620E"/>
    <w:rsid w:val="00172E7A"/>
    <w:rsid w:val="001758C9"/>
    <w:rsid w:val="00177FC8"/>
    <w:rsid w:val="00183119"/>
    <w:rsid w:val="001837FD"/>
    <w:rsid w:val="00183915"/>
    <w:rsid w:val="0018509F"/>
    <w:rsid w:val="001919A6"/>
    <w:rsid w:val="001933B0"/>
    <w:rsid w:val="00193788"/>
    <w:rsid w:val="001A15F3"/>
    <w:rsid w:val="001A17B5"/>
    <w:rsid w:val="001A3E28"/>
    <w:rsid w:val="001B07AB"/>
    <w:rsid w:val="001C22DD"/>
    <w:rsid w:val="001C5719"/>
    <w:rsid w:val="001C751C"/>
    <w:rsid w:val="001D20D6"/>
    <w:rsid w:val="001E1C22"/>
    <w:rsid w:val="001E2406"/>
    <w:rsid w:val="001E3C15"/>
    <w:rsid w:val="00201847"/>
    <w:rsid w:val="0020650C"/>
    <w:rsid w:val="0021165F"/>
    <w:rsid w:val="00212F15"/>
    <w:rsid w:val="00215CBF"/>
    <w:rsid w:val="00220042"/>
    <w:rsid w:val="00226A6C"/>
    <w:rsid w:val="00227D4A"/>
    <w:rsid w:val="002348BC"/>
    <w:rsid w:val="0024441B"/>
    <w:rsid w:val="00244F41"/>
    <w:rsid w:val="00246EBB"/>
    <w:rsid w:val="002528CC"/>
    <w:rsid w:val="00252CE2"/>
    <w:rsid w:val="0025542A"/>
    <w:rsid w:val="00255E06"/>
    <w:rsid w:val="00256D80"/>
    <w:rsid w:val="0026036B"/>
    <w:rsid w:val="00262247"/>
    <w:rsid w:val="00265299"/>
    <w:rsid w:val="00272E3D"/>
    <w:rsid w:val="00274268"/>
    <w:rsid w:val="00274F92"/>
    <w:rsid w:val="00277C60"/>
    <w:rsid w:val="00277C7E"/>
    <w:rsid w:val="00282BED"/>
    <w:rsid w:val="002A76F1"/>
    <w:rsid w:val="002A7B26"/>
    <w:rsid w:val="002B2D1D"/>
    <w:rsid w:val="002B310F"/>
    <w:rsid w:val="002B4B9B"/>
    <w:rsid w:val="002B4BAE"/>
    <w:rsid w:val="002C3DA8"/>
    <w:rsid w:val="002C51BE"/>
    <w:rsid w:val="002D485F"/>
    <w:rsid w:val="002D6972"/>
    <w:rsid w:val="002E10DC"/>
    <w:rsid w:val="002E443E"/>
    <w:rsid w:val="002F2528"/>
    <w:rsid w:val="002F56F8"/>
    <w:rsid w:val="002F7A60"/>
    <w:rsid w:val="00303218"/>
    <w:rsid w:val="00304E32"/>
    <w:rsid w:val="00310E72"/>
    <w:rsid w:val="003154CE"/>
    <w:rsid w:val="003174CA"/>
    <w:rsid w:val="00317733"/>
    <w:rsid w:val="003254ED"/>
    <w:rsid w:val="00327CF8"/>
    <w:rsid w:val="00333AAD"/>
    <w:rsid w:val="00333BC4"/>
    <w:rsid w:val="00334C24"/>
    <w:rsid w:val="00343D2A"/>
    <w:rsid w:val="0034505C"/>
    <w:rsid w:val="00356D8B"/>
    <w:rsid w:val="0036099B"/>
    <w:rsid w:val="0036111B"/>
    <w:rsid w:val="00363E71"/>
    <w:rsid w:val="00371E42"/>
    <w:rsid w:val="00375DF7"/>
    <w:rsid w:val="00382C43"/>
    <w:rsid w:val="00382EA6"/>
    <w:rsid w:val="003847A3"/>
    <w:rsid w:val="00385CA6"/>
    <w:rsid w:val="00387928"/>
    <w:rsid w:val="003952AC"/>
    <w:rsid w:val="0039685D"/>
    <w:rsid w:val="00397531"/>
    <w:rsid w:val="003A0EB0"/>
    <w:rsid w:val="003A4193"/>
    <w:rsid w:val="003B4EC2"/>
    <w:rsid w:val="003B526A"/>
    <w:rsid w:val="003C587E"/>
    <w:rsid w:val="003C5E4C"/>
    <w:rsid w:val="003C788A"/>
    <w:rsid w:val="003D77FD"/>
    <w:rsid w:val="003D7FDA"/>
    <w:rsid w:val="003E0DD1"/>
    <w:rsid w:val="003E2851"/>
    <w:rsid w:val="003E3D09"/>
    <w:rsid w:val="003E3F36"/>
    <w:rsid w:val="003F42AD"/>
    <w:rsid w:val="003F4F39"/>
    <w:rsid w:val="003F5CDC"/>
    <w:rsid w:val="00400E18"/>
    <w:rsid w:val="00404D08"/>
    <w:rsid w:val="00410381"/>
    <w:rsid w:val="0041330F"/>
    <w:rsid w:val="0041758F"/>
    <w:rsid w:val="0042023E"/>
    <w:rsid w:val="00420C44"/>
    <w:rsid w:val="00422AF7"/>
    <w:rsid w:val="00425541"/>
    <w:rsid w:val="0042678A"/>
    <w:rsid w:val="00431E03"/>
    <w:rsid w:val="0043297A"/>
    <w:rsid w:val="00441002"/>
    <w:rsid w:val="004412D7"/>
    <w:rsid w:val="00444B43"/>
    <w:rsid w:val="00456044"/>
    <w:rsid w:val="004560BA"/>
    <w:rsid w:val="0045662F"/>
    <w:rsid w:val="00460BCB"/>
    <w:rsid w:val="00461062"/>
    <w:rsid w:val="004645B2"/>
    <w:rsid w:val="004674E9"/>
    <w:rsid w:val="0047393C"/>
    <w:rsid w:val="00473E64"/>
    <w:rsid w:val="00481875"/>
    <w:rsid w:val="00482BB0"/>
    <w:rsid w:val="00483878"/>
    <w:rsid w:val="00484215"/>
    <w:rsid w:val="004A032D"/>
    <w:rsid w:val="004A4DC6"/>
    <w:rsid w:val="004A62DA"/>
    <w:rsid w:val="004A65E3"/>
    <w:rsid w:val="004B1768"/>
    <w:rsid w:val="004B19E9"/>
    <w:rsid w:val="004B2EA5"/>
    <w:rsid w:val="004B68AC"/>
    <w:rsid w:val="004B69E8"/>
    <w:rsid w:val="004C481E"/>
    <w:rsid w:val="004D22EC"/>
    <w:rsid w:val="004D6E5D"/>
    <w:rsid w:val="004E59C8"/>
    <w:rsid w:val="004F038C"/>
    <w:rsid w:val="004F08D3"/>
    <w:rsid w:val="004F38D7"/>
    <w:rsid w:val="00502211"/>
    <w:rsid w:val="00502CE6"/>
    <w:rsid w:val="0051609E"/>
    <w:rsid w:val="00524791"/>
    <w:rsid w:val="005256D1"/>
    <w:rsid w:val="00526377"/>
    <w:rsid w:val="00534413"/>
    <w:rsid w:val="00536AD3"/>
    <w:rsid w:val="0054428B"/>
    <w:rsid w:val="005479BE"/>
    <w:rsid w:val="00551417"/>
    <w:rsid w:val="00554E20"/>
    <w:rsid w:val="00555894"/>
    <w:rsid w:val="00556A61"/>
    <w:rsid w:val="00561365"/>
    <w:rsid w:val="00574245"/>
    <w:rsid w:val="00576A96"/>
    <w:rsid w:val="00580448"/>
    <w:rsid w:val="005821F3"/>
    <w:rsid w:val="005847D7"/>
    <w:rsid w:val="00590401"/>
    <w:rsid w:val="005938F5"/>
    <w:rsid w:val="00594A04"/>
    <w:rsid w:val="005961F6"/>
    <w:rsid w:val="005A142E"/>
    <w:rsid w:val="005A6D97"/>
    <w:rsid w:val="005B0EDD"/>
    <w:rsid w:val="005B1605"/>
    <w:rsid w:val="005B2498"/>
    <w:rsid w:val="005B4754"/>
    <w:rsid w:val="005B48E0"/>
    <w:rsid w:val="005C0709"/>
    <w:rsid w:val="005C2CDF"/>
    <w:rsid w:val="005D5C0A"/>
    <w:rsid w:val="005D6C4C"/>
    <w:rsid w:val="005E70D8"/>
    <w:rsid w:val="005F1067"/>
    <w:rsid w:val="005F19BF"/>
    <w:rsid w:val="005F2ABD"/>
    <w:rsid w:val="00602494"/>
    <w:rsid w:val="006061A5"/>
    <w:rsid w:val="0060795B"/>
    <w:rsid w:val="00607F89"/>
    <w:rsid w:val="00621455"/>
    <w:rsid w:val="00625847"/>
    <w:rsid w:val="00633B83"/>
    <w:rsid w:val="0064324E"/>
    <w:rsid w:val="00652FEE"/>
    <w:rsid w:val="00653330"/>
    <w:rsid w:val="0065782D"/>
    <w:rsid w:val="0066145E"/>
    <w:rsid w:val="0066465F"/>
    <w:rsid w:val="00665538"/>
    <w:rsid w:val="006677F3"/>
    <w:rsid w:val="00677E2A"/>
    <w:rsid w:val="006805DF"/>
    <w:rsid w:val="0068582C"/>
    <w:rsid w:val="006925EA"/>
    <w:rsid w:val="006942CD"/>
    <w:rsid w:val="00695DA1"/>
    <w:rsid w:val="006A2176"/>
    <w:rsid w:val="006B17AE"/>
    <w:rsid w:val="006B7158"/>
    <w:rsid w:val="006C201A"/>
    <w:rsid w:val="006C250F"/>
    <w:rsid w:val="006C5A4D"/>
    <w:rsid w:val="006C6471"/>
    <w:rsid w:val="006D1685"/>
    <w:rsid w:val="006E3929"/>
    <w:rsid w:val="006F1C45"/>
    <w:rsid w:val="006F2924"/>
    <w:rsid w:val="007042B4"/>
    <w:rsid w:val="007072E4"/>
    <w:rsid w:val="00717E1F"/>
    <w:rsid w:val="0072068F"/>
    <w:rsid w:val="007213CD"/>
    <w:rsid w:val="007346A9"/>
    <w:rsid w:val="007366F8"/>
    <w:rsid w:val="00765A98"/>
    <w:rsid w:val="00772B35"/>
    <w:rsid w:val="007749BC"/>
    <w:rsid w:val="00787853"/>
    <w:rsid w:val="00794485"/>
    <w:rsid w:val="00795055"/>
    <w:rsid w:val="00795C96"/>
    <w:rsid w:val="0079754E"/>
    <w:rsid w:val="007A5B6B"/>
    <w:rsid w:val="007A7B7C"/>
    <w:rsid w:val="007B1AE8"/>
    <w:rsid w:val="007B5105"/>
    <w:rsid w:val="007B6CC4"/>
    <w:rsid w:val="007C0E06"/>
    <w:rsid w:val="007C3C56"/>
    <w:rsid w:val="007D05F0"/>
    <w:rsid w:val="007D060F"/>
    <w:rsid w:val="007D0BE2"/>
    <w:rsid w:val="007E0B29"/>
    <w:rsid w:val="007E0F81"/>
    <w:rsid w:val="007E50C3"/>
    <w:rsid w:val="007E6E4A"/>
    <w:rsid w:val="007F09E6"/>
    <w:rsid w:val="007F21B1"/>
    <w:rsid w:val="007F2788"/>
    <w:rsid w:val="007F39F3"/>
    <w:rsid w:val="007F7639"/>
    <w:rsid w:val="00800E7C"/>
    <w:rsid w:val="00812C53"/>
    <w:rsid w:val="00813CB6"/>
    <w:rsid w:val="00817A63"/>
    <w:rsid w:val="0082426B"/>
    <w:rsid w:val="0083043F"/>
    <w:rsid w:val="008368CF"/>
    <w:rsid w:val="00841CF9"/>
    <w:rsid w:val="008447B8"/>
    <w:rsid w:val="00850562"/>
    <w:rsid w:val="008505DC"/>
    <w:rsid w:val="00851976"/>
    <w:rsid w:val="008561A8"/>
    <w:rsid w:val="008675F6"/>
    <w:rsid w:val="00874672"/>
    <w:rsid w:val="008838FD"/>
    <w:rsid w:val="00886916"/>
    <w:rsid w:val="008921D3"/>
    <w:rsid w:val="008926C1"/>
    <w:rsid w:val="00893405"/>
    <w:rsid w:val="00893FF9"/>
    <w:rsid w:val="008A23C2"/>
    <w:rsid w:val="008A24F5"/>
    <w:rsid w:val="008A25FF"/>
    <w:rsid w:val="008A2DCB"/>
    <w:rsid w:val="008A6CA9"/>
    <w:rsid w:val="008B1B4E"/>
    <w:rsid w:val="008B56BA"/>
    <w:rsid w:val="008C3120"/>
    <w:rsid w:val="008D0F9C"/>
    <w:rsid w:val="008D456F"/>
    <w:rsid w:val="008D4938"/>
    <w:rsid w:val="008F48A5"/>
    <w:rsid w:val="008F4A3C"/>
    <w:rsid w:val="008F6405"/>
    <w:rsid w:val="008F76A9"/>
    <w:rsid w:val="00900734"/>
    <w:rsid w:val="00907349"/>
    <w:rsid w:val="00910F62"/>
    <w:rsid w:val="009112FC"/>
    <w:rsid w:val="009233EC"/>
    <w:rsid w:val="00924E2D"/>
    <w:rsid w:val="009363BC"/>
    <w:rsid w:val="0093694C"/>
    <w:rsid w:val="00941380"/>
    <w:rsid w:val="00943587"/>
    <w:rsid w:val="00945006"/>
    <w:rsid w:val="009451E0"/>
    <w:rsid w:val="00952756"/>
    <w:rsid w:val="00954E4C"/>
    <w:rsid w:val="00957953"/>
    <w:rsid w:val="00965E9F"/>
    <w:rsid w:val="009664E1"/>
    <w:rsid w:val="009668B3"/>
    <w:rsid w:val="0098022A"/>
    <w:rsid w:val="009867D7"/>
    <w:rsid w:val="00990B9B"/>
    <w:rsid w:val="00993C6A"/>
    <w:rsid w:val="0099656D"/>
    <w:rsid w:val="00996F80"/>
    <w:rsid w:val="009A2767"/>
    <w:rsid w:val="009A528E"/>
    <w:rsid w:val="009A6252"/>
    <w:rsid w:val="009A67FF"/>
    <w:rsid w:val="009A7B1B"/>
    <w:rsid w:val="009B0DA1"/>
    <w:rsid w:val="009B3871"/>
    <w:rsid w:val="009C280C"/>
    <w:rsid w:val="009C643F"/>
    <w:rsid w:val="009D1C51"/>
    <w:rsid w:val="009D2F4F"/>
    <w:rsid w:val="009D4B1C"/>
    <w:rsid w:val="009D7B27"/>
    <w:rsid w:val="009E1E77"/>
    <w:rsid w:val="009E6A71"/>
    <w:rsid w:val="009F131F"/>
    <w:rsid w:val="009F4777"/>
    <w:rsid w:val="00A01717"/>
    <w:rsid w:val="00A05859"/>
    <w:rsid w:val="00A149B9"/>
    <w:rsid w:val="00A306BD"/>
    <w:rsid w:val="00A313E2"/>
    <w:rsid w:val="00A31941"/>
    <w:rsid w:val="00A3539D"/>
    <w:rsid w:val="00A43942"/>
    <w:rsid w:val="00A55965"/>
    <w:rsid w:val="00A61D3E"/>
    <w:rsid w:val="00A66DDB"/>
    <w:rsid w:val="00A71896"/>
    <w:rsid w:val="00A75D10"/>
    <w:rsid w:val="00A83FDE"/>
    <w:rsid w:val="00A90BA6"/>
    <w:rsid w:val="00A91D22"/>
    <w:rsid w:val="00A956ED"/>
    <w:rsid w:val="00A96903"/>
    <w:rsid w:val="00AA0B2F"/>
    <w:rsid w:val="00AA0D23"/>
    <w:rsid w:val="00AA25C4"/>
    <w:rsid w:val="00AA31EE"/>
    <w:rsid w:val="00AB1993"/>
    <w:rsid w:val="00AB635A"/>
    <w:rsid w:val="00AB7A30"/>
    <w:rsid w:val="00AC0219"/>
    <w:rsid w:val="00AC16B7"/>
    <w:rsid w:val="00AC59A3"/>
    <w:rsid w:val="00AE0C04"/>
    <w:rsid w:val="00AE1528"/>
    <w:rsid w:val="00AE5B33"/>
    <w:rsid w:val="00AE6A98"/>
    <w:rsid w:val="00AF31E4"/>
    <w:rsid w:val="00AF3CF5"/>
    <w:rsid w:val="00AF5761"/>
    <w:rsid w:val="00B01F14"/>
    <w:rsid w:val="00B03E2E"/>
    <w:rsid w:val="00B04BD4"/>
    <w:rsid w:val="00B058C6"/>
    <w:rsid w:val="00B05D80"/>
    <w:rsid w:val="00B14EEC"/>
    <w:rsid w:val="00B16663"/>
    <w:rsid w:val="00B173B0"/>
    <w:rsid w:val="00B204AC"/>
    <w:rsid w:val="00B21A0A"/>
    <w:rsid w:val="00B21E2C"/>
    <w:rsid w:val="00B23E1A"/>
    <w:rsid w:val="00B262CE"/>
    <w:rsid w:val="00B26C71"/>
    <w:rsid w:val="00B27798"/>
    <w:rsid w:val="00B27A16"/>
    <w:rsid w:val="00B41858"/>
    <w:rsid w:val="00B44F24"/>
    <w:rsid w:val="00B50C35"/>
    <w:rsid w:val="00B554DE"/>
    <w:rsid w:val="00B57FB4"/>
    <w:rsid w:val="00B6082B"/>
    <w:rsid w:val="00B61B8B"/>
    <w:rsid w:val="00B63A2D"/>
    <w:rsid w:val="00B66F6E"/>
    <w:rsid w:val="00B73C03"/>
    <w:rsid w:val="00B744FD"/>
    <w:rsid w:val="00B80C60"/>
    <w:rsid w:val="00B82317"/>
    <w:rsid w:val="00B85A09"/>
    <w:rsid w:val="00B92426"/>
    <w:rsid w:val="00B97059"/>
    <w:rsid w:val="00BA35EE"/>
    <w:rsid w:val="00BA4D21"/>
    <w:rsid w:val="00BB0F02"/>
    <w:rsid w:val="00BB544B"/>
    <w:rsid w:val="00BB640F"/>
    <w:rsid w:val="00BB7505"/>
    <w:rsid w:val="00BB7A61"/>
    <w:rsid w:val="00BC009F"/>
    <w:rsid w:val="00BC2144"/>
    <w:rsid w:val="00BC7A78"/>
    <w:rsid w:val="00BD097B"/>
    <w:rsid w:val="00BD1304"/>
    <w:rsid w:val="00BD7799"/>
    <w:rsid w:val="00BE2836"/>
    <w:rsid w:val="00BE2E19"/>
    <w:rsid w:val="00BE4E2E"/>
    <w:rsid w:val="00BE7038"/>
    <w:rsid w:val="00BF1362"/>
    <w:rsid w:val="00C01255"/>
    <w:rsid w:val="00C01599"/>
    <w:rsid w:val="00C03B41"/>
    <w:rsid w:val="00C0403F"/>
    <w:rsid w:val="00C04558"/>
    <w:rsid w:val="00C13402"/>
    <w:rsid w:val="00C14D00"/>
    <w:rsid w:val="00C17B50"/>
    <w:rsid w:val="00C236D6"/>
    <w:rsid w:val="00C247FA"/>
    <w:rsid w:val="00C257FA"/>
    <w:rsid w:val="00C279D8"/>
    <w:rsid w:val="00C32E75"/>
    <w:rsid w:val="00C36E67"/>
    <w:rsid w:val="00C41357"/>
    <w:rsid w:val="00C45A6B"/>
    <w:rsid w:val="00C464D6"/>
    <w:rsid w:val="00C47606"/>
    <w:rsid w:val="00C4760F"/>
    <w:rsid w:val="00C47E1E"/>
    <w:rsid w:val="00C522BF"/>
    <w:rsid w:val="00C55230"/>
    <w:rsid w:val="00C56269"/>
    <w:rsid w:val="00C6024E"/>
    <w:rsid w:val="00C632B4"/>
    <w:rsid w:val="00C67CEE"/>
    <w:rsid w:val="00C8479A"/>
    <w:rsid w:val="00C86318"/>
    <w:rsid w:val="00CA236C"/>
    <w:rsid w:val="00CA350C"/>
    <w:rsid w:val="00CB7BE3"/>
    <w:rsid w:val="00CC081E"/>
    <w:rsid w:val="00CD114B"/>
    <w:rsid w:val="00CD2828"/>
    <w:rsid w:val="00CD5728"/>
    <w:rsid w:val="00CE29AC"/>
    <w:rsid w:val="00CE2F50"/>
    <w:rsid w:val="00CE6899"/>
    <w:rsid w:val="00CE68FE"/>
    <w:rsid w:val="00CF0812"/>
    <w:rsid w:val="00CF2E23"/>
    <w:rsid w:val="00CF4D22"/>
    <w:rsid w:val="00CF77EE"/>
    <w:rsid w:val="00D02261"/>
    <w:rsid w:val="00D05855"/>
    <w:rsid w:val="00D064C8"/>
    <w:rsid w:val="00D10FA4"/>
    <w:rsid w:val="00D141D9"/>
    <w:rsid w:val="00D17B16"/>
    <w:rsid w:val="00D235BF"/>
    <w:rsid w:val="00D30B4D"/>
    <w:rsid w:val="00D34484"/>
    <w:rsid w:val="00D45AB4"/>
    <w:rsid w:val="00D50A58"/>
    <w:rsid w:val="00D61A86"/>
    <w:rsid w:val="00D61EA9"/>
    <w:rsid w:val="00D6204F"/>
    <w:rsid w:val="00D6697C"/>
    <w:rsid w:val="00D66D99"/>
    <w:rsid w:val="00D70023"/>
    <w:rsid w:val="00D72340"/>
    <w:rsid w:val="00D75331"/>
    <w:rsid w:val="00D90118"/>
    <w:rsid w:val="00D918E4"/>
    <w:rsid w:val="00D94079"/>
    <w:rsid w:val="00DA0E5F"/>
    <w:rsid w:val="00DA704E"/>
    <w:rsid w:val="00DB00AA"/>
    <w:rsid w:val="00DB0EF2"/>
    <w:rsid w:val="00DB2014"/>
    <w:rsid w:val="00DB3110"/>
    <w:rsid w:val="00DB7063"/>
    <w:rsid w:val="00DC11B3"/>
    <w:rsid w:val="00DC2094"/>
    <w:rsid w:val="00DC2759"/>
    <w:rsid w:val="00DC5D7A"/>
    <w:rsid w:val="00DD0485"/>
    <w:rsid w:val="00DD47C7"/>
    <w:rsid w:val="00DE28F6"/>
    <w:rsid w:val="00DE32CB"/>
    <w:rsid w:val="00DE489C"/>
    <w:rsid w:val="00DE6F3C"/>
    <w:rsid w:val="00DF1C08"/>
    <w:rsid w:val="00DF2A36"/>
    <w:rsid w:val="00DF2AA8"/>
    <w:rsid w:val="00DF5965"/>
    <w:rsid w:val="00DF76D0"/>
    <w:rsid w:val="00E00916"/>
    <w:rsid w:val="00E04831"/>
    <w:rsid w:val="00E058F2"/>
    <w:rsid w:val="00E16845"/>
    <w:rsid w:val="00E22AB3"/>
    <w:rsid w:val="00E2401A"/>
    <w:rsid w:val="00E24605"/>
    <w:rsid w:val="00E26AB9"/>
    <w:rsid w:val="00E4254C"/>
    <w:rsid w:val="00E43CAC"/>
    <w:rsid w:val="00E5103C"/>
    <w:rsid w:val="00E5202C"/>
    <w:rsid w:val="00E53875"/>
    <w:rsid w:val="00E5484E"/>
    <w:rsid w:val="00E575B1"/>
    <w:rsid w:val="00E60F4B"/>
    <w:rsid w:val="00E671C4"/>
    <w:rsid w:val="00E755D8"/>
    <w:rsid w:val="00E767F7"/>
    <w:rsid w:val="00E810BA"/>
    <w:rsid w:val="00E87EFE"/>
    <w:rsid w:val="00E91F23"/>
    <w:rsid w:val="00E92EA8"/>
    <w:rsid w:val="00E9542F"/>
    <w:rsid w:val="00E95E49"/>
    <w:rsid w:val="00E96F20"/>
    <w:rsid w:val="00E970E5"/>
    <w:rsid w:val="00EB0173"/>
    <w:rsid w:val="00EB197D"/>
    <w:rsid w:val="00EB2527"/>
    <w:rsid w:val="00EB2EC7"/>
    <w:rsid w:val="00EB354D"/>
    <w:rsid w:val="00EC0FC9"/>
    <w:rsid w:val="00EC21FD"/>
    <w:rsid w:val="00EC4BDD"/>
    <w:rsid w:val="00EC4E51"/>
    <w:rsid w:val="00EC50B4"/>
    <w:rsid w:val="00ED1F08"/>
    <w:rsid w:val="00ED2300"/>
    <w:rsid w:val="00ED556A"/>
    <w:rsid w:val="00ED5CE1"/>
    <w:rsid w:val="00ED6CDC"/>
    <w:rsid w:val="00EE2616"/>
    <w:rsid w:val="00EE34F8"/>
    <w:rsid w:val="00EE65B4"/>
    <w:rsid w:val="00EE7828"/>
    <w:rsid w:val="00EF4DD0"/>
    <w:rsid w:val="00EF6D25"/>
    <w:rsid w:val="00EF7B55"/>
    <w:rsid w:val="00F021D8"/>
    <w:rsid w:val="00F058DA"/>
    <w:rsid w:val="00F06D65"/>
    <w:rsid w:val="00F15450"/>
    <w:rsid w:val="00F16942"/>
    <w:rsid w:val="00F16D44"/>
    <w:rsid w:val="00F238D5"/>
    <w:rsid w:val="00F24813"/>
    <w:rsid w:val="00F24B01"/>
    <w:rsid w:val="00F2632C"/>
    <w:rsid w:val="00F3481E"/>
    <w:rsid w:val="00F37BD8"/>
    <w:rsid w:val="00F37F0D"/>
    <w:rsid w:val="00F4128C"/>
    <w:rsid w:val="00F50904"/>
    <w:rsid w:val="00F514B8"/>
    <w:rsid w:val="00F5715E"/>
    <w:rsid w:val="00F676B1"/>
    <w:rsid w:val="00F716A0"/>
    <w:rsid w:val="00F72B21"/>
    <w:rsid w:val="00F72EC9"/>
    <w:rsid w:val="00F82231"/>
    <w:rsid w:val="00F87CA5"/>
    <w:rsid w:val="00F87E70"/>
    <w:rsid w:val="00F92110"/>
    <w:rsid w:val="00F94687"/>
    <w:rsid w:val="00F95353"/>
    <w:rsid w:val="00F97D66"/>
    <w:rsid w:val="00FA262E"/>
    <w:rsid w:val="00FA296E"/>
    <w:rsid w:val="00FB1538"/>
    <w:rsid w:val="00FB2CCF"/>
    <w:rsid w:val="00FB7BCD"/>
    <w:rsid w:val="00FC26D5"/>
    <w:rsid w:val="00FC7152"/>
    <w:rsid w:val="00FC7AA5"/>
    <w:rsid w:val="00FD6858"/>
    <w:rsid w:val="00FD6DF4"/>
    <w:rsid w:val="00FD71DA"/>
    <w:rsid w:val="00FD7AAE"/>
    <w:rsid w:val="00FE0162"/>
    <w:rsid w:val="00FE0BE0"/>
    <w:rsid w:val="00FE2C00"/>
    <w:rsid w:val="00FE5FFA"/>
    <w:rsid w:val="00FF192F"/>
    <w:rsid w:val="00FF1965"/>
    <w:rsid w:val="00FF1C98"/>
    <w:rsid w:val="00FF427B"/>
  </w:rsids>
  <w:docVars>
    <w:docVar w:name="beskyttet" w:val="nei"/>
    <w:docVar w:name="docver" w:val="2.20"/>
    <w:docVar w:name="ekr_dokeier" w:val="[ResEier]"/>
    <w:docVar w:name="ekr_doktittel" w:val="[ResTittel]"/>
    <w:docVar w:name="ekr_doktype" w:val="[ResType]"/>
    <w:docVar w:name="ekr_dokumentid" w:val="[ResId]"/>
    <w:docVar w:name="ekr_endret" w:val="[ResEndret]"/>
    <w:docVar w:name="ekr_gradering" w:val="[ResGrad]"/>
    <w:docVar w:name="ekr_hørt" w:val="[Hørt av]"/>
    <w:docVar w:name="ekr_ibruk" w:val="[ResIBruk]"/>
    <w:docVar w:name="ekr_opprettet" w:val="[ResOppr]"/>
    <w:docVar w:name="ekr_rapport" w:val="[Tilknyttet rapport]"/>
    <w:docVar w:name="ekr_refnr" w:val="[ResRefNr]"/>
    <w:docVar w:name="ekr_signatur" w:val="[ResSign]"/>
    <w:docVar w:name="ekr_skrevetav" w:val="[Utfylt av]"/>
    <w:docVar w:name="ekr_status" w:val="[ResStat]"/>
    <w:docVar w:name="ekr_utext1" w:val="[]"/>
    <w:docVar w:name="ekr_utext2" w:val="[]"/>
    <w:docVar w:name="ekr_utext3" w:val="[RESUText3]"/>
    <w:docVar w:name="ekr_utext4" w:val="[RESUText4]"/>
    <w:docVar w:name="ekr_utgitt" w:val="[ResUtfylt]"/>
    <w:docVar w:name="ekr_verifisert" w:val="[Verifisert av]"/>
    <w:docVar w:name="ek_ansvarlig" w:val="[EK-Ansvarlig]"/>
    <w:docVar w:name="ek_dbfields" w:val="EK_Avdeling¤2#4¤2#[Avdeling]¤3#EK_Avsnitt¤2#4¤2#[Avsnitt]¤3#EK_Bedriftsnavn¤2#1¤2#Helse Bergen¤3#EK_GjelderFra¤2#0¤2#[GjelderFra]¤3#EK_KlGjelderFra¤2#0¤2#[KlGjelderFra]¤3#EK_Opprettet¤2#0¤2#[Opprettet]¤3#EK_Utgitt¤2#0¤2#[Utgitt]¤3#EK_IBrukDato¤2#0¤2#[Endret]¤3#EK_DokumentID¤2#0¤2#[ID]¤3#EK_DokTittel¤2#0¤2#MBF Skjemamal, LOGO, uten offisiell¤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Dok.ansvarlig]¤3#EK_UText2¤2#0¤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0003021304¤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3#EKR_UText2¤2#0¤2#[]¤3#EKR_UText3¤2#0¤2#[RESUText3]¤3#EKR_UText4¤2#0¤2#[RESUText4]¤3#EKR_DokRefnr¤2#4¤2#¤3#EKR_Gradnr¤2#4¤2#¤3#EKR_Strukt00¤2#5¤2#[ ]¤3#"/>
    <w:docVar w:name="ek_dl" w:val="[dl]"/>
    <w:docVar w:name="ek_doclevel" w:val="[DokNivå]"/>
    <w:docVar w:name="ek_doclvlshort" w:val="[DokNivåKort]"/>
    <w:docVar w:name="ek_doktittel" w:val="MBF Skjemamal, LOGO, uten offisiell"/>
    <w:docVar w:name="ek_doktype" w:val="[DokType]"/>
    <w:docVar w:name="ek_dokumentid" w:val="[ID]"/>
    <w:docVar w:name="ek_endrfields" w:val="EK_UText2¤1#EK_Rapport¤1#EKR_UText1¤1#EKR_UText2¤1#"/>
    <w:docVar w:name="ek_erstatter" w:val="[Erstatter]"/>
    <w:docVar w:name="ek_erstatterd" w:val="[ErstatterD]"/>
    <w:docVar w:name="ek_format" w:val="-10"/>
    <w:docVar w:name="ek_gjelderfra" w:val="[GjelderFra]"/>
    <w:docVar w:name="ek_gjeldertil" w:val="[GyldigTil]"/>
    <w:docVar w:name="ek_gradering" w:val="[Gradering]"/>
    <w:docVar w:name="ek_hbnavn" w:val="[HbNavn]"/>
    <w:docVar w:name="ek_hrefnr" w:val="[HRefnr]"/>
    <w:docVar w:name="ek_hørt" w:val="[Hørt av]"/>
    <w:docVar w:name="ek_ibrukdato" w:val="[Endret]"/>
    <w:docVar w:name="ek_klgjelderfra" w:val="[KlGjelderFra]"/>
    <w:docVar w:name="ek_merknad" w:val="[Merknad]"/>
    <w:docVar w:name="ek_opprettet" w:val="[Opprettet]"/>
    <w:docVar w:name="ek_protection" w:val="0"/>
    <w:docVar w:name="ek_rapport" w:val="[Tilknyttet rapport]"/>
    <w:docVar w:name="ek_revisjon" w:val="[Rev]"/>
    <w:docVar w:name="ek_s00mt10400" w:val="[ ]"/>
    <w:docVar w:name="ek_s01mt3" w:val="[ ]"/>
    <w:docVar w:name="ek_status" w:val="[Status]"/>
    <w:docVar w:name="ek_stikkord" w:val="[Stikkord]"/>
    <w:docVar w:name="ek_superstikkord" w:val="[SuperStikkord]"/>
    <w:docVar w:name="ek_type" w:val="MAL"/>
    <w:docVar w:name="ek_utext1" w:val="[Dok.ansvarlig]"/>
    <w:docVar w:name="ek_utext2" w:val="[]"/>
    <w:docVar w:name="ek_utext3" w:val="[UText3]"/>
    <w:docVar w:name="ek_utext4" w:val="[UText4]"/>
    <w:docVar w:name="ek_utgitt" w:val="[Utgitt]"/>
    <w:docVar w:name="ek_verifisert" w:val="[Verifisert av]"/>
    <w:docVar w:name="khb" w:val="nei"/>
    <w:docVar w:name="skitten" w:val="0"/>
    <w:docVar w:name="tidek_eksref" w:val="--"/>
    <w:docVar w:name="tidek_referanse" w:val="--"/>
    <w:docVar w:name="tidek_vedlegg" w:va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52098F46"/>
  <w15:docId w15:val="{F107ECDB-115C-4DE5-AF78-FD7973905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0EF2"/>
    <w:pPr>
      <w:spacing w:before="120" w:after="120"/>
    </w:pPr>
    <w:rPr>
      <w:rFonts w:asciiTheme="minorHAnsi" w:hAnsiTheme="minorHAnsi" w:cs="Arial"/>
      <w:sz w:val="24"/>
      <w:szCs w:val="24"/>
    </w:rPr>
  </w:style>
  <w:style w:type="paragraph" w:styleId="Heading1">
    <w:name w:val="heading 1"/>
    <w:basedOn w:val="Normal"/>
    <w:next w:val="Normal"/>
    <w:autoRedefine/>
    <w:qFormat/>
    <w:rsid w:val="008A23C2"/>
    <w:pPr>
      <w:numPr>
        <w:numId w:val="30"/>
      </w:numPr>
      <w:tabs>
        <w:tab w:val="left" w:pos="567"/>
      </w:tabs>
      <w:spacing w:before="240"/>
      <w:ind w:left="0" w:firstLine="0"/>
      <w:outlineLvl w:val="0"/>
    </w:pPr>
    <w:rPr>
      <w:b/>
      <w:color w:val="00529C"/>
      <w:sz w:val="44"/>
    </w:rPr>
  </w:style>
  <w:style w:type="paragraph" w:styleId="Heading2">
    <w:name w:val="heading 2"/>
    <w:basedOn w:val="Normal"/>
    <w:next w:val="Normal"/>
    <w:autoRedefine/>
    <w:qFormat/>
    <w:rsid w:val="00A90BA6"/>
    <w:pPr>
      <w:numPr>
        <w:ilvl w:val="1"/>
        <w:numId w:val="30"/>
      </w:numPr>
      <w:ind w:left="578" w:hanging="578"/>
      <w:outlineLvl w:val="1"/>
    </w:pPr>
    <w:rPr>
      <w:b/>
      <w:color w:val="00529C"/>
      <w:sz w:val="30"/>
    </w:rPr>
  </w:style>
  <w:style w:type="paragraph" w:styleId="Heading3">
    <w:name w:val="heading 3"/>
    <w:basedOn w:val="Normal"/>
    <w:next w:val="Normal"/>
    <w:autoRedefine/>
    <w:qFormat/>
    <w:rsid w:val="00A90BA6"/>
    <w:pPr>
      <w:numPr>
        <w:ilvl w:val="2"/>
        <w:numId w:val="30"/>
      </w:numPr>
      <w:outlineLvl w:val="2"/>
    </w:pPr>
    <w:rPr>
      <w:b/>
      <w:color w:val="00529C"/>
    </w:rPr>
  </w:style>
  <w:style w:type="paragraph" w:styleId="Heading4">
    <w:name w:val="heading 4"/>
    <w:basedOn w:val="Normal"/>
    <w:next w:val="Normal"/>
    <w:qFormat/>
    <w:rsid w:val="00C67CEE"/>
    <w:pPr>
      <w:numPr>
        <w:ilvl w:val="3"/>
        <w:numId w:val="30"/>
      </w:numPr>
      <w:tabs>
        <w:tab w:val="left" w:pos="851"/>
      </w:tabs>
      <w:ind w:left="851" w:hanging="851"/>
      <w:outlineLvl w:val="3"/>
    </w:pPr>
    <w:rPr>
      <w:b/>
    </w:rPr>
  </w:style>
  <w:style w:type="paragraph" w:styleId="Heading5">
    <w:name w:val="heading 5"/>
    <w:basedOn w:val="Normal"/>
    <w:next w:val="Normal"/>
    <w:qFormat/>
    <w:rsid w:val="00C67CEE"/>
    <w:pPr>
      <w:numPr>
        <w:ilvl w:val="4"/>
        <w:numId w:val="30"/>
      </w:numPr>
      <w:ind w:left="1009" w:hanging="1009"/>
      <w:outlineLvl w:val="4"/>
    </w:pPr>
    <w:rPr>
      <w:b/>
      <w:bCs/>
      <w:iCs/>
      <w:szCs w:val="26"/>
    </w:rPr>
  </w:style>
  <w:style w:type="paragraph" w:styleId="Heading6">
    <w:name w:val="heading 6"/>
    <w:basedOn w:val="Normal"/>
    <w:next w:val="Normal"/>
    <w:qFormat/>
    <w:rsid w:val="00C67CEE"/>
    <w:pPr>
      <w:numPr>
        <w:ilvl w:val="5"/>
        <w:numId w:val="30"/>
      </w:numPr>
      <w:ind w:left="1151" w:hanging="1151"/>
      <w:outlineLvl w:val="5"/>
    </w:pPr>
    <w:rPr>
      <w:b/>
    </w:rPr>
  </w:style>
  <w:style w:type="paragraph" w:styleId="Heading7">
    <w:name w:val="heading 7"/>
    <w:aliases w:val="Vedlegg"/>
    <w:basedOn w:val="Normal"/>
    <w:next w:val="Normal"/>
    <w:qFormat/>
    <w:rsid w:val="003C5E4C"/>
    <w:pPr>
      <w:outlineLvl w:val="6"/>
    </w:pPr>
    <w:rPr>
      <w:b/>
      <w:caps/>
    </w:rPr>
  </w:style>
  <w:style w:type="paragraph" w:styleId="Heading8">
    <w:name w:val="heading 8"/>
    <w:basedOn w:val="Normal"/>
    <w:next w:val="Normal"/>
    <w:link w:val="Overskrift8Tegn"/>
    <w:semiHidden/>
    <w:unhideWhenUsed/>
    <w:qFormat/>
    <w:rsid w:val="001C22DD"/>
    <w:pPr>
      <w:numPr>
        <w:ilvl w:val="7"/>
        <w:numId w:val="30"/>
      </w:numPr>
      <w:spacing w:before="240" w:after="60"/>
      <w:outlineLvl w:val="7"/>
    </w:pPr>
    <w:rPr>
      <w:rFonts w:ascii="Calibri" w:hAnsi="Calibri" w:cs="Times New Roman"/>
      <w:i/>
      <w:iCs/>
    </w:rPr>
  </w:style>
  <w:style w:type="paragraph" w:styleId="Heading9">
    <w:name w:val="heading 9"/>
    <w:basedOn w:val="Normal"/>
    <w:next w:val="Normal"/>
    <w:link w:val="Overskrift9Tegn"/>
    <w:semiHidden/>
    <w:unhideWhenUsed/>
    <w:qFormat/>
    <w:rsid w:val="001C22DD"/>
    <w:pPr>
      <w:numPr>
        <w:ilvl w:val="8"/>
        <w:numId w:val="30"/>
      </w:numPr>
      <w:spacing w:before="240" w:after="60"/>
      <w:outlineLvl w:val="8"/>
    </w:pPr>
    <w:rPr>
      <w:rFonts w:ascii="Cambria" w:hAnsi="Cambria"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link w:val="TopptekstTegn"/>
    <w:pPr>
      <w:jc w:val="right"/>
    </w:p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style>
  <w:style w:type="paragraph" w:customStyle="1" w:styleId="DBFelt">
    <w:name w:val="DBFelt"/>
    <w:basedOn w:val="Normal"/>
    <w:rPr>
      <w:color w:val="808080"/>
    </w:rPr>
  </w:style>
  <w:style w:type="character" w:styleId="PageNumber">
    <w:name w:val="page number"/>
    <w:basedOn w:val="DefaultParagraphFont"/>
  </w:style>
  <w:style w:type="character" w:styleId="Hyperlink">
    <w:name w:val="Hyperlink"/>
    <w:uiPriority w:val="99"/>
    <w:rsid w:val="0083043F"/>
    <w:rPr>
      <w:color w:val="0000FF"/>
      <w:u w:val="single"/>
    </w:rPr>
  </w:style>
  <w:style w:type="character" w:styleId="FollowedHyperlink">
    <w:name w:val="FollowedHyperlink"/>
    <w:rPr>
      <w:rFonts w:ascii="Verdana" w:hAnsi="Verdana"/>
      <w:color w:val="800080"/>
      <w:sz w:val="14"/>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387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8A24F5"/>
    <w:pPr>
      <w:tabs>
        <w:tab w:val="left" w:pos="680"/>
      </w:tabs>
      <w:ind w:left="284"/>
    </w:pPr>
    <w:rPr>
      <w:rFonts w:cstheme="minorHAnsi"/>
      <w:b/>
      <w:bCs/>
      <w:szCs w:val="20"/>
    </w:rPr>
  </w:style>
  <w:style w:type="paragraph" w:styleId="TOC2">
    <w:name w:val="toc 2"/>
    <w:basedOn w:val="Normal"/>
    <w:next w:val="Normal"/>
    <w:autoRedefine/>
    <w:uiPriority w:val="39"/>
    <w:rsid w:val="00E00916"/>
    <w:pPr>
      <w:tabs>
        <w:tab w:val="left" w:pos="1219"/>
      </w:tabs>
      <w:spacing w:before="40" w:after="0"/>
      <w:ind w:left="737"/>
    </w:pPr>
    <w:rPr>
      <w:rFonts w:cstheme="minorHAnsi"/>
      <w:iCs/>
      <w:szCs w:val="20"/>
    </w:rPr>
  </w:style>
  <w:style w:type="paragraph" w:styleId="TOC3">
    <w:name w:val="toc 3"/>
    <w:basedOn w:val="Normal"/>
    <w:next w:val="Normal"/>
    <w:autoRedefine/>
    <w:uiPriority w:val="39"/>
    <w:rsid w:val="00E00916"/>
    <w:pPr>
      <w:tabs>
        <w:tab w:val="left" w:pos="1701"/>
      </w:tabs>
      <w:spacing w:before="40" w:after="0"/>
      <w:ind w:left="1219"/>
    </w:pPr>
    <w:rPr>
      <w:rFonts w:cstheme="minorHAnsi"/>
      <w:szCs w:val="20"/>
    </w:rPr>
  </w:style>
  <w:style w:type="character" w:styleId="SubtleEmphasis">
    <w:name w:val="Subtle Emphasis"/>
    <w:uiPriority w:val="19"/>
    <w:rsid w:val="005961F6"/>
    <w:rPr>
      <w:i/>
      <w:iCs/>
      <w:color w:val="808080"/>
    </w:rPr>
  </w:style>
  <w:style w:type="character" w:styleId="IntenseEmphasis">
    <w:name w:val="Intense Emphasis"/>
    <w:uiPriority w:val="21"/>
    <w:rsid w:val="005961F6"/>
    <w:rPr>
      <w:b/>
      <w:bCs/>
      <w:i/>
      <w:iCs/>
      <w:color w:val="4F81BD"/>
    </w:rPr>
  </w:style>
  <w:style w:type="paragraph" w:styleId="Quote">
    <w:name w:val="Quote"/>
    <w:basedOn w:val="Normal"/>
    <w:next w:val="Normal"/>
    <w:link w:val="SitatTegn"/>
    <w:uiPriority w:val="29"/>
    <w:rsid w:val="005961F6"/>
    <w:rPr>
      <w:i/>
      <w:iCs/>
      <w:color w:val="000000"/>
    </w:rPr>
  </w:style>
  <w:style w:type="character" w:customStyle="1" w:styleId="SitatTegn">
    <w:name w:val="Sitat Tegn"/>
    <w:link w:val="Quote"/>
    <w:uiPriority w:val="29"/>
    <w:rsid w:val="005961F6"/>
    <w:rPr>
      <w:rFonts w:ascii="Arial" w:hAnsi="Arial" w:cs="Arial"/>
      <w:i/>
      <w:iCs/>
      <w:color w:val="000000"/>
      <w:sz w:val="22"/>
      <w:szCs w:val="24"/>
    </w:rPr>
  </w:style>
  <w:style w:type="character" w:styleId="SubtleReference">
    <w:name w:val="Subtle Reference"/>
    <w:uiPriority w:val="31"/>
    <w:rsid w:val="005961F6"/>
    <w:rPr>
      <w:smallCaps/>
      <w:color w:val="C0504D"/>
      <w:u w:val="single"/>
    </w:rPr>
  </w:style>
  <w:style w:type="paragraph" w:styleId="ListBullet">
    <w:name w:val="List Bullet"/>
    <w:basedOn w:val="Normal"/>
    <w:qFormat/>
    <w:rsid w:val="007072E4"/>
    <w:pPr>
      <w:numPr>
        <w:numId w:val="20"/>
      </w:numPr>
      <w:ind w:left="426" w:hanging="426"/>
    </w:pPr>
  </w:style>
  <w:style w:type="paragraph" w:styleId="ListBullet2">
    <w:name w:val="List Bullet 2"/>
    <w:basedOn w:val="ListBullet"/>
    <w:qFormat/>
    <w:rsid w:val="002528CC"/>
    <w:pPr>
      <w:numPr>
        <w:numId w:val="24"/>
      </w:numPr>
    </w:pPr>
  </w:style>
  <w:style w:type="paragraph" w:styleId="TOC4">
    <w:name w:val="toc 4"/>
    <w:basedOn w:val="Normal"/>
    <w:next w:val="Normal"/>
    <w:uiPriority w:val="39"/>
    <w:rsid w:val="0083043F"/>
    <w:pPr>
      <w:ind w:left="720"/>
    </w:pPr>
    <w:rPr>
      <w:rFonts w:cstheme="minorHAnsi"/>
      <w:sz w:val="20"/>
      <w:szCs w:val="20"/>
    </w:rPr>
  </w:style>
  <w:style w:type="paragraph" w:styleId="TOC5">
    <w:name w:val="toc 5"/>
    <w:basedOn w:val="Normal"/>
    <w:next w:val="Normal"/>
    <w:autoRedefine/>
    <w:uiPriority w:val="39"/>
    <w:rsid w:val="0083043F"/>
    <w:pPr>
      <w:ind w:left="960"/>
    </w:pPr>
    <w:rPr>
      <w:rFonts w:cstheme="minorHAnsi"/>
      <w:sz w:val="20"/>
      <w:szCs w:val="20"/>
    </w:rPr>
  </w:style>
  <w:style w:type="paragraph" w:styleId="TOC6">
    <w:name w:val="toc 6"/>
    <w:basedOn w:val="Normal"/>
    <w:next w:val="Normal"/>
    <w:autoRedefine/>
    <w:uiPriority w:val="39"/>
    <w:rsid w:val="0083043F"/>
    <w:pPr>
      <w:ind w:left="1200"/>
    </w:pPr>
    <w:rPr>
      <w:rFonts w:cstheme="minorHAnsi"/>
      <w:sz w:val="20"/>
      <w:szCs w:val="20"/>
    </w:rPr>
  </w:style>
  <w:style w:type="character" w:customStyle="1" w:styleId="Overskrift8Tegn">
    <w:name w:val="Overskrift 8 Tegn"/>
    <w:link w:val="Heading8"/>
    <w:semiHidden/>
    <w:rsid w:val="001C22DD"/>
    <w:rPr>
      <w:rFonts w:ascii="Calibri" w:eastAsia="Times New Roman" w:hAnsi="Calibri" w:cs="Times New Roman"/>
      <w:i/>
      <w:iCs/>
      <w:sz w:val="24"/>
      <w:szCs w:val="24"/>
    </w:rPr>
  </w:style>
  <w:style w:type="character" w:customStyle="1" w:styleId="Overskrift9Tegn">
    <w:name w:val="Overskrift 9 Tegn"/>
    <w:link w:val="Heading9"/>
    <w:semiHidden/>
    <w:rsid w:val="001C22DD"/>
    <w:rPr>
      <w:rFonts w:ascii="Cambria" w:eastAsia="Times New Roman" w:hAnsi="Cambria" w:cs="Times New Roman"/>
      <w:sz w:val="22"/>
      <w:szCs w:val="22"/>
    </w:rPr>
  </w:style>
  <w:style w:type="paragraph" w:styleId="Index1">
    <w:name w:val="index 1"/>
    <w:basedOn w:val="Normal"/>
    <w:next w:val="Normal"/>
    <w:autoRedefine/>
    <w:rsid w:val="00C14D00"/>
    <w:pPr>
      <w:ind w:left="220" w:hanging="220"/>
    </w:pPr>
  </w:style>
  <w:style w:type="paragraph" w:styleId="TOC7">
    <w:name w:val="toc 7"/>
    <w:basedOn w:val="Normal"/>
    <w:next w:val="Normal"/>
    <w:autoRedefine/>
    <w:uiPriority w:val="39"/>
    <w:rsid w:val="000C28A7"/>
    <w:pPr>
      <w:ind w:left="1440"/>
    </w:pPr>
    <w:rPr>
      <w:rFonts w:cstheme="minorHAnsi"/>
      <w:sz w:val="20"/>
      <w:szCs w:val="20"/>
    </w:rPr>
  </w:style>
  <w:style w:type="character" w:styleId="BookTitle">
    <w:name w:val="Book Title"/>
    <w:uiPriority w:val="33"/>
    <w:rsid w:val="002528CC"/>
    <w:rPr>
      <w:b/>
      <w:bCs/>
      <w:smallCaps/>
      <w:spacing w:val="5"/>
    </w:rPr>
  </w:style>
  <w:style w:type="paragraph" w:styleId="ListParagraph">
    <w:name w:val="List Paragraph"/>
    <w:basedOn w:val="Normal"/>
    <w:uiPriority w:val="34"/>
    <w:rsid w:val="002528CC"/>
    <w:pPr>
      <w:ind w:left="708"/>
    </w:pPr>
  </w:style>
  <w:style w:type="character" w:customStyle="1" w:styleId="TopptekstTegn">
    <w:name w:val="Topptekst Tegn"/>
    <w:basedOn w:val="DefaultParagraphFont"/>
    <w:link w:val="Header"/>
    <w:rsid w:val="00893FF9"/>
    <w:rPr>
      <w:rFonts w:ascii="Arial" w:hAnsi="Arial" w:cs="Arial"/>
      <w:szCs w:val="24"/>
    </w:rPr>
  </w:style>
  <w:style w:type="table" w:styleId="TableGrid2">
    <w:name w:val="Table Grid 2"/>
    <w:basedOn w:val="TableNormal"/>
    <w:unhideWhenUsed/>
    <w:rsid w:val="0004594A"/>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A90BA6"/>
    <w:pPr>
      <w:keepNext/>
      <w:keepLines/>
      <w:numPr>
        <w:numId w:val="0"/>
      </w:numPr>
      <w:spacing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8">
    <w:name w:val="toc 8"/>
    <w:basedOn w:val="Normal"/>
    <w:next w:val="Normal"/>
    <w:autoRedefine/>
    <w:unhideWhenUsed/>
    <w:rsid w:val="00A90BA6"/>
    <w:pPr>
      <w:ind w:left="1680"/>
    </w:pPr>
    <w:rPr>
      <w:rFonts w:cstheme="minorHAnsi"/>
      <w:sz w:val="20"/>
      <w:szCs w:val="20"/>
    </w:rPr>
  </w:style>
  <w:style w:type="paragraph" w:styleId="TOC9">
    <w:name w:val="toc 9"/>
    <w:basedOn w:val="Normal"/>
    <w:next w:val="Normal"/>
    <w:autoRedefine/>
    <w:unhideWhenUsed/>
    <w:rsid w:val="00A90BA6"/>
    <w:pPr>
      <w:ind w:left="192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hyperlink" Target="http://www.napos.no"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er3.xml.rels><?xml version="1.0" encoding="utf-8" standalone="yes"?><Relationships xmlns="http://schemas.openxmlformats.org/package/2006/relationships"><Relationship Id="rId1" Type="http://schemas.openxmlformats.org/officeDocument/2006/relationships/hyperlink" Target="https://www.helse-bergen.no/nasjonalt-kompetansesenter-for-porfyrisykdommer-napos" TargetMode="External" /><Relationship Id="rId2" Type="http://schemas.openxmlformats.org/officeDocument/2006/relationships/hyperlink" Target="mailto:porfyri@helse-bergen.no"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IDTOR\APPDATA\ROAMING\MICROSOFT\TEMPLATES\OPERATIV.DOTM" TargetMode="External" /></Relationships>
</file>

<file path=word/theme/theme1.xml><?xml version="1.0" encoding="utf-8"?>
<a:theme xmlns:a="http://schemas.openxmlformats.org/drawingml/2006/main" name="Napos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B2CAE9">
            <a:alpha val="40000"/>
          </a:srgbClr>
        </a:solidFill>
        <a:ln w="25400">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607F66-EF0C-4CA5-84BB-2452EA9C3D4F}">
  <we:reference id="1fc441d0-c012-4ded-878a-44e68ea26eb9" version="3.5.0.0" store="EXCatalog" storeType="excatalog"/>
  <we:alternateReferences>
    <we:reference id="WA200003024" version="3.5.0.0" store="nb-NO"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75802-D14D-4CCD-BDFC-CE98187FB587}">
  <ds:schemaRefs>
    <ds:schemaRef ds:uri="http://schemas.openxmlformats.org/officeDocument/2006/bibliography"/>
  </ds:schemaRefs>
</ds:datastoreItem>
</file>

<file path=docMetadata/LabelInfo.xml><?xml version="1.0" encoding="utf-8"?>
<clbl:labelList xmlns:clbl="http://schemas.microsoft.com/office/2020/mipLabelMetadata">
  <clbl:label id="{d291ddcc-9a90-46b7-a727-d19b3ec4b730}" enabled="1" method="Privileged" siteId="{bdcbe535-f3cf-49f5-8a6a-fb6d98dc7837}" contentBits="0" removed="0"/>
</clbl:labelList>
</file>

<file path=docProps/app.xml><?xml version="1.0" encoding="utf-8"?>
<Properties xmlns="http://schemas.openxmlformats.org/officeDocument/2006/extended-properties" xmlns:vt="http://schemas.openxmlformats.org/officeDocument/2006/docPropsVTypes">
  <Template>OPERATIV_EK3TEMPDISABLED</Template>
  <TotalTime>315</TotalTime>
  <Pages>7</Pages>
  <Words>2569</Words>
  <Characters>16000</Characters>
  <Application>Microsoft Office Word</Application>
  <DocSecurity>0</DocSecurity>
  <Lines>133</Lines>
  <Paragraphs>37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Rutiner for sykehusbehandling av akutte porfyrianfall</vt:lpstr>
      <vt:lpstr>MIA - Mal for prosedyrer, generell</vt:lpstr>
    </vt:vector>
  </TitlesOfParts>
  <Company>Datakvalitet</Company>
  <LinksUpToDate>false</LinksUpToDate>
  <CharactersWithSpaces>18532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Rutiner for sykehusbehandling av akutte porfyrianfall</dc:title>
  <dc:subject>0003021304|[RefNr]|</dc:subject>
  <dc:creator>Handbok</dc:creator>
  <cp:lastModifiedBy>Duinker, Irene Karin Lillestøl</cp:lastModifiedBy>
  <cp:revision>51</cp:revision>
  <cp:lastPrinted>2010-11-18T08:34:00Z</cp:lastPrinted>
  <dcterms:created xsi:type="dcterms:W3CDTF">2022-07-22T08:20:00Z</dcterms:created>
  <dcterms:modified xsi:type="dcterms:W3CDTF">2026-07-01T07:17:00Z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250c026f,1827029d</vt:lpwstr>
  </property>
  <property fmtid="{D5CDD505-2E9C-101B-9397-08002B2CF9AE}" pid="4" name="ClassificationContentMarkingFooterText">
    <vt:lpwstr>Følsomhet Intern (gul)</vt:lpwstr>
  </property>
  <property fmtid="{D5CDD505-2E9C-101B-9397-08002B2CF9AE}" pid="5" name="EK_Bedriftsnavn">
    <vt:lpwstr>Helse Bergen</vt:lpwstr>
  </property>
  <property fmtid="{D5CDD505-2E9C-101B-9397-08002B2CF9AE}" pid="6" name="EK_DokTittel">
    <vt:lpwstr>Rutiner for sykehusbehandling av akutte porfyrianfall</vt:lpwstr>
  </property>
  <property fmtid="{D5CDD505-2E9C-101B-9397-08002B2CF9AE}" pid="7" name="EK_DokumentID">
    <vt:lpwstr>D84969</vt:lpwstr>
  </property>
  <property fmtid="{D5CDD505-2E9C-101B-9397-08002B2CF9AE}" pid="8" name="EK_EKPrintMerke">
    <vt:lpwstr>Uoffisiell utskrift er kun gyldig på utskriftsdato</vt:lpwstr>
  </property>
  <property fmtid="{D5CDD505-2E9C-101B-9397-08002B2CF9AE}" pid="9" name="EK_GjelderFra">
    <vt:lpwstr>01.07.2026</vt:lpwstr>
  </property>
  <property fmtid="{D5CDD505-2E9C-101B-9397-08002B2CF9AE}" pid="10" name="EK_RefNr">
    <vt:lpwstr>13.4.24.8-12</vt:lpwstr>
  </property>
  <property fmtid="{D5CDD505-2E9C-101B-9397-08002B2CF9AE}" pid="11" name="EK_S00MT10400">
    <vt:lpwstr>[ ]</vt:lpwstr>
  </property>
  <property fmtid="{D5CDD505-2E9C-101B-9397-08002B2CF9AE}" pid="12" name="EK_Signatur">
    <vt:lpwstr>[Signatur]</vt:lpwstr>
  </property>
  <property fmtid="{D5CDD505-2E9C-101B-9397-08002B2CF9AE}" pid="13" name="EK_Utgave">
    <vt:lpwstr>2.00</vt:lpwstr>
  </property>
  <property fmtid="{D5CDD505-2E9C-101B-9397-08002B2CF9AE}" pid="14" name="EK_Watermark">
    <vt:lpwstr>Vannmerke</vt:lpwstr>
  </property>
  <property fmtid="{D5CDD505-2E9C-101B-9397-08002B2CF9AE}" pid="15" name="MSIP_Label_0c3ffc1c-ef00-4620-9c2f-7d9c1597774b_ActionId">
    <vt:lpwstr>1ca5a0ea-326f-4cbe-b8db-e5eb605c759f</vt:lpwstr>
  </property>
  <property fmtid="{D5CDD505-2E9C-101B-9397-08002B2CF9AE}" pid="16" name="MSIP_Label_0c3ffc1c-ef00-4620-9c2f-7d9c1597774b_ContentBits">
    <vt:lpwstr>2</vt:lpwstr>
  </property>
  <property fmtid="{D5CDD505-2E9C-101B-9397-08002B2CF9AE}" pid="17" name="MSIP_Label_0c3ffc1c-ef00-4620-9c2f-7d9c1597774b_Enabled">
    <vt:lpwstr>true</vt:lpwstr>
  </property>
  <property fmtid="{D5CDD505-2E9C-101B-9397-08002B2CF9AE}" pid="18" name="MSIP_Label_0c3ffc1c-ef00-4620-9c2f-7d9c1597774b_Method">
    <vt:lpwstr>Standard</vt:lpwstr>
  </property>
  <property fmtid="{D5CDD505-2E9C-101B-9397-08002B2CF9AE}" pid="19" name="MSIP_Label_0c3ffc1c-ef00-4620-9c2f-7d9c1597774b_Name">
    <vt:lpwstr>Intern</vt:lpwstr>
  </property>
  <property fmtid="{D5CDD505-2E9C-101B-9397-08002B2CF9AE}" pid="20" name="MSIP_Label_0c3ffc1c-ef00-4620-9c2f-7d9c1597774b_SetDate">
    <vt:lpwstr>2025-10-28T10:15:27Z</vt:lpwstr>
  </property>
  <property fmtid="{D5CDD505-2E9C-101B-9397-08002B2CF9AE}" pid="21" name="MSIP_Label_0c3ffc1c-ef00-4620-9c2f-7d9c1597774b_SiteId">
    <vt:lpwstr>bdcbe535-f3cf-49f5-8a6a-fb6d98dc7837</vt:lpwstr>
  </property>
  <property fmtid="{D5CDD505-2E9C-101B-9397-08002B2CF9AE}" pid="22" name="MSIP_Label_0c3ffc1c-ef00-4620-9c2f-7d9c1597774b_Tag">
    <vt:lpwstr>10, 3, 0, 1</vt:lpwstr>
  </property>
</Properties>
</file>