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bookmarkStart w:id="0" w:name="tempHer" w:displacedByCustomXml="next"/>
    <w:bookmarkEnd w:id="0" w:displacedByCustomXml="next"/>
    <w:sdt>
      <w:sdtPr>
        <w:rPr>
          <w:rFonts w:eastAsia="Times New Roman" w:cs="Times New Roman"/>
          <w:sz w:val="24"/>
          <w:szCs w:val="20"/>
        </w:rPr>
        <w:id w:val="2059436989"/>
        <w:docPartObj>
          <w:docPartGallery w:val="Table of Contents"/>
          <w:docPartUnique/>
        </w:docPartObj>
      </w:sdtPr>
      <w:sdtEndPr>
        <w:rPr>
          <w:rFonts w:eastAsiaTheme="majorEastAsia" w:cstheme="majorBidi"/>
          <w:sz w:val="20"/>
          <w:szCs w:val="32"/>
        </w:rPr>
      </w:sdtEndPr>
      <w:sdtContent>
        <w:p w:rsidR="009D023B" w:rsidP="001751E9" w14:paraId="4B3E9AF8" w14:textId="6261953E">
          <w:pPr>
            <w:pStyle w:val="StilOverskriftforinnholdsfortegnelseLatinBrdtekstCali"/>
            <w:rPr>
              <w:rFonts w:cstheme="minorHAnsi"/>
              <w:color w:val="000080"/>
            </w:rPr>
          </w:pPr>
          <w:r>
            <w:t xml:space="preserve"> </w:t>
          </w:r>
        </w:p>
      </w:sdtContent>
    </w:sdt>
    <w:p w:rsidR="001751E9" w:rsidP="001751E9" w14:paraId="28F802C9" w14:textId="77777777">
      <w:pPr>
        <w:pStyle w:val="BodyText"/>
        <w:kinsoku w:val="0"/>
        <w:overflowPunct w:val="0"/>
        <w:rPr>
          <w:sz w:val="72"/>
          <w:szCs w:val="72"/>
        </w:rPr>
      </w:pPr>
    </w:p>
    <w:p w:rsidR="001751E9" w:rsidP="001751E9" w14:paraId="4D8F90B1" w14:textId="77777777">
      <w:pPr>
        <w:pStyle w:val="BodyText"/>
        <w:kinsoku w:val="0"/>
        <w:overflowPunct w:val="0"/>
        <w:rPr>
          <w:sz w:val="72"/>
          <w:szCs w:val="72"/>
        </w:rPr>
      </w:pPr>
    </w:p>
    <w:p w:rsidR="001751E9" w:rsidP="001751E9" w14:paraId="17AEAE92" w14:textId="77777777">
      <w:pPr>
        <w:pStyle w:val="BodyText"/>
        <w:kinsoku w:val="0"/>
        <w:overflowPunct w:val="0"/>
        <w:ind w:firstLine="1"/>
        <w:jc w:val="center"/>
        <w:rPr>
          <w:color w:val="00338D"/>
          <w:spacing w:val="-5"/>
          <w:sz w:val="72"/>
          <w:szCs w:val="72"/>
        </w:rPr>
      </w:pPr>
      <w:r>
        <w:rPr>
          <w:color w:val="00338D"/>
          <w:sz w:val="72"/>
          <w:szCs w:val="72"/>
        </w:rPr>
        <w:t xml:space="preserve">Til </w:t>
      </w:r>
      <w:r>
        <w:rPr>
          <w:color w:val="00338D"/>
          <w:spacing w:val="-5"/>
          <w:sz w:val="72"/>
          <w:szCs w:val="72"/>
        </w:rPr>
        <w:t>deg</w:t>
      </w:r>
    </w:p>
    <w:p w:rsidR="001751E9" w:rsidP="001751E9" w14:paraId="236BC978" w14:textId="77777777">
      <w:pPr>
        <w:pStyle w:val="BodyText"/>
        <w:kinsoku w:val="0"/>
        <w:overflowPunct w:val="0"/>
        <w:ind w:left="1"/>
        <w:jc w:val="center"/>
        <w:rPr>
          <w:color w:val="00338D"/>
          <w:sz w:val="72"/>
          <w:szCs w:val="72"/>
        </w:rPr>
      </w:pPr>
      <w:r w:rsidRPr="660BB230">
        <w:rPr>
          <w:color w:val="00338D"/>
          <w:sz w:val="72"/>
          <w:szCs w:val="72"/>
        </w:rPr>
        <w:t xml:space="preserve">som mottar antifibrotisk behandling med </w:t>
      </w:r>
      <w:r>
        <w:rPr>
          <w:color w:val="00338D"/>
          <w:sz w:val="72"/>
          <w:szCs w:val="72"/>
        </w:rPr>
        <w:t>pirfenidon</w:t>
      </w:r>
      <w:r w:rsidRPr="660BB230">
        <w:rPr>
          <w:color w:val="00338D"/>
          <w:sz w:val="72"/>
          <w:szCs w:val="72"/>
        </w:rPr>
        <w:t xml:space="preserve"> eller </w:t>
      </w:r>
      <w:r>
        <w:rPr>
          <w:color w:val="00338D"/>
          <w:sz w:val="72"/>
          <w:szCs w:val="72"/>
        </w:rPr>
        <w:t>nintedanib</w:t>
      </w:r>
    </w:p>
    <w:p w:rsidR="001751E9" w:rsidRPr="00DA1648" w:rsidP="001751E9" w14:paraId="791CBD6F" w14:textId="77777777">
      <w:pPr>
        <w:pStyle w:val="BodyText"/>
        <w:kinsoku w:val="0"/>
        <w:overflowPunct w:val="0"/>
        <w:ind w:left="1"/>
        <w:jc w:val="center"/>
        <w:rPr>
          <w:color w:val="00338D"/>
          <w:spacing w:val="-2"/>
        </w:rPr>
      </w:pPr>
      <w:r>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705485</wp:posOffset>
            </wp:positionV>
            <wp:extent cx="4293235" cy="4169410"/>
            <wp:effectExtent l="0" t="0" r="0" b="2540"/>
            <wp:wrapSquare wrapText="bothSides"/>
            <wp:docPr id="844508357" name="Bilde 2" descr="Et bilde som inneholder sko, kreativitet,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08357" name="Bilde 2" descr="Et bilde som inneholder sko, kreativitet, design&#10;&#10;KI-generert innhold kan være fei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631" t="4685" r="7851" b="6290"/>
                    <a:stretch>
                      <a:fillRect/>
                    </a:stretch>
                  </pic:blipFill>
                  <pic:spPr bwMode="auto">
                    <a:xfrm>
                      <a:off x="0" y="0"/>
                      <a:ext cx="4293235" cy="416941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2D64">
        <w:rPr>
          <w:noProof/>
          <w:color w:val="00338D"/>
          <w:spacing w:val="-2"/>
        </w:rPr>
        <mc:AlternateContent>
          <mc:Choice Requires="wps">
            <w:drawing>
              <wp:anchor distT="45720" distB="45720" distL="114300" distR="114300" simplePos="0" relativeHeight="251658240" behindDoc="0" locked="0" layoutInCell="1" allowOverlap="1">
                <wp:simplePos x="0" y="0"/>
                <wp:positionH relativeFrom="page">
                  <wp:posOffset>6344031</wp:posOffset>
                </wp:positionH>
                <wp:positionV relativeFrom="paragraph">
                  <wp:posOffset>6324066</wp:posOffset>
                </wp:positionV>
                <wp:extent cx="838200" cy="1975485"/>
                <wp:effectExtent l="0" t="0" r="0" b="5715"/>
                <wp:wrapSquare wrapText="bothSides"/>
                <wp:docPr id="217" name="Tekstboks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38200" cy="1975485"/>
                        </a:xfrm>
                        <a:prstGeom prst="rect">
                          <a:avLst/>
                        </a:prstGeom>
                        <a:solidFill>
                          <a:srgbClr val="FFFFFF"/>
                        </a:solidFill>
                        <a:ln w="9525">
                          <a:noFill/>
                          <a:miter lim="800000"/>
                          <a:headEnd/>
                          <a:tailEnd/>
                        </a:ln>
                      </wps:spPr>
                      <wps:txbx>
                        <w:txbxContent>
                          <w:p w:rsidR="001751E9" w:rsidRPr="005F2D64" w:rsidP="001751E9" w14:textId="758DB788">
                            <w:pPr>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boks 2" o:spid="_x0000_s1025" type="#_x0000_t202" style="width:66pt;height:110.6pt;margin-top:497.95pt;margin-left:499.55pt;mso-height-percent:200;mso-height-relative:margin;mso-position-horizontal-relative:page;mso-width-percent:0;mso-width-relative:margin;mso-wrap-distance-bottom:3.6pt;mso-wrap-distance-left:9pt;mso-wrap-distance-right:9pt;mso-wrap-distance-top:3.6pt;mso-wrap-style:square;position:absolute;visibility:visible;v-text-anchor:top;z-index:251659264" stroked="f">
                <v:textbox style="mso-fit-shape-to-text:t">
                  <w:txbxContent>
                    <w:p w:rsidR="001751E9" w:rsidRPr="005F2D64" w:rsidP="001751E9" w14:paraId="3097EEBD" w14:textId="758DB788">
                      <w:pPr>
                        <w:rPr>
                          <w:b/>
                          <w:bCs/>
                        </w:rPr>
                      </w:pPr>
                    </w:p>
                  </w:txbxContent>
                </v:textbox>
                <w10:wrap type="square"/>
              </v:shape>
            </w:pict>
          </mc:Fallback>
        </mc:AlternateContent>
      </w:r>
    </w:p>
    <w:p w:rsidR="001751E9" w:rsidRPr="00FC16AC" w:rsidP="001751E9" w14:paraId="5E9C380B" w14:textId="77777777">
      <w:pPr>
        <w:pStyle w:val="BodyText"/>
        <w:kinsoku w:val="0"/>
        <w:overflowPunct w:val="0"/>
        <w:ind w:left="1"/>
        <w:jc w:val="center"/>
        <w:rPr>
          <w:color w:val="00338D"/>
          <w:spacing w:val="-2"/>
        </w:rPr>
        <w:sectPr w:rsidSect="001751E9">
          <w:footerReference w:type="default" r:id="rId6"/>
          <w:type w:val="continuous"/>
          <w:pgSz w:w="11910" w:h="16840"/>
          <w:pgMar w:top="740" w:right="1417" w:bottom="500" w:left="1417" w:header="0" w:footer="304" w:gutter="0"/>
          <w:pgNumType w:start="1"/>
          <w:cols w:space="708"/>
          <w:noEndnote/>
        </w:sectPr>
      </w:pPr>
    </w:p>
    <w:p w:rsidR="001751E9" w:rsidRPr="001751E9" w:rsidP="001751E9" w14:paraId="2A1EED6B" w14:textId="77777777">
      <w:pPr>
        <w:pStyle w:val="BodyText"/>
        <w:kinsoku w:val="0"/>
        <w:overflowPunct w:val="0"/>
        <w:spacing w:before="60"/>
        <w:ind w:left="1" w:right="125"/>
        <w:rPr>
          <w:b/>
          <w:bCs/>
          <w:sz w:val="32"/>
          <w:szCs w:val="32"/>
        </w:rPr>
      </w:pPr>
      <w:r w:rsidRPr="001751E9">
        <w:rPr>
          <w:b/>
          <w:bCs/>
          <w:sz w:val="32"/>
          <w:szCs w:val="32"/>
        </w:rPr>
        <w:t>Hva er lungefibrose?</w:t>
      </w:r>
    </w:p>
    <w:p w:rsidR="001751E9" w:rsidRPr="001751E9" w:rsidP="001751E9" w14:paraId="7F86D92A" w14:textId="77777777">
      <w:pPr>
        <w:pStyle w:val="BodyText"/>
        <w:kinsoku w:val="0"/>
        <w:overflowPunct w:val="0"/>
        <w:spacing w:before="60"/>
        <w:ind w:left="1" w:right="125"/>
        <w:rPr>
          <w:sz w:val="32"/>
          <w:szCs w:val="32"/>
        </w:rPr>
      </w:pPr>
      <w:r w:rsidRPr="001751E9">
        <w:rPr>
          <w:sz w:val="32"/>
          <w:szCs w:val="32"/>
        </w:rPr>
        <w:t xml:space="preserve">Lungefibrose er en tilstand med arrdannelse, fibrose, i lungene. Ved </w:t>
      </w:r>
      <w:r w:rsidRPr="001751E9">
        <w:rPr>
          <w:i/>
          <w:iCs/>
          <w:sz w:val="32"/>
          <w:szCs w:val="32"/>
        </w:rPr>
        <w:t>idiopatisk lungefibrose</w:t>
      </w:r>
      <w:r w:rsidRPr="001751E9">
        <w:rPr>
          <w:sz w:val="32"/>
          <w:szCs w:val="32"/>
        </w:rPr>
        <w:t xml:space="preserve"> (forkortet IPF) er årsaken til lungefibrosen ukjent. Andre former for lungefibrose hvor man ser at fibrosen øker, kalles </w:t>
      </w:r>
      <w:r w:rsidRPr="001751E9">
        <w:rPr>
          <w:i/>
          <w:iCs/>
          <w:sz w:val="32"/>
          <w:szCs w:val="32"/>
        </w:rPr>
        <w:t>progressiv lungefibrose</w:t>
      </w:r>
      <w:r w:rsidRPr="001751E9">
        <w:rPr>
          <w:sz w:val="32"/>
          <w:szCs w:val="32"/>
        </w:rPr>
        <w:t xml:space="preserve">. </w:t>
      </w:r>
    </w:p>
    <w:p w:rsidR="001751E9" w:rsidRPr="001751E9" w:rsidP="001751E9" w14:paraId="73462268" w14:textId="77777777">
      <w:pPr>
        <w:pStyle w:val="BodyText"/>
        <w:kinsoku w:val="0"/>
        <w:overflowPunct w:val="0"/>
        <w:spacing w:before="60"/>
        <w:ind w:left="1" w:right="125"/>
        <w:rPr>
          <w:sz w:val="32"/>
          <w:szCs w:val="32"/>
        </w:rPr>
      </w:pPr>
    </w:p>
    <w:p w:rsidR="001751E9" w:rsidRPr="001751E9" w:rsidP="001751E9" w14:paraId="64A2DD40" w14:textId="77777777">
      <w:pPr>
        <w:pStyle w:val="BodyText"/>
        <w:kinsoku w:val="0"/>
        <w:overflowPunct w:val="0"/>
        <w:spacing w:before="60"/>
        <w:ind w:left="1" w:right="125"/>
        <w:rPr>
          <w:sz w:val="32"/>
          <w:szCs w:val="32"/>
        </w:rPr>
      </w:pPr>
      <w:r w:rsidRPr="001751E9">
        <w:rPr>
          <w:sz w:val="32"/>
          <w:szCs w:val="32"/>
        </w:rPr>
        <w:t xml:space="preserve">Antifibrotisk behandling har som mål å stabilisere og bremse utviklingen av fibrose, men den kan ikke ta bort eksisterende fibrose. Det er to typer medisiner som er godkjent i Norge til bruk ved lungefibrose. </w:t>
      </w:r>
    </w:p>
    <w:p w:rsidR="001751E9" w:rsidRPr="001751E9" w:rsidP="001751E9" w14:paraId="570EC8A0" w14:textId="77777777">
      <w:pPr>
        <w:pStyle w:val="BodyText"/>
        <w:kinsoku w:val="0"/>
        <w:overflowPunct w:val="0"/>
        <w:spacing w:before="60"/>
        <w:ind w:left="1" w:right="125"/>
        <w:rPr>
          <w:sz w:val="32"/>
          <w:szCs w:val="32"/>
        </w:rPr>
      </w:pPr>
    </w:p>
    <w:p w:rsidR="001751E9" w:rsidRPr="001751E9" w:rsidP="001751E9" w14:paraId="6D337CF0" w14:textId="77777777">
      <w:pPr>
        <w:pStyle w:val="BodyText"/>
        <w:kinsoku w:val="0"/>
        <w:overflowPunct w:val="0"/>
        <w:spacing w:before="60"/>
        <w:ind w:left="1" w:right="125"/>
        <w:rPr>
          <w:sz w:val="32"/>
          <w:szCs w:val="32"/>
        </w:rPr>
      </w:pPr>
      <w:r w:rsidRPr="001751E9">
        <w:rPr>
          <w:sz w:val="32"/>
          <w:szCs w:val="32"/>
        </w:rPr>
        <w:t xml:space="preserve">Ved idiopatisk lungefibrose er </w:t>
      </w:r>
      <w:r w:rsidRPr="001751E9">
        <w:rPr>
          <w:b/>
          <w:bCs/>
          <w:sz w:val="32"/>
          <w:szCs w:val="32"/>
        </w:rPr>
        <w:t>pirfenidon</w:t>
      </w:r>
      <w:r w:rsidRPr="001751E9">
        <w:rPr>
          <w:sz w:val="32"/>
          <w:szCs w:val="32"/>
        </w:rPr>
        <w:t xml:space="preserve"> førstevalg. </w:t>
      </w:r>
    </w:p>
    <w:p w:rsidR="001751E9" w:rsidRPr="001751E9" w:rsidP="001751E9" w14:paraId="6B4CE2B8" w14:textId="77777777">
      <w:pPr>
        <w:pStyle w:val="BodyText"/>
        <w:kinsoku w:val="0"/>
        <w:overflowPunct w:val="0"/>
        <w:spacing w:before="60"/>
        <w:ind w:left="1" w:right="125"/>
        <w:rPr>
          <w:sz w:val="32"/>
          <w:szCs w:val="32"/>
        </w:rPr>
      </w:pPr>
      <w:r w:rsidRPr="001751E9">
        <w:rPr>
          <w:sz w:val="32"/>
          <w:szCs w:val="32"/>
        </w:rPr>
        <w:t xml:space="preserve">Ved progressiv lungefibrose er </w:t>
      </w:r>
      <w:r w:rsidRPr="001751E9">
        <w:rPr>
          <w:b/>
          <w:bCs/>
          <w:sz w:val="32"/>
          <w:szCs w:val="32"/>
        </w:rPr>
        <w:t>nintedanib</w:t>
      </w:r>
      <w:r w:rsidRPr="001751E9">
        <w:rPr>
          <w:sz w:val="32"/>
          <w:szCs w:val="32"/>
        </w:rPr>
        <w:t xml:space="preserve"> førstevalg. </w:t>
      </w:r>
    </w:p>
    <w:p w:rsidR="001751E9" w:rsidRPr="001751E9" w:rsidP="001751E9" w14:paraId="7FA29D75" w14:textId="77777777">
      <w:pPr>
        <w:pStyle w:val="BodyText"/>
        <w:kinsoku w:val="0"/>
        <w:overflowPunct w:val="0"/>
        <w:spacing w:before="60"/>
        <w:ind w:left="1" w:right="125"/>
        <w:rPr>
          <w:sz w:val="32"/>
          <w:szCs w:val="32"/>
        </w:rPr>
      </w:pPr>
    </w:p>
    <w:p w:rsidR="001751E9" w:rsidRPr="001751E9" w:rsidP="001751E9" w14:paraId="1C7F9202" w14:textId="77777777">
      <w:pPr>
        <w:pStyle w:val="BodyText"/>
        <w:kinsoku w:val="0"/>
        <w:overflowPunct w:val="0"/>
        <w:spacing w:before="60"/>
        <w:ind w:left="1" w:right="125"/>
        <w:rPr>
          <w:sz w:val="32"/>
          <w:szCs w:val="32"/>
        </w:rPr>
      </w:pPr>
    </w:p>
    <w:p w:rsidR="001751E9" w:rsidRPr="001751E9" w:rsidP="001751E9" w14:paraId="65111DFB" w14:textId="77777777">
      <w:pPr>
        <w:pStyle w:val="BodyText"/>
        <w:kinsoku w:val="0"/>
        <w:overflowPunct w:val="0"/>
        <w:spacing w:before="276"/>
        <w:ind w:right="3805"/>
        <w:rPr>
          <w:sz w:val="32"/>
          <w:szCs w:val="32"/>
        </w:rPr>
      </w:pPr>
    </w:p>
    <w:p w:rsidR="001751E9" w:rsidRPr="001751E9" w:rsidP="001751E9" w14:paraId="5CB81C6B" w14:textId="77777777">
      <w:pPr>
        <w:pStyle w:val="BodyText"/>
        <w:kinsoku w:val="0"/>
        <w:overflowPunct w:val="0"/>
        <w:spacing w:before="276"/>
        <w:ind w:right="3805"/>
        <w:rPr>
          <w:sz w:val="32"/>
          <w:szCs w:val="32"/>
        </w:rPr>
      </w:pPr>
    </w:p>
    <w:p w:rsidR="001751E9" w:rsidRPr="001751E9" w:rsidP="001751E9" w14:paraId="1E2726D7" w14:textId="77777777">
      <w:pPr>
        <w:pStyle w:val="BodyText"/>
        <w:kinsoku w:val="0"/>
        <w:overflowPunct w:val="0"/>
        <w:spacing w:before="276"/>
        <w:ind w:right="3805"/>
        <w:rPr>
          <w:sz w:val="32"/>
          <w:szCs w:val="32"/>
        </w:rPr>
      </w:pPr>
    </w:p>
    <w:p w:rsidR="001751E9" w:rsidRPr="001751E9" w:rsidP="001751E9" w14:paraId="5F09C425" w14:textId="77777777">
      <w:pPr>
        <w:pStyle w:val="BodyText"/>
        <w:kinsoku w:val="0"/>
        <w:overflowPunct w:val="0"/>
        <w:spacing w:before="276"/>
        <w:ind w:right="3805"/>
        <w:rPr>
          <w:sz w:val="32"/>
          <w:szCs w:val="32"/>
        </w:rPr>
      </w:pPr>
    </w:p>
    <w:p w:rsidR="001751E9" w:rsidRPr="001751E9" w:rsidP="001751E9" w14:paraId="14B6A892" w14:textId="77777777">
      <w:pPr>
        <w:pStyle w:val="BodyText"/>
        <w:kinsoku w:val="0"/>
        <w:overflowPunct w:val="0"/>
        <w:spacing w:before="276"/>
        <w:ind w:right="3805"/>
        <w:rPr>
          <w:sz w:val="32"/>
          <w:szCs w:val="32"/>
        </w:rPr>
      </w:pPr>
    </w:p>
    <w:p w:rsidR="001751E9" w:rsidRPr="001751E9" w:rsidP="001751E9" w14:paraId="3E6D9672" w14:textId="77777777">
      <w:pPr>
        <w:pStyle w:val="BodyText"/>
        <w:kinsoku w:val="0"/>
        <w:overflowPunct w:val="0"/>
        <w:spacing w:before="276"/>
        <w:ind w:right="3805"/>
        <w:rPr>
          <w:sz w:val="32"/>
          <w:szCs w:val="32"/>
        </w:rPr>
      </w:pPr>
    </w:p>
    <w:p w:rsidR="001751E9" w:rsidRPr="001751E9" w:rsidP="001751E9" w14:paraId="0D31701B" w14:textId="77777777">
      <w:pPr>
        <w:pStyle w:val="BodyText"/>
        <w:kinsoku w:val="0"/>
        <w:overflowPunct w:val="0"/>
        <w:spacing w:before="276"/>
        <w:ind w:right="3805"/>
        <w:rPr>
          <w:sz w:val="32"/>
          <w:szCs w:val="32"/>
        </w:rPr>
      </w:pPr>
    </w:p>
    <w:p w:rsidR="001751E9" w:rsidRPr="001751E9" w:rsidP="001751E9" w14:paraId="3CA6635F" w14:textId="77777777">
      <w:pPr>
        <w:pStyle w:val="BodyText"/>
        <w:kinsoku w:val="0"/>
        <w:overflowPunct w:val="0"/>
        <w:spacing w:before="276"/>
        <w:ind w:right="3805"/>
        <w:rPr>
          <w:sz w:val="32"/>
          <w:szCs w:val="32"/>
        </w:rPr>
      </w:pPr>
    </w:p>
    <w:p w:rsidR="001751E9" w:rsidRPr="001751E9" w:rsidP="001751E9" w14:paraId="563F09C1" w14:textId="77777777">
      <w:pPr>
        <w:pStyle w:val="BodyText"/>
        <w:kinsoku w:val="0"/>
        <w:overflowPunct w:val="0"/>
        <w:spacing w:before="276"/>
        <w:ind w:right="3805"/>
        <w:rPr>
          <w:sz w:val="32"/>
          <w:szCs w:val="32"/>
        </w:rPr>
      </w:pPr>
    </w:p>
    <w:p w:rsidR="001751E9" w:rsidRPr="001751E9" w:rsidP="001751E9" w14:paraId="62B5C4A0" w14:textId="42B44F4B">
      <w:pPr>
        <w:pStyle w:val="BodyText"/>
        <w:kinsoku w:val="0"/>
        <w:overflowPunct w:val="0"/>
        <w:spacing w:before="276"/>
        <w:ind w:right="3805"/>
        <w:rPr>
          <w:b/>
          <w:bCs/>
          <w:color w:val="4F81BD" w:themeColor="accent1"/>
          <w:sz w:val="32"/>
          <w:szCs w:val="32"/>
        </w:rPr>
      </w:pPr>
      <w:r w:rsidRPr="001751E9">
        <w:rPr>
          <w:b/>
          <w:bCs/>
          <w:color w:val="4F81BD" w:themeColor="accent1"/>
          <w:sz w:val="32"/>
          <w:szCs w:val="32"/>
        </w:rPr>
        <w:t>PIRFENIDON</w:t>
      </w:r>
    </w:p>
    <w:p w:rsidR="001751E9" w:rsidRPr="001751E9" w:rsidP="001751E9" w14:paraId="72450976" w14:textId="77777777">
      <w:pPr>
        <w:pStyle w:val="BodyText"/>
        <w:kinsoku w:val="0"/>
        <w:overflowPunct w:val="0"/>
        <w:spacing w:before="276"/>
        <w:ind w:right="3805"/>
        <w:rPr>
          <w:b/>
          <w:bCs/>
          <w:sz w:val="32"/>
          <w:szCs w:val="32"/>
        </w:rPr>
      </w:pPr>
      <w:r w:rsidRPr="001751E9">
        <w:rPr>
          <w:b/>
          <w:bCs/>
          <w:sz w:val="32"/>
          <w:szCs w:val="32"/>
        </w:rPr>
        <w:t>Hvordan brukes det?</w:t>
      </w:r>
    </w:p>
    <w:p w:rsidR="001751E9" w:rsidRPr="001751E9" w:rsidP="001751E9" w14:paraId="5D88DDD0" w14:textId="77777777">
      <w:pPr>
        <w:rPr>
          <w:rFonts w:ascii="Times New Roman" w:hAnsi="Times New Roman"/>
          <w:sz w:val="32"/>
          <w:szCs w:val="32"/>
        </w:rPr>
      </w:pPr>
      <w:r w:rsidRPr="001751E9">
        <w:rPr>
          <w:rFonts w:ascii="Times New Roman" w:hAnsi="Times New Roman"/>
          <w:sz w:val="32"/>
          <w:szCs w:val="32"/>
        </w:rPr>
        <w:t xml:space="preserve">Pirfenidon finnes som tabletter som tas tre ganger daglig. Det er viktig å ta tablettene til samme tid hver dag. Tablettene skal tas i forbindelse med måltid, og svelges hele med et glass vann. Tablettene finnes i dosene 267 mg og 801 mg, og ved oppstart av behandling skal medikamentene trappes opp på følgende måte: </w:t>
      </w:r>
    </w:p>
    <w:p w:rsidR="001751E9" w:rsidRPr="001751E9" w:rsidP="001751E9" w14:paraId="66B26EC5" w14:textId="77777777">
      <w:pPr>
        <w:rPr>
          <w:rFonts w:ascii="Times New Roman" w:hAnsi="Times New Roman"/>
          <w:sz w:val="32"/>
          <w:szCs w:val="32"/>
        </w:rPr>
      </w:pPr>
    </w:p>
    <w:p w:rsidR="001751E9" w:rsidRPr="001751E9" w:rsidP="001751E9" w14:paraId="66505F38" w14:textId="77777777">
      <w:pPr>
        <w:rPr>
          <w:rFonts w:ascii="Times New Roman" w:hAnsi="Times New Roman"/>
          <w:sz w:val="32"/>
          <w:szCs w:val="32"/>
          <w:u w:val="single"/>
        </w:rPr>
      </w:pPr>
      <w:r w:rsidRPr="001751E9">
        <w:rPr>
          <w:rFonts w:ascii="Times New Roman" w:hAnsi="Times New Roman"/>
          <w:sz w:val="32"/>
          <w:szCs w:val="32"/>
          <w:u w:val="single"/>
        </w:rPr>
        <w:t xml:space="preserve">Dag 1-7: </w:t>
      </w:r>
    </w:p>
    <w:p w:rsidR="001751E9" w:rsidRPr="001751E9" w:rsidP="001751E9" w14:paraId="3461D783" w14:textId="77777777">
      <w:pPr>
        <w:rPr>
          <w:rFonts w:ascii="Times New Roman" w:hAnsi="Times New Roman"/>
          <w:sz w:val="32"/>
          <w:szCs w:val="32"/>
        </w:rPr>
      </w:pPr>
      <w:r w:rsidRPr="001751E9">
        <w:rPr>
          <w:rFonts w:ascii="Times New Roman" w:hAnsi="Times New Roman"/>
          <w:sz w:val="32"/>
          <w:szCs w:val="32"/>
        </w:rPr>
        <w:t>1 tablett på 267 mg, tre ganger daglig.</w:t>
      </w:r>
    </w:p>
    <w:p w:rsidR="001751E9" w:rsidRPr="001751E9" w:rsidP="001751E9" w14:paraId="28959335" w14:textId="77777777">
      <w:pPr>
        <w:rPr>
          <w:rFonts w:ascii="Times New Roman" w:hAnsi="Times New Roman"/>
          <w:sz w:val="32"/>
          <w:szCs w:val="32"/>
        </w:rPr>
      </w:pPr>
    </w:p>
    <w:p w:rsidR="001751E9" w:rsidRPr="001751E9" w:rsidP="001751E9" w14:paraId="0D3D3132" w14:textId="77777777">
      <w:pPr>
        <w:rPr>
          <w:rFonts w:ascii="Times New Roman" w:hAnsi="Times New Roman"/>
          <w:sz w:val="32"/>
          <w:szCs w:val="32"/>
          <w:u w:val="single"/>
        </w:rPr>
      </w:pPr>
      <w:r w:rsidRPr="001751E9">
        <w:rPr>
          <w:rFonts w:ascii="Times New Roman" w:hAnsi="Times New Roman"/>
          <w:sz w:val="32"/>
          <w:szCs w:val="32"/>
          <w:u w:val="single"/>
        </w:rPr>
        <w:t xml:space="preserve">Dag 8-14: </w:t>
      </w:r>
    </w:p>
    <w:p w:rsidR="001751E9" w:rsidRPr="001751E9" w:rsidP="001751E9" w14:paraId="7F9515F0" w14:textId="77777777">
      <w:pPr>
        <w:rPr>
          <w:rFonts w:ascii="Times New Roman" w:hAnsi="Times New Roman"/>
          <w:sz w:val="32"/>
          <w:szCs w:val="32"/>
        </w:rPr>
      </w:pPr>
      <w:r w:rsidRPr="001751E9">
        <w:rPr>
          <w:rFonts w:ascii="Times New Roman" w:hAnsi="Times New Roman"/>
          <w:sz w:val="32"/>
          <w:szCs w:val="32"/>
        </w:rPr>
        <w:t>2 tabletter på 267 mg, tre ganger daglig.</w:t>
      </w:r>
    </w:p>
    <w:p w:rsidR="001751E9" w:rsidRPr="001751E9" w:rsidP="001751E9" w14:paraId="1577A308" w14:textId="77777777">
      <w:pPr>
        <w:rPr>
          <w:rFonts w:ascii="Times New Roman" w:hAnsi="Times New Roman"/>
          <w:sz w:val="32"/>
          <w:szCs w:val="32"/>
        </w:rPr>
      </w:pPr>
    </w:p>
    <w:p w:rsidR="001751E9" w:rsidRPr="001751E9" w:rsidP="001751E9" w14:paraId="29B633B6" w14:textId="77777777">
      <w:pPr>
        <w:rPr>
          <w:rFonts w:ascii="Times New Roman" w:hAnsi="Times New Roman"/>
          <w:sz w:val="32"/>
          <w:szCs w:val="32"/>
          <w:u w:val="single"/>
        </w:rPr>
      </w:pPr>
      <w:r w:rsidRPr="001751E9">
        <w:rPr>
          <w:rFonts w:ascii="Times New Roman" w:hAnsi="Times New Roman"/>
          <w:sz w:val="32"/>
          <w:szCs w:val="32"/>
          <w:u w:val="single"/>
        </w:rPr>
        <w:t xml:space="preserve">Fra dag 15: </w:t>
      </w:r>
    </w:p>
    <w:p w:rsidR="001751E9" w:rsidRPr="001751E9" w:rsidP="001751E9" w14:paraId="4DEAA3BC" w14:textId="77777777">
      <w:pPr>
        <w:rPr>
          <w:rFonts w:ascii="Times New Roman" w:hAnsi="Times New Roman"/>
          <w:sz w:val="32"/>
          <w:szCs w:val="32"/>
        </w:rPr>
      </w:pPr>
      <w:r w:rsidRPr="001751E9">
        <w:rPr>
          <w:rFonts w:ascii="Times New Roman" w:hAnsi="Times New Roman"/>
          <w:sz w:val="32"/>
          <w:szCs w:val="32"/>
        </w:rPr>
        <w:t>1 tablett på 801 mg, tre ganger daglig.</w:t>
      </w:r>
    </w:p>
    <w:p w:rsidR="001751E9" w:rsidRPr="001751E9" w:rsidP="001751E9" w14:paraId="3D983C3D" w14:textId="77777777">
      <w:pPr>
        <w:rPr>
          <w:rFonts w:ascii="Times New Roman" w:hAnsi="Times New Roman"/>
          <w:sz w:val="32"/>
          <w:szCs w:val="32"/>
        </w:rPr>
      </w:pPr>
    </w:p>
    <w:p w:rsidR="001751E9" w:rsidRPr="001751E9" w:rsidP="001751E9" w14:paraId="144BBAF1" w14:textId="77777777">
      <w:pPr>
        <w:rPr>
          <w:rFonts w:ascii="Times New Roman" w:hAnsi="Times New Roman"/>
          <w:sz w:val="32"/>
          <w:szCs w:val="32"/>
        </w:rPr>
      </w:pPr>
      <w:r w:rsidRPr="001751E9">
        <w:rPr>
          <w:rFonts w:ascii="Times New Roman" w:hAnsi="Times New Roman"/>
          <w:sz w:val="32"/>
          <w:szCs w:val="32"/>
        </w:rPr>
        <w:t xml:space="preserve">For noen er det vanskelig å bruke anbefalt behandlingsdose på 801 mg tre ganger daglig grunnet bivirkninger, og en redusert dose vil tilpasses av lungelege. </w:t>
      </w:r>
    </w:p>
    <w:p w:rsidR="001751E9" w:rsidRPr="001751E9" w:rsidP="001751E9" w14:paraId="384F6DAB" w14:textId="77777777">
      <w:pPr>
        <w:rPr>
          <w:rFonts w:ascii="Times New Roman" w:hAnsi="Times New Roman"/>
          <w:sz w:val="32"/>
          <w:szCs w:val="32"/>
        </w:rPr>
      </w:pPr>
    </w:p>
    <w:p w:rsidR="001751E9" w:rsidRPr="001751E9" w:rsidP="001751E9" w14:paraId="5A2F02D9" w14:textId="77777777">
      <w:pPr>
        <w:rPr>
          <w:rFonts w:ascii="Times New Roman" w:hAnsi="Times New Roman"/>
          <w:sz w:val="32"/>
          <w:szCs w:val="32"/>
        </w:rPr>
      </w:pPr>
      <w:r w:rsidRPr="001751E9">
        <w:rPr>
          <w:rFonts w:ascii="Times New Roman" w:hAnsi="Times New Roman"/>
          <w:b/>
          <w:bCs/>
          <w:sz w:val="32"/>
          <w:szCs w:val="32"/>
        </w:rPr>
        <w:t>Hva gjør jeg hvis jeg glemmer en dose?</w:t>
      </w:r>
      <w:r w:rsidRPr="001751E9">
        <w:rPr>
          <w:rFonts w:ascii="Times New Roman" w:hAnsi="Times New Roman"/>
          <w:sz w:val="32"/>
          <w:szCs w:val="32"/>
          <w:u w:val="single"/>
        </w:rPr>
        <w:br/>
      </w:r>
      <w:r w:rsidRPr="001751E9">
        <w:rPr>
          <w:rFonts w:ascii="Times New Roman" w:hAnsi="Times New Roman"/>
          <w:sz w:val="32"/>
          <w:szCs w:val="32"/>
        </w:rPr>
        <w:t xml:space="preserve">Dersom du glemmer en dose, skal den hoppes over, og neste dose tas som planlagt. Det anbefales </w:t>
      </w:r>
      <w:r w:rsidRPr="001751E9">
        <w:rPr>
          <w:rFonts w:ascii="Times New Roman" w:hAnsi="Times New Roman"/>
          <w:sz w:val="32"/>
          <w:szCs w:val="32"/>
          <w:u w:val="single"/>
        </w:rPr>
        <w:t>ikke</w:t>
      </w:r>
      <w:r w:rsidRPr="001751E9">
        <w:rPr>
          <w:rFonts w:ascii="Times New Roman" w:hAnsi="Times New Roman"/>
          <w:sz w:val="32"/>
          <w:szCs w:val="32"/>
        </w:rPr>
        <w:t xml:space="preserve"> å ta dobbel dose som erstatning for den glemte. </w:t>
      </w:r>
    </w:p>
    <w:p w:rsidR="001751E9" w:rsidRPr="001751E9" w:rsidP="001751E9" w14:paraId="588D34D8" w14:textId="77777777">
      <w:pPr>
        <w:rPr>
          <w:rFonts w:ascii="Times New Roman" w:hAnsi="Times New Roman"/>
          <w:sz w:val="32"/>
          <w:szCs w:val="32"/>
        </w:rPr>
      </w:pPr>
    </w:p>
    <w:p w:rsidR="001751E9" w:rsidRPr="001751E9" w:rsidP="001751E9" w14:paraId="3C311F88" w14:textId="77777777">
      <w:pPr>
        <w:rPr>
          <w:rFonts w:ascii="Times New Roman" w:hAnsi="Times New Roman"/>
          <w:b/>
          <w:bCs/>
          <w:sz w:val="32"/>
          <w:szCs w:val="32"/>
        </w:rPr>
      </w:pPr>
      <w:r w:rsidRPr="001751E9">
        <w:rPr>
          <w:rFonts w:ascii="Times New Roman" w:hAnsi="Times New Roman"/>
          <w:b/>
          <w:bCs/>
          <w:sz w:val="32"/>
          <w:szCs w:val="32"/>
        </w:rPr>
        <w:t xml:space="preserve">Bivirkninger og forholdsregler </w:t>
      </w:r>
    </w:p>
    <w:p w:rsidR="001751E9" w:rsidRPr="001751E9" w:rsidP="001751E9" w14:paraId="43936ECF" w14:textId="77777777">
      <w:pPr>
        <w:rPr>
          <w:rFonts w:ascii="Times New Roman" w:hAnsi="Times New Roman"/>
          <w:sz w:val="32"/>
          <w:szCs w:val="32"/>
        </w:rPr>
      </w:pPr>
      <w:r w:rsidRPr="001751E9">
        <w:rPr>
          <w:rFonts w:ascii="Times New Roman" w:hAnsi="Times New Roman"/>
          <w:sz w:val="32"/>
          <w:szCs w:val="32"/>
        </w:rPr>
        <w:t xml:space="preserve">Bivirkningene er vanligvis mest uttalt i starten av behandlingen, og vil ofte avta etter hvert. </w:t>
      </w:r>
    </w:p>
    <w:p w:rsidR="001751E9" w:rsidRPr="001751E9" w:rsidP="001751E9" w14:paraId="0A0EE334" w14:textId="77777777">
      <w:pPr>
        <w:rPr>
          <w:rFonts w:ascii="Times New Roman" w:hAnsi="Times New Roman"/>
          <w:sz w:val="32"/>
          <w:szCs w:val="32"/>
        </w:rPr>
      </w:pPr>
    </w:p>
    <w:p w:rsidR="001751E9" w:rsidRPr="001751E9" w:rsidP="001751E9" w14:paraId="782EF9DC" w14:textId="77777777">
      <w:pPr>
        <w:rPr>
          <w:rFonts w:ascii="Times New Roman" w:hAnsi="Times New Roman"/>
          <w:sz w:val="32"/>
          <w:szCs w:val="32"/>
          <w:u w:val="single"/>
        </w:rPr>
      </w:pPr>
      <w:r w:rsidRPr="001751E9">
        <w:rPr>
          <w:rFonts w:ascii="Times New Roman" w:hAnsi="Times New Roman"/>
          <w:sz w:val="32"/>
          <w:szCs w:val="32"/>
          <w:u w:val="single"/>
        </w:rPr>
        <w:t>Mage-tarm-plager</w:t>
      </w:r>
    </w:p>
    <w:p w:rsidR="001751E9" w:rsidRPr="001751E9" w:rsidP="001751E9" w14:paraId="3D346110" w14:textId="77777777">
      <w:pPr>
        <w:rPr>
          <w:rFonts w:ascii="Times New Roman" w:hAnsi="Times New Roman"/>
          <w:sz w:val="32"/>
          <w:szCs w:val="32"/>
        </w:rPr>
      </w:pPr>
      <w:r w:rsidRPr="001751E9">
        <w:rPr>
          <w:rFonts w:ascii="Times New Roman" w:hAnsi="Times New Roman"/>
          <w:sz w:val="32"/>
          <w:szCs w:val="32"/>
        </w:rPr>
        <w:t>Det er vanlig med kvalme, nedsatt matlyst og fordøyelsesbesvær. Dette kan forverres dersom medikamentet tas på tom mage, og det er derfor viktig å ta tablettene sammen med måltid og gjerne midt i måltidet. Ved diaré kan loperamid forsøkes. Dette kjøpes reseptfritt på apoteket.</w:t>
      </w:r>
    </w:p>
    <w:p w:rsidR="001751E9" w:rsidRPr="001751E9" w:rsidP="001751E9" w14:paraId="1D7C6B45" w14:textId="77777777">
      <w:pPr>
        <w:rPr>
          <w:rFonts w:ascii="Times New Roman" w:hAnsi="Times New Roman"/>
          <w:sz w:val="32"/>
          <w:szCs w:val="32"/>
          <w:u w:val="single"/>
        </w:rPr>
      </w:pPr>
    </w:p>
    <w:p w:rsidR="001751E9" w:rsidRPr="001751E9" w:rsidP="001751E9" w14:paraId="492C0258" w14:textId="77777777">
      <w:pPr>
        <w:rPr>
          <w:rFonts w:ascii="Times New Roman" w:hAnsi="Times New Roman"/>
          <w:sz w:val="32"/>
          <w:szCs w:val="32"/>
          <w:u w:val="single"/>
        </w:rPr>
      </w:pPr>
      <w:r w:rsidRPr="001751E9">
        <w:rPr>
          <w:rFonts w:ascii="Times New Roman" w:hAnsi="Times New Roman"/>
          <w:sz w:val="32"/>
          <w:szCs w:val="32"/>
          <w:u w:val="single"/>
        </w:rPr>
        <w:t>Leverpåvirkning</w:t>
      </w:r>
    </w:p>
    <w:p w:rsidR="001751E9" w:rsidRPr="001751E9" w:rsidP="001751E9" w14:paraId="3862C05D" w14:textId="77777777">
      <w:pPr>
        <w:rPr>
          <w:rFonts w:ascii="Times New Roman" w:hAnsi="Times New Roman"/>
          <w:sz w:val="32"/>
          <w:szCs w:val="32"/>
        </w:rPr>
      </w:pPr>
      <w:r w:rsidRPr="001751E9">
        <w:rPr>
          <w:rFonts w:ascii="Times New Roman" w:hAnsi="Times New Roman"/>
          <w:sz w:val="32"/>
          <w:szCs w:val="32"/>
        </w:rPr>
        <w:t xml:space="preserve">Forhøyede leverprøver kan forekomme, og det anbefales å kontrollere blodprøver hos fastlegen. Lungelegen som starter behandlingen, vil gi beskjed til fastlegen om hvilke prøver som skal tas. De første tre månedene av behandlingen bør blodprøvene kontrolleres spesielt hyppig (etter to uker, fire uker, åtte uker og tolv uker). Etter dette holder det vanligvis å kontrollere blodprøver hver tredje måned, og dette gjøres ved Lungeavdelingens poliklinikk. </w:t>
      </w:r>
    </w:p>
    <w:p w:rsidR="001751E9" w:rsidRPr="001751E9" w:rsidP="001751E9" w14:paraId="3F7A73D2" w14:textId="77777777">
      <w:pPr>
        <w:rPr>
          <w:rFonts w:ascii="Times New Roman" w:hAnsi="Times New Roman"/>
          <w:sz w:val="32"/>
          <w:szCs w:val="32"/>
        </w:rPr>
      </w:pPr>
    </w:p>
    <w:p w:rsidR="001751E9" w:rsidRPr="001751E9" w:rsidP="001751E9" w14:paraId="57BA166E" w14:textId="77777777">
      <w:pPr>
        <w:rPr>
          <w:rFonts w:ascii="Times New Roman" w:hAnsi="Times New Roman"/>
          <w:sz w:val="32"/>
          <w:szCs w:val="32"/>
          <w:u w:val="single"/>
        </w:rPr>
      </w:pPr>
      <w:r w:rsidRPr="001751E9">
        <w:rPr>
          <w:rFonts w:ascii="Times New Roman" w:hAnsi="Times New Roman"/>
          <w:sz w:val="32"/>
          <w:szCs w:val="32"/>
          <w:u w:val="single"/>
        </w:rPr>
        <w:t>Hudreaksjoner</w:t>
      </w:r>
    </w:p>
    <w:p w:rsidR="001751E9" w:rsidRPr="001751E9" w:rsidP="001751E9" w14:paraId="18FB5D52" w14:textId="77777777">
      <w:pPr>
        <w:rPr>
          <w:rFonts w:ascii="Times New Roman" w:hAnsi="Times New Roman"/>
          <w:sz w:val="32"/>
          <w:szCs w:val="32"/>
        </w:rPr>
      </w:pPr>
      <w:r w:rsidRPr="001751E9">
        <w:rPr>
          <w:rFonts w:ascii="Times New Roman" w:hAnsi="Times New Roman"/>
          <w:sz w:val="32"/>
          <w:szCs w:val="32"/>
        </w:rPr>
        <w:t xml:space="preserve">Det anbefales på det sterkeste å bruke solkrem med høy solfaktor (solfaktor 50) på all hud som er i kontakt med sollys, vær spesielt obs på ansikt og hender. Unngå direkte sollys. Noen typer antibiotika kan øke følsomhet for sollys og bør unngås, kontakt alltid lege før oppstart antibiotika når du bruker pirfenidon. </w:t>
      </w:r>
    </w:p>
    <w:p w:rsidR="001751E9" w:rsidRPr="001751E9" w:rsidP="001751E9" w14:paraId="7E37C0B7" w14:textId="77777777">
      <w:pPr>
        <w:rPr>
          <w:rFonts w:ascii="Times New Roman" w:hAnsi="Times New Roman"/>
          <w:sz w:val="32"/>
          <w:szCs w:val="32"/>
        </w:rPr>
      </w:pPr>
    </w:p>
    <w:p w:rsidR="001751E9" w:rsidRPr="001751E9" w:rsidP="001751E9" w14:paraId="3BE939F2" w14:textId="77777777">
      <w:pPr>
        <w:rPr>
          <w:rFonts w:ascii="Times New Roman" w:hAnsi="Times New Roman"/>
          <w:b/>
          <w:bCs/>
          <w:sz w:val="32"/>
          <w:szCs w:val="32"/>
        </w:rPr>
      </w:pPr>
      <w:r w:rsidRPr="001751E9">
        <w:rPr>
          <w:rFonts w:ascii="Times New Roman" w:hAnsi="Times New Roman"/>
          <w:b/>
          <w:bCs/>
          <w:sz w:val="32"/>
          <w:szCs w:val="32"/>
        </w:rPr>
        <w:t xml:space="preserve">Medikamenter som påvirker effekten av pirfenidon </w:t>
      </w:r>
    </w:p>
    <w:p w:rsidR="001751E9" w:rsidRPr="001751E9" w:rsidP="001751E9" w14:paraId="7D60D05A" w14:textId="77777777">
      <w:pPr>
        <w:rPr>
          <w:rFonts w:ascii="Times New Roman" w:hAnsi="Times New Roman"/>
          <w:sz w:val="32"/>
          <w:szCs w:val="32"/>
        </w:rPr>
      </w:pPr>
      <w:r w:rsidRPr="001751E9">
        <w:rPr>
          <w:rFonts w:ascii="Times New Roman" w:hAnsi="Times New Roman"/>
          <w:sz w:val="32"/>
          <w:szCs w:val="32"/>
        </w:rPr>
        <w:t>Flere medikamenter kan påvirke effekten av pirfenidon, og bør dersom mulig unngås. Dette inkluderer blant annet:</w:t>
      </w:r>
    </w:p>
    <w:p w:rsidR="001751E9" w:rsidRPr="001751E9" w:rsidP="001751E9" w14:paraId="06260BED" w14:textId="77777777">
      <w:pPr>
        <w:pStyle w:val="ListParagraph"/>
        <w:widowControl w:val="0"/>
        <w:numPr>
          <w:ilvl w:val="0"/>
          <w:numId w:val="19"/>
        </w:numPr>
        <w:autoSpaceDE w:val="0"/>
        <w:autoSpaceDN w:val="0"/>
        <w:adjustRightInd w:val="0"/>
        <w:contextualSpacing w:val="0"/>
        <w:rPr>
          <w:rFonts w:ascii="Times New Roman" w:hAnsi="Times New Roman"/>
          <w:sz w:val="32"/>
          <w:szCs w:val="32"/>
        </w:rPr>
      </w:pPr>
      <w:r w:rsidRPr="001751E9">
        <w:rPr>
          <w:rFonts w:ascii="Times New Roman" w:hAnsi="Times New Roman"/>
          <w:sz w:val="32"/>
          <w:szCs w:val="32"/>
        </w:rPr>
        <w:t xml:space="preserve">Ciprofloxacin (antibiotikum) </w:t>
      </w:r>
    </w:p>
    <w:p w:rsidR="001751E9" w:rsidRPr="001751E9" w:rsidP="001751E9" w14:paraId="7CA4470E" w14:textId="77777777">
      <w:pPr>
        <w:pStyle w:val="ListParagraph"/>
        <w:widowControl w:val="0"/>
        <w:numPr>
          <w:ilvl w:val="0"/>
          <w:numId w:val="19"/>
        </w:numPr>
        <w:autoSpaceDE w:val="0"/>
        <w:autoSpaceDN w:val="0"/>
        <w:adjustRightInd w:val="0"/>
        <w:contextualSpacing w:val="0"/>
        <w:rPr>
          <w:rFonts w:ascii="Times New Roman" w:hAnsi="Times New Roman"/>
          <w:sz w:val="32"/>
          <w:szCs w:val="32"/>
        </w:rPr>
      </w:pPr>
      <w:r w:rsidRPr="001751E9">
        <w:rPr>
          <w:rFonts w:ascii="Times New Roman" w:hAnsi="Times New Roman"/>
          <w:sz w:val="32"/>
          <w:szCs w:val="32"/>
        </w:rPr>
        <w:t>Amiodaron (medisin for hjerterytmeforstyrrelse)</w:t>
      </w:r>
    </w:p>
    <w:p w:rsidR="001751E9" w:rsidRPr="001751E9" w:rsidP="001751E9" w14:paraId="4546DA9F" w14:textId="77777777">
      <w:pPr>
        <w:pStyle w:val="ListParagraph"/>
        <w:widowControl w:val="0"/>
        <w:numPr>
          <w:ilvl w:val="0"/>
          <w:numId w:val="19"/>
        </w:numPr>
        <w:autoSpaceDE w:val="0"/>
        <w:autoSpaceDN w:val="0"/>
        <w:adjustRightInd w:val="0"/>
        <w:contextualSpacing w:val="0"/>
        <w:rPr>
          <w:rFonts w:ascii="Times New Roman" w:hAnsi="Times New Roman"/>
          <w:sz w:val="32"/>
          <w:szCs w:val="32"/>
        </w:rPr>
      </w:pPr>
      <w:r w:rsidRPr="001751E9">
        <w:rPr>
          <w:rFonts w:ascii="Times New Roman" w:hAnsi="Times New Roman"/>
          <w:sz w:val="32"/>
          <w:szCs w:val="32"/>
        </w:rPr>
        <w:t>Omeprazol (medisin for sure oppstøt)</w:t>
      </w:r>
    </w:p>
    <w:p w:rsidR="001751E9" w:rsidRPr="001751E9" w:rsidP="001751E9" w14:paraId="4A3DED63" w14:textId="77777777">
      <w:pPr>
        <w:pStyle w:val="ListParagraph"/>
        <w:widowControl w:val="0"/>
        <w:numPr>
          <w:ilvl w:val="0"/>
          <w:numId w:val="19"/>
        </w:numPr>
        <w:autoSpaceDE w:val="0"/>
        <w:autoSpaceDN w:val="0"/>
        <w:adjustRightInd w:val="0"/>
        <w:contextualSpacing w:val="0"/>
        <w:rPr>
          <w:rFonts w:ascii="Times New Roman" w:hAnsi="Times New Roman"/>
          <w:sz w:val="32"/>
          <w:szCs w:val="32"/>
        </w:rPr>
      </w:pPr>
      <w:r w:rsidRPr="001751E9">
        <w:rPr>
          <w:rFonts w:ascii="Times New Roman" w:hAnsi="Times New Roman"/>
          <w:sz w:val="32"/>
          <w:szCs w:val="32"/>
        </w:rPr>
        <w:t>Rifampicin (antibiotikum)</w:t>
      </w:r>
    </w:p>
    <w:p w:rsidR="001751E9" w:rsidRPr="001751E9" w:rsidP="001751E9" w14:paraId="44C8D0D2" w14:textId="77777777">
      <w:pPr>
        <w:rPr>
          <w:rFonts w:ascii="Times New Roman" w:hAnsi="Times New Roman"/>
          <w:sz w:val="32"/>
          <w:szCs w:val="32"/>
        </w:rPr>
      </w:pPr>
    </w:p>
    <w:p w:rsidR="001751E9" w:rsidRPr="001751E9" w:rsidP="001751E9" w14:paraId="66FFEAAB" w14:textId="77777777">
      <w:pPr>
        <w:rPr>
          <w:rFonts w:ascii="Times New Roman" w:hAnsi="Times New Roman"/>
          <w:sz w:val="32"/>
          <w:szCs w:val="32"/>
        </w:rPr>
      </w:pPr>
      <w:r w:rsidRPr="001751E9">
        <w:rPr>
          <w:rFonts w:ascii="Times New Roman" w:hAnsi="Times New Roman"/>
          <w:sz w:val="32"/>
          <w:szCs w:val="32"/>
        </w:rPr>
        <w:t xml:space="preserve">Ved oppstart av pirfenidon vil lungelege gå gjennom de andre medisinene du bruker og sjekke at disse kan brukes samtidig. </w:t>
      </w:r>
    </w:p>
    <w:p w:rsidR="001751E9" w:rsidRPr="001751E9" w:rsidP="001751E9" w14:paraId="02DA8EEC" w14:textId="77777777">
      <w:pPr>
        <w:rPr>
          <w:rFonts w:ascii="Times New Roman" w:hAnsi="Times New Roman"/>
          <w:sz w:val="32"/>
          <w:szCs w:val="32"/>
        </w:rPr>
      </w:pPr>
    </w:p>
    <w:p w:rsidR="001751E9" w:rsidRPr="001751E9" w:rsidP="001751E9" w14:paraId="15A99D53" w14:textId="77777777">
      <w:pPr>
        <w:rPr>
          <w:rFonts w:ascii="Times New Roman" w:hAnsi="Times New Roman"/>
          <w:sz w:val="32"/>
          <w:szCs w:val="32"/>
        </w:rPr>
      </w:pPr>
      <w:r w:rsidRPr="001751E9">
        <w:rPr>
          <w:rFonts w:ascii="Times New Roman" w:hAnsi="Times New Roman"/>
          <w:sz w:val="32"/>
          <w:szCs w:val="32"/>
        </w:rPr>
        <w:t xml:space="preserve">Røyking reduserer virkningen av pirfenidon. Du bør også unngå grapefrukt og grapefruktjuice.  </w:t>
      </w:r>
    </w:p>
    <w:p w:rsidR="001751E9" w:rsidRPr="001751E9" w:rsidP="001751E9" w14:paraId="2705255D" w14:textId="77777777">
      <w:pPr>
        <w:pStyle w:val="BodyText"/>
        <w:kinsoku w:val="0"/>
        <w:overflowPunct w:val="0"/>
        <w:spacing w:before="276"/>
        <w:ind w:right="3805"/>
        <w:rPr>
          <w:sz w:val="32"/>
          <w:szCs w:val="32"/>
        </w:rPr>
      </w:pPr>
    </w:p>
    <w:p w:rsidR="001751E9" w:rsidP="001751E9" w14:paraId="5A43D22D" w14:textId="77777777">
      <w:pPr>
        <w:pStyle w:val="BodyText"/>
        <w:kinsoku w:val="0"/>
        <w:overflowPunct w:val="0"/>
        <w:spacing w:before="276"/>
        <w:ind w:right="3805"/>
        <w:rPr>
          <w:b/>
          <w:bCs/>
          <w:color w:val="4F81BD" w:themeColor="accent1"/>
          <w:sz w:val="32"/>
          <w:szCs w:val="32"/>
        </w:rPr>
      </w:pPr>
    </w:p>
    <w:p w:rsidR="001751E9" w:rsidP="001751E9" w14:paraId="79B89559" w14:textId="77777777">
      <w:pPr>
        <w:pStyle w:val="BodyText"/>
        <w:kinsoku w:val="0"/>
        <w:overflowPunct w:val="0"/>
        <w:spacing w:before="276"/>
        <w:ind w:right="3805"/>
        <w:rPr>
          <w:b/>
          <w:bCs/>
          <w:color w:val="4F81BD" w:themeColor="accent1"/>
          <w:sz w:val="32"/>
          <w:szCs w:val="32"/>
        </w:rPr>
      </w:pPr>
    </w:p>
    <w:p w:rsidR="001751E9" w:rsidP="001751E9" w14:paraId="5CC9B285" w14:textId="77777777">
      <w:pPr>
        <w:pStyle w:val="BodyText"/>
        <w:kinsoku w:val="0"/>
        <w:overflowPunct w:val="0"/>
        <w:spacing w:before="276"/>
        <w:ind w:right="3805"/>
        <w:rPr>
          <w:b/>
          <w:bCs/>
          <w:color w:val="4F81BD" w:themeColor="accent1"/>
          <w:sz w:val="32"/>
          <w:szCs w:val="32"/>
        </w:rPr>
      </w:pPr>
    </w:p>
    <w:p w:rsidR="001751E9" w:rsidP="001751E9" w14:paraId="64F9541F" w14:textId="77777777">
      <w:pPr>
        <w:pStyle w:val="BodyText"/>
        <w:kinsoku w:val="0"/>
        <w:overflowPunct w:val="0"/>
        <w:spacing w:before="276"/>
        <w:ind w:right="3805"/>
        <w:rPr>
          <w:b/>
          <w:bCs/>
          <w:color w:val="4F81BD" w:themeColor="accent1"/>
          <w:sz w:val="32"/>
          <w:szCs w:val="32"/>
        </w:rPr>
      </w:pPr>
    </w:p>
    <w:p w:rsidR="001751E9" w:rsidRPr="001751E9" w:rsidP="001751E9" w14:paraId="0B7731B6" w14:textId="4C1D2724">
      <w:pPr>
        <w:pStyle w:val="BodyText"/>
        <w:kinsoku w:val="0"/>
        <w:overflowPunct w:val="0"/>
        <w:spacing w:before="276"/>
        <w:ind w:right="3805"/>
        <w:rPr>
          <w:b/>
          <w:bCs/>
          <w:color w:val="4F81BD" w:themeColor="accent1"/>
          <w:sz w:val="32"/>
          <w:szCs w:val="32"/>
        </w:rPr>
      </w:pPr>
      <w:r w:rsidRPr="001751E9">
        <w:rPr>
          <w:b/>
          <w:bCs/>
          <w:color w:val="4F81BD" w:themeColor="accent1"/>
          <w:sz w:val="32"/>
          <w:szCs w:val="32"/>
        </w:rPr>
        <w:t xml:space="preserve">NINTEDANIB </w:t>
      </w:r>
    </w:p>
    <w:p w:rsidR="001751E9" w:rsidRPr="001751E9" w:rsidP="001751E9" w14:paraId="76BACD2F" w14:textId="77777777">
      <w:pPr>
        <w:pStyle w:val="BodyText"/>
        <w:kinsoku w:val="0"/>
        <w:overflowPunct w:val="0"/>
        <w:spacing w:before="276"/>
        <w:ind w:right="3805"/>
        <w:rPr>
          <w:b/>
          <w:bCs/>
          <w:sz w:val="32"/>
          <w:szCs w:val="32"/>
        </w:rPr>
      </w:pPr>
      <w:r w:rsidRPr="001751E9">
        <w:rPr>
          <w:b/>
          <w:bCs/>
          <w:sz w:val="32"/>
          <w:szCs w:val="32"/>
        </w:rPr>
        <w:t>Hvordan brukes det?</w:t>
      </w:r>
    </w:p>
    <w:p w:rsidR="001751E9" w:rsidRPr="001751E9" w:rsidP="001751E9" w14:paraId="775E7B82" w14:textId="77777777">
      <w:pPr>
        <w:rPr>
          <w:rFonts w:ascii="Times New Roman" w:hAnsi="Times New Roman"/>
          <w:sz w:val="32"/>
          <w:szCs w:val="32"/>
        </w:rPr>
      </w:pPr>
      <w:r w:rsidRPr="001751E9">
        <w:rPr>
          <w:rFonts w:ascii="Times New Roman" w:hAnsi="Times New Roman"/>
          <w:sz w:val="32"/>
          <w:szCs w:val="32"/>
        </w:rPr>
        <w:t xml:space="preserve">Nintedanib finnes som kapsler som tas to ganger daglig. Det er viktig å ta medisinen til samme tid hver dag. Kapselen skal tas i forbindelse med måltid, og svelges hel med et glass vann. Kapslene finnes i dosene 100 mg 150 mg. </w:t>
      </w:r>
      <w:r w:rsidRPr="001751E9">
        <w:rPr>
          <w:rFonts w:ascii="Times New Roman" w:hAnsi="Times New Roman"/>
          <w:sz w:val="32"/>
          <w:szCs w:val="32"/>
        </w:rPr>
        <w:br/>
      </w:r>
      <w:r w:rsidRPr="001751E9">
        <w:rPr>
          <w:rFonts w:ascii="Times New Roman" w:hAnsi="Times New Roman"/>
          <w:sz w:val="32"/>
          <w:szCs w:val="32"/>
        </w:rPr>
        <w:br/>
        <w:t>Vanlig startdose er 150 mg morgen og kveld. For noen er det vanskelig å bruke anbefalt behandlingsdose grunnet bivirkninger, og en redusert dose vil tilpasses av lungelege.</w:t>
      </w:r>
    </w:p>
    <w:p w:rsidR="001751E9" w:rsidRPr="001751E9" w:rsidP="001751E9" w14:paraId="7EB518BE" w14:textId="77777777">
      <w:pPr>
        <w:rPr>
          <w:rFonts w:ascii="Times New Roman" w:hAnsi="Times New Roman"/>
          <w:sz w:val="32"/>
          <w:szCs w:val="32"/>
        </w:rPr>
      </w:pPr>
    </w:p>
    <w:p w:rsidR="001751E9" w:rsidRPr="001751E9" w:rsidP="001751E9" w14:paraId="04832E3C" w14:textId="77777777">
      <w:pPr>
        <w:rPr>
          <w:rFonts w:ascii="Times New Roman" w:hAnsi="Times New Roman"/>
          <w:sz w:val="32"/>
          <w:szCs w:val="32"/>
        </w:rPr>
      </w:pPr>
      <w:r w:rsidRPr="001751E9">
        <w:rPr>
          <w:rFonts w:ascii="Times New Roman" w:hAnsi="Times New Roman"/>
          <w:sz w:val="32"/>
          <w:szCs w:val="32"/>
        </w:rPr>
        <w:t>Nintedanib inneholder soya, og bør ikke brukes dersom du er allergisk mot soya eller peanøtter.</w:t>
      </w:r>
    </w:p>
    <w:p w:rsidR="001751E9" w:rsidRPr="001751E9" w:rsidP="001751E9" w14:paraId="379154FE" w14:textId="77777777">
      <w:pPr>
        <w:rPr>
          <w:rFonts w:ascii="Times New Roman" w:hAnsi="Times New Roman"/>
          <w:sz w:val="32"/>
          <w:szCs w:val="32"/>
        </w:rPr>
      </w:pPr>
    </w:p>
    <w:p w:rsidR="001751E9" w:rsidRPr="001751E9" w:rsidP="001751E9" w14:paraId="5D7659A8" w14:textId="77777777">
      <w:pPr>
        <w:rPr>
          <w:rFonts w:ascii="Times New Roman" w:hAnsi="Times New Roman"/>
          <w:sz w:val="32"/>
          <w:szCs w:val="32"/>
        </w:rPr>
      </w:pPr>
      <w:r w:rsidRPr="001751E9">
        <w:rPr>
          <w:rFonts w:ascii="Times New Roman" w:hAnsi="Times New Roman"/>
          <w:b/>
          <w:bCs/>
          <w:sz w:val="32"/>
          <w:szCs w:val="32"/>
        </w:rPr>
        <w:t>Hva gjør jeg hvis jeg glemmer en dose?</w:t>
      </w:r>
      <w:r w:rsidRPr="001751E9">
        <w:rPr>
          <w:rFonts w:ascii="Times New Roman" w:hAnsi="Times New Roman"/>
          <w:sz w:val="32"/>
          <w:szCs w:val="32"/>
          <w:u w:val="single"/>
        </w:rPr>
        <w:br/>
      </w:r>
      <w:r w:rsidRPr="001751E9">
        <w:rPr>
          <w:rFonts w:ascii="Times New Roman" w:hAnsi="Times New Roman"/>
          <w:sz w:val="32"/>
          <w:szCs w:val="32"/>
        </w:rPr>
        <w:t xml:space="preserve">Dersom du glemmer en dose, skal den hoppes over, og neste dose tas som planlagt. Det anbefales </w:t>
      </w:r>
      <w:r w:rsidRPr="001751E9">
        <w:rPr>
          <w:rFonts w:ascii="Times New Roman" w:hAnsi="Times New Roman"/>
          <w:sz w:val="32"/>
          <w:szCs w:val="32"/>
          <w:u w:val="single"/>
        </w:rPr>
        <w:t>ikke</w:t>
      </w:r>
      <w:r w:rsidRPr="001751E9">
        <w:rPr>
          <w:rFonts w:ascii="Times New Roman" w:hAnsi="Times New Roman"/>
          <w:sz w:val="32"/>
          <w:szCs w:val="32"/>
        </w:rPr>
        <w:t xml:space="preserve"> å ta dobbel dose som erstatning for den glemte. </w:t>
      </w:r>
    </w:p>
    <w:p w:rsidR="001751E9" w:rsidRPr="001751E9" w:rsidP="001751E9" w14:paraId="205A6384" w14:textId="77777777">
      <w:pPr>
        <w:rPr>
          <w:rFonts w:ascii="Times New Roman" w:hAnsi="Times New Roman"/>
          <w:sz w:val="32"/>
          <w:szCs w:val="32"/>
        </w:rPr>
      </w:pPr>
    </w:p>
    <w:p w:rsidR="001751E9" w:rsidRPr="001751E9" w:rsidP="001751E9" w14:paraId="46A87E7E" w14:textId="77777777">
      <w:pPr>
        <w:rPr>
          <w:rFonts w:ascii="Times New Roman" w:hAnsi="Times New Roman"/>
          <w:b/>
          <w:bCs/>
          <w:sz w:val="32"/>
          <w:szCs w:val="32"/>
        </w:rPr>
      </w:pPr>
      <w:r w:rsidRPr="001751E9">
        <w:rPr>
          <w:rFonts w:ascii="Times New Roman" w:hAnsi="Times New Roman"/>
          <w:b/>
          <w:bCs/>
          <w:sz w:val="32"/>
          <w:szCs w:val="32"/>
        </w:rPr>
        <w:t>Bivirkninger og forholdsregler</w:t>
      </w:r>
    </w:p>
    <w:p w:rsidR="001751E9" w:rsidRPr="001751E9" w:rsidP="001751E9" w14:paraId="490982D0" w14:textId="77777777">
      <w:pPr>
        <w:rPr>
          <w:rFonts w:ascii="Times New Roman" w:hAnsi="Times New Roman"/>
          <w:sz w:val="32"/>
          <w:szCs w:val="32"/>
        </w:rPr>
      </w:pPr>
      <w:r w:rsidRPr="001751E9">
        <w:rPr>
          <w:rFonts w:ascii="Times New Roman" w:hAnsi="Times New Roman"/>
          <w:sz w:val="32"/>
          <w:szCs w:val="32"/>
        </w:rPr>
        <w:t xml:space="preserve">Bivirkningene er vanligvis mest uttalt i starten av behandlingen, og vil ofte avta etter hvert. </w:t>
      </w:r>
    </w:p>
    <w:p w:rsidR="001751E9" w:rsidRPr="001751E9" w:rsidP="001751E9" w14:paraId="0CEC33A4" w14:textId="77777777">
      <w:pPr>
        <w:rPr>
          <w:rFonts w:ascii="Times New Roman" w:hAnsi="Times New Roman"/>
          <w:sz w:val="32"/>
          <w:szCs w:val="32"/>
        </w:rPr>
      </w:pPr>
    </w:p>
    <w:p w:rsidR="001751E9" w:rsidRPr="001751E9" w:rsidP="001751E9" w14:paraId="5C85D864" w14:textId="77777777">
      <w:pPr>
        <w:rPr>
          <w:rFonts w:ascii="Times New Roman" w:hAnsi="Times New Roman"/>
          <w:sz w:val="32"/>
          <w:szCs w:val="32"/>
          <w:u w:val="single"/>
        </w:rPr>
      </w:pPr>
      <w:r w:rsidRPr="001751E9">
        <w:rPr>
          <w:rFonts w:ascii="Times New Roman" w:hAnsi="Times New Roman"/>
          <w:sz w:val="32"/>
          <w:szCs w:val="32"/>
          <w:u w:val="single"/>
        </w:rPr>
        <w:t>Mage-tarm-plager</w:t>
      </w:r>
    </w:p>
    <w:p w:rsidR="001751E9" w:rsidRPr="001751E9" w:rsidP="001751E9" w14:paraId="15CB6EEA" w14:textId="77777777">
      <w:pPr>
        <w:rPr>
          <w:rFonts w:ascii="Times New Roman" w:hAnsi="Times New Roman"/>
          <w:sz w:val="32"/>
          <w:szCs w:val="32"/>
        </w:rPr>
      </w:pPr>
      <w:r w:rsidRPr="001751E9">
        <w:rPr>
          <w:rFonts w:ascii="Times New Roman" w:hAnsi="Times New Roman"/>
          <w:sz w:val="32"/>
          <w:szCs w:val="32"/>
        </w:rPr>
        <w:t xml:space="preserve">Diaré er den vanligste bivirkningen. Noen kan også oppleve kvalme og oppkast, magesmerter, nedsatt matlyst og vekttap. Ved diaré kan loperamid forsøkes. Dette kjøpes reseptfritt på apoteket. </w:t>
      </w:r>
    </w:p>
    <w:p w:rsidR="001751E9" w:rsidRPr="001751E9" w:rsidP="001751E9" w14:paraId="386AC0C7" w14:textId="77777777">
      <w:pPr>
        <w:rPr>
          <w:rFonts w:ascii="Times New Roman" w:hAnsi="Times New Roman"/>
          <w:sz w:val="32"/>
          <w:szCs w:val="32"/>
        </w:rPr>
      </w:pPr>
    </w:p>
    <w:p w:rsidR="001751E9" w:rsidRPr="001751E9" w:rsidP="001751E9" w14:paraId="72726DDA" w14:textId="77777777">
      <w:pPr>
        <w:rPr>
          <w:rFonts w:ascii="Times New Roman" w:hAnsi="Times New Roman"/>
          <w:sz w:val="32"/>
          <w:szCs w:val="32"/>
          <w:u w:val="single"/>
        </w:rPr>
      </w:pPr>
      <w:r w:rsidRPr="001751E9">
        <w:rPr>
          <w:rFonts w:ascii="Times New Roman" w:hAnsi="Times New Roman"/>
          <w:sz w:val="32"/>
          <w:szCs w:val="32"/>
          <w:u w:val="single"/>
        </w:rPr>
        <w:t>Leverpåvirkning</w:t>
      </w:r>
    </w:p>
    <w:p w:rsidR="001751E9" w:rsidRPr="001751E9" w:rsidP="001751E9" w14:paraId="2AED430D" w14:textId="77777777">
      <w:pPr>
        <w:rPr>
          <w:rFonts w:ascii="Times New Roman" w:hAnsi="Times New Roman"/>
          <w:sz w:val="32"/>
          <w:szCs w:val="32"/>
        </w:rPr>
      </w:pPr>
      <w:r w:rsidRPr="001751E9">
        <w:rPr>
          <w:rFonts w:ascii="Times New Roman" w:hAnsi="Times New Roman"/>
          <w:sz w:val="32"/>
          <w:szCs w:val="32"/>
        </w:rPr>
        <w:t>Forhøyede leverprøver kan forekomme, og det anbefales å kontrollere blodprøver hos fastlegen. Lungelegen som starter behandlingen, vil gi beskjed til fastlegen om hvilke prøves som skal tas. De første tre månedene av behandlingen bør blodprøvene kontrolleres spesielt hyppig (etter to uker, fire uker, åtte uker og tolv uker). Etter dette holder det vanligvis å kontrollere blodprøver hver tredje måned, og dette gjøres ved Lungeavdelingens poliklinikk.</w:t>
      </w:r>
    </w:p>
    <w:p w:rsidR="001751E9" w:rsidRPr="001751E9" w:rsidP="001751E9" w14:paraId="6B321121" w14:textId="77777777">
      <w:pPr>
        <w:rPr>
          <w:rFonts w:ascii="Times New Roman" w:hAnsi="Times New Roman"/>
          <w:sz w:val="32"/>
          <w:szCs w:val="32"/>
        </w:rPr>
      </w:pPr>
    </w:p>
    <w:p w:rsidR="001751E9" w:rsidRPr="001751E9" w:rsidP="001751E9" w14:paraId="7AC7FCCC" w14:textId="77777777">
      <w:pPr>
        <w:rPr>
          <w:rFonts w:ascii="Times New Roman" w:hAnsi="Times New Roman"/>
          <w:sz w:val="32"/>
          <w:szCs w:val="32"/>
          <w:u w:val="single"/>
        </w:rPr>
      </w:pPr>
      <w:r w:rsidRPr="001751E9">
        <w:rPr>
          <w:rFonts w:ascii="Times New Roman" w:hAnsi="Times New Roman"/>
          <w:sz w:val="32"/>
          <w:szCs w:val="32"/>
          <w:u w:val="single"/>
        </w:rPr>
        <w:t>Risiko for blødning og blodpropp</w:t>
      </w:r>
    </w:p>
    <w:p w:rsidR="001751E9" w:rsidRPr="001751E9" w:rsidP="001751E9" w14:paraId="653A07D5" w14:textId="77777777">
      <w:pPr>
        <w:rPr>
          <w:rFonts w:ascii="Times New Roman" w:hAnsi="Times New Roman"/>
          <w:sz w:val="32"/>
          <w:szCs w:val="32"/>
        </w:rPr>
      </w:pPr>
      <w:r w:rsidRPr="001751E9">
        <w:rPr>
          <w:rFonts w:ascii="Times New Roman" w:hAnsi="Times New Roman"/>
          <w:sz w:val="32"/>
          <w:szCs w:val="32"/>
        </w:rPr>
        <w:t xml:space="preserve">Ved behandling med nintedanib er det økt risiko for både blødning og blodpropp, hvor neseblødning er det vanligste. Dersom du bruker blodfortynnende, vil lungelege vurdere om du kan bruke nintedanib samtidig. Dersom du skal opereres, bør nintedanib stoppes to-tre dager i forkant fordi det kan svekke sårtilhelingen. </w:t>
      </w:r>
    </w:p>
    <w:p w:rsidR="001751E9" w:rsidRPr="001751E9" w:rsidP="001751E9" w14:paraId="7E4B5B9B" w14:textId="77777777">
      <w:pPr>
        <w:rPr>
          <w:rFonts w:ascii="Times New Roman" w:hAnsi="Times New Roman"/>
          <w:sz w:val="32"/>
          <w:szCs w:val="32"/>
        </w:rPr>
      </w:pPr>
    </w:p>
    <w:p w:rsidR="001751E9" w:rsidRPr="001751E9" w:rsidP="001751E9" w14:paraId="2C06325C" w14:textId="77777777">
      <w:pPr>
        <w:rPr>
          <w:rFonts w:ascii="Times New Roman" w:hAnsi="Times New Roman"/>
          <w:b/>
          <w:bCs/>
          <w:sz w:val="32"/>
          <w:szCs w:val="32"/>
        </w:rPr>
      </w:pPr>
      <w:r w:rsidRPr="001751E9">
        <w:rPr>
          <w:rFonts w:ascii="Times New Roman" w:hAnsi="Times New Roman"/>
          <w:b/>
          <w:bCs/>
          <w:sz w:val="32"/>
          <w:szCs w:val="32"/>
        </w:rPr>
        <w:t>Medikamenter som påvirker effekten av nintedanib</w:t>
      </w:r>
    </w:p>
    <w:p w:rsidR="001751E9" w:rsidRPr="001751E9" w:rsidP="001751E9" w14:paraId="04C6C061" w14:textId="77777777">
      <w:pPr>
        <w:rPr>
          <w:rFonts w:ascii="Times New Roman" w:hAnsi="Times New Roman"/>
          <w:b/>
          <w:bCs/>
          <w:sz w:val="32"/>
          <w:szCs w:val="32"/>
        </w:rPr>
      </w:pPr>
      <w:r w:rsidRPr="001751E9">
        <w:rPr>
          <w:rFonts w:ascii="Times New Roman" w:hAnsi="Times New Roman"/>
          <w:sz w:val="32"/>
          <w:szCs w:val="32"/>
        </w:rPr>
        <w:t>Flere medikamenter kan påvirke effekten av nintedanib, og bør dersom mulig unngås. Dette inkluderer blant annet:</w:t>
      </w:r>
    </w:p>
    <w:p w:rsidR="001751E9" w:rsidRPr="001751E9" w:rsidP="001751E9" w14:paraId="57CEEB41" w14:textId="77777777">
      <w:pPr>
        <w:pStyle w:val="ListParagraph"/>
        <w:widowControl w:val="0"/>
        <w:numPr>
          <w:ilvl w:val="0"/>
          <w:numId w:val="19"/>
        </w:numPr>
        <w:autoSpaceDE w:val="0"/>
        <w:autoSpaceDN w:val="0"/>
        <w:adjustRightInd w:val="0"/>
        <w:contextualSpacing w:val="0"/>
        <w:rPr>
          <w:rFonts w:ascii="Times New Roman" w:hAnsi="Times New Roman"/>
          <w:sz w:val="32"/>
          <w:szCs w:val="32"/>
        </w:rPr>
      </w:pPr>
      <w:r w:rsidRPr="001751E9">
        <w:rPr>
          <w:rFonts w:ascii="Times New Roman" w:hAnsi="Times New Roman"/>
          <w:sz w:val="32"/>
          <w:szCs w:val="32"/>
        </w:rPr>
        <w:t xml:space="preserve">Ikke-steroide antiinflammatoriske medisiner, som ibuprofen, diklofenak og naproksen </w:t>
      </w:r>
    </w:p>
    <w:p w:rsidR="001751E9" w:rsidRPr="001751E9" w:rsidP="001751E9" w14:paraId="38240849" w14:textId="77777777">
      <w:pPr>
        <w:pStyle w:val="ListParagraph"/>
        <w:widowControl w:val="0"/>
        <w:numPr>
          <w:ilvl w:val="0"/>
          <w:numId w:val="19"/>
        </w:numPr>
        <w:autoSpaceDE w:val="0"/>
        <w:autoSpaceDN w:val="0"/>
        <w:adjustRightInd w:val="0"/>
        <w:contextualSpacing w:val="0"/>
        <w:rPr>
          <w:rFonts w:ascii="Times New Roman" w:hAnsi="Times New Roman"/>
          <w:sz w:val="32"/>
          <w:szCs w:val="32"/>
        </w:rPr>
      </w:pPr>
      <w:r w:rsidRPr="001751E9">
        <w:rPr>
          <w:rFonts w:ascii="Times New Roman" w:hAnsi="Times New Roman"/>
          <w:sz w:val="32"/>
          <w:szCs w:val="32"/>
        </w:rPr>
        <w:t>Rifampicin (antibiotikum)</w:t>
      </w:r>
    </w:p>
    <w:p w:rsidR="001751E9" w:rsidRPr="001751E9" w:rsidP="001751E9" w14:paraId="595EB308" w14:textId="77777777">
      <w:pPr>
        <w:pStyle w:val="ListParagraph"/>
        <w:widowControl w:val="0"/>
        <w:numPr>
          <w:ilvl w:val="0"/>
          <w:numId w:val="19"/>
        </w:numPr>
        <w:autoSpaceDE w:val="0"/>
        <w:autoSpaceDN w:val="0"/>
        <w:adjustRightInd w:val="0"/>
        <w:contextualSpacing w:val="0"/>
        <w:rPr>
          <w:rFonts w:ascii="Times New Roman" w:hAnsi="Times New Roman"/>
          <w:sz w:val="32"/>
          <w:szCs w:val="32"/>
        </w:rPr>
      </w:pPr>
      <w:r w:rsidRPr="001751E9">
        <w:rPr>
          <w:rFonts w:ascii="Times New Roman" w:hAnsi="Times New Roman"/>
          <w:sz w:val="32"/>
          <w:szCs w:val="32"/>
        </w:rPr>
        <w:t>Erytromycin (antibiotikum)</w:t>
      </w:r>
    </w:p>
    <w:p w:rsidR="001751E9" w:rsidRPr="001751E9" w:rsidP="001751E9" w14:paraId="210723EF" w14:textId="77777777">
      <w:pPr>
        <w:pStyle w:val="ListParagraph"/>
        <w:widowControl w:val="0"/>
        <w:numPr>
          <w:ilvl w:val="0"/>
          <w:numId w:val="19"/>
        </w:numPr>
        <w:autoSpaceDE w:val="0"/>
        <w:autoSpaceDN w:val="0"/>
        <w:adjustRightInd w:val="0"/>
        <w:contextualSpacing w:val="0"/>
        <w:rPr>
          <w:rFonts w:ascii="Times New Roman" w:hAnsi="Times New Roman"/>
          <w:sz w:val="32"/>
          <w:szCs w:val="32"/>
        </w:rPr>
      </w:pPr>
      <w:r w:rsidRPr="001751E9">
        <w:rPr>
          <w:rFonts w:ascii="Times New Roman" w:hAnsi="Times New Roman"/>
          <w:sz w:val="32"/>
          <w:szCs w:val="32"/>
        </w:rPr>
        <w:t>Ketokonazol (soppmiddel)</w:t>
      </w:r>
    </w:p>
    <w:p w:rsidR="001751E9" w:rsidRPr="001751E9" w:rsidP="001751E9" w14:paraId="29FA3C20" w14:textId="77777777">
      <w:pPr>
        <w:pStyle w:val="ListParagraph"/>
        <w:widowControl w:val="0"/>
        <w:numPr>
          <w:ilvl w:val="0"/>
          <w:numId w:val="19"/>
        </w:numPr>
        <w:autoSpaceDE w:val="0"/>
        <w:autoSpaceDN w:val="0"/>
        <w:adjustRightInd w:val="0"/>
        <w:contextualSpacing w:val="0"/>
        <w:rPr>
          <w:rFonts w:ascii="Times New Roman" w:hAnsi="Times New Roman"/>
          <w:sz w:val="32"/>
          <w:szCs w:val="32"/>
        </w:rPr>
      </w:pPr>
      <w:r w:rsidRPr="001751E9">
        <w:rPr>
          <w:rFonts w:ascii="Times New Roman" w:hAnsi="Times New Roman"/>
          <w:sz w:val="32"/>
          <w:szCs w:val="32"/>
        </w:rPr>
        <w:t>Ciklosporin (immundempende medisin)</w:t>
      </w:r>
    </w:p>
    <w:p w:rsidR="001751E9" w:rsidRPr="001751E9" w:rsidP="001751E9" w14:paraId="7FE16938" w14:textId="77777777">
      <w:pPr>
        <w:pStyle w:val="ListParagraph"/>
        <w:widowControl w:val="0"/>
        <w:numPr>
          <w:ilvl w:val="0"/>
          <w:numId w:val="19"/>
        </w:numPr>
        <w:autoSpaceDE w:val="0"/>
        <w:autoSpaceDN w:val="0"/>
        <w:adjustRightInd w:val="0"/>
        <w:contextualSpacing w:val="0"/>
        <w:rPr>
          <w:rFonts w:ascii="Times New Roman" w:hAnsi="Times New Roman"/>
          <w:sz w:val="32"/>
          <w:szCs w:val="32"/>
        </w:rPr>
      </w:pPr>
      <w:r w:rsidRPr="001751E9">
        <w:rPr>
          <w:rFonts w:ascii="Times New Roman" w:hAnsi="Times New Roman"/>
          <w:sz w:val="32"/>
          <w:szCs w:val="32"/>
        </w:rPr>
        <w:t>Karbamazepin (medisin mot epilepsi)</w:t>
      </w:r>
    </w:p>
    <w:p w:rsidR="001751E9" w:rsidRPr="001751E9" w:rsidP="001751E9" w14:paraId="058E8222" w14:textId="77777777">
      <w:pPr>
        <w:pStyle w:val="ListParagraph"/>
        <w:widowControl w:val="0"/>
        <w:numPr>
          <w:ilvl w:val="0"/>
          <w:numId w:val="19"/>
        </w:numPr>
        <w:autoSpaceDE w:val="0"/>
        <w:autoSpaceDN w:val="0"/>
        <w:adjustRightInd w:val="0"/>
        <w:contextualSpacing w:val="0"/>
        <w:rPr>
          <w:rFonts w:ascii="Times New Roman" w:hAnsi="Times New Roman"/>
          <w:sz w:val="32"/>
          <w:szCs w:val="32"/>
        </w:rPr>
      </w:pPr>
      <w:r w:rsidRPr="001751E9">
        <w:rPr>
          <w:rFonts w:ascii="Times New Roman" w:hAnsi="Times New Roman"/>
          <w:sz w:val="32"/>
          <w:szCs w:val="32"/>
        </w:rPr>
        <w:t xml:space="preserve">Fenytoin (medisin mot epilepsi) </w:t>
      </w:r>
    </w:p>
    <w:p w:rsidR="001751E9" w:rsidRPr="001751E9" w:rsidP="001751E9" w14:paraId="4722FE56" w14:textId="77777777">
      <w:pPr>
        <w:pStyle w:val="ListParagraph"/>
        <w:widowControl w:val="0"/>
        <w:numPr>
          <w:ilvl w:val="0"/>
          <w:numId w:val="19"/>
        </w:numPr>
        <w:autoSpaceDE w:val="0"/>
        <w:autoSpaceDN w:val="0"/>
        <w:adjustRightInd w:val="0"/>
        <w:contextualSpacing w:val="0"/>
        <w:rPr>
          <w:rFonts w:ascii="Times New Roman" w:hAnsi="Times New Roman"/>
          <w:sz w:val="32"/>
          <w:szCs w:val="32"/>
        </w:rPr>
      </w:pPr>
      <w:r w:rsidRPr="001751E9">
        <w:rPr>
          <w:rFonts w:ascii="Times New Roman" w:hAnsi="Times New Roman"/>
          <w:sz w:val="32"/>
          <w:szCs w:val="32"/>
        </w:rPr>
        <w:t xml:space="preserve">Johannesurt (kosttilskudd) </w:t>
      </w:r>
    </w:p>
    <w:p w:rsidR="001751E9" w:rsidRPr="001751E9" w:rsidP="001751E9" w14:paraId="2483F49F" w14:textId="77777777">
      <w:pPr>
        <w:rPr>
          <w:rFonts w:ascii="Times New Roman" w:hAnsi="Times New Roman"/>
          <w:sz w:val="32"/>
          <w:szCs w:val="32"/>
        </w:rPr>
      </w:pPr>
    </w:p>
    <w:p w:rsidR="001751E9" w:rsidRPr="001751E9" w:rsidP="001751E9" w14:paraId="754C4742" w14:textId="77777777">
      <w:pPr>
        <w:rPr>
          <w:rFonts w:ascii="Times New Roman" w:hAnsi="Times New Roman"/>
          <w:sz w:val="32"/>
          <w:szCs w:val="32"/>
        </w:rPr>
      </w:pPr>
      <w:r w:rsidRPr="001751E9">
        <w:rPr>
          <w:rFonts w:ascii="Times New Roman" w:hAnsi="Times New Roman"/>
          <w:sz w:val="32"/>
          <w:szCs w:val="32"/>
        </w:rPr>
        <w:t>Ved oppstart av nintedanib vil lungelege gå gjennom de andre medisinene du bruker og sjekke at disse kan brukes samtidig.</w:t>
      </w:r>
    </w:p>
    <w:p w:rsidR="001751E9" w:rsidRPr="001751E9" w:rsidP="001751E9" w14:paraId="0A56A478" w14:textId="77777777">
      <w:pPr>
        <w:rPr>
          <w:rFonts w:ascii="Times New Roman" w:hAnsi="Times New Roman"/>
          <w:sz w:val="32"/>
          <w:szCs w:val="32"/>
        </w:rPr>
      </w:pPr>
    </w:p>
    <w:p w:rsidR="001751E9" w:rsidRPr="001751E9" w:rsidP="001751E9" w14:paraId="38F03BE1" w14:textId="77777777">
      <w:pPr>
        <w:rPr>
          <w:rFonts w:ascii="Times New Roman" w:hAnsi="Times New Roman"/>
          <w:sz w:val="32"/>
          <w:szCs w:val="32"/>
        </w:rPr>
      </w:pPr>
      <w:r w:rsidRPr="001751E9">
        <w:rPr>
          <w:rFonts w:ascii="Times New Roman" w:hAnsi="Times New Roman"/>
          <w:sz w:val="32"/>
          <w:szCs w:val="32"/>
        </w:rPr>
        <w:t xml:space="preserve"> </w:t>
      </w:r>
    </w:p>
    <w:p w:rsidR="001751E9" w:rsidRPr="001751E9" w:rsidP="001751E9" w14:paraId="7335E7A0" w14:textId="77777777">
      <w:pPr>
        <w:rPr>
          <w:rFonts w:ascii="Times New Roman" w:hAnsi="Times New Roman"/>
          <w:b/>
          <w:bCs/>
          <w:sz w:val="32"/>
          <w:szCs w:val="32"/>
        </w:rPr>
      </w:pPr>
    </w:p>
    <w:p w:rsidR="001751E9" w:rsidRPr="001751E9" w:rsidP="001751E9" w14:paraId="7603CA80" w14:textId="77777777">
      <w:pPr>
        <w:rPr>
          <w:rFonts w:ascii="Times New Roman" w:hAnsi="Times New Roman"/>
          <w:b/>
          <w:bCs/>
          <w:sz w:val="32"/>
          <w:szCs w:val="32"/>
        </w:rPr>
      </w:pPr>
    </w:p>
    <w:p w:rsidR="001751E9" w:rsidRPr="001751E9" w:rsidP="001751E9" w14:paraId="0A7C8791" w14:textId="77777777">
      <w:pPr>
        <w:rPr>
          <w:rFonts w:ascii="Times New Roman" w:hAnsi="Times New Roman"/>
          <w:b/>
          <w:bCs/>
          <w:sz w:val="32"/>
          <w:szCs w:val="32"/>
        </w:rPr>
      </w:pPr>
    </w:p>
    <w:p w:rsidR="001751E9" w:rsidP="001751E9" w14:paraId="0F8BCCAE" w14:textId="77777777">
      <w:pPr>
        <w:rPr>
          <w:rFonts w:ascii="Times New Roman" w:hAnsi="Times New Roman"/>
          <w:b/>
          <w:bCs/>
          <w:sz w:val="32"/>
          <w:szCs w:val="32"/>
        </w:rPr>
      </w:pPr>
    </w:p>
    <w:p w:rsidR="001751E9" w:rsidP="001751E9" w14:paraId="59873A05" w14:textId="77777777">
      <w:pPr>
        <w:rPr>
          <w:rFonts w:ascii="Times New Roman" w:hAnsi="Times New Roman"/>
          <w:b/>
          <w:bCs/>
          <w:sz w:val="32"/>
          <w:szCs w:val="32"/>
        </w:rPr>
      </w:pPr>
    </w:p>
    <w:p w:rsidR="001751E9" w:rsidP="001751E9" w14:paraId="5CF8D014" w14:textId="77777777">
      <w:pPr>
        <w:rPr>
          <w:rFonts w:ascii="Times New Roman" w:hAnsi="Times New Roman"/>
          <w:b/>
          <w:bCs/>
          <w:sz w:val="32"/>
          <w:szCs w:val="32"/>
        </w:rPr>
      </w:pPr>
    </w:p>
    <w:p w:rsidR="001751E9" w:rsidP="001751E9" w14:paraId="2A9AE67E" w14:textId="77777777">
      <w:pPr>
        <w:rPr>
          <w:rFonts w:ascii="Times New Roman" w:hAnsi="Times New Roman"/>
          <w:b/>
          <w:bCs/>
          <w:sz w:val="32"/>
          <w:szCs w:val="32"/>
        </w:rPr>
      </w:pPr>
    </w:p>
    <w:p w:rsidR="001751E9" w:rsidP="001751E9" w14:paraId="10EEAAD8" w14:textId="77777777">
      <w:pPr>
        <w:rPr>
          <w:rFonts w:ascii="Times New Roman" w:hAnsi="Times New Roman"/>
          <w:b/>
          <w:bCs/>
          <w:sz w:val="32"/>
          <w:szCs w:val="32"/>
        </w:rPr>
      </w:pPr>
    </w:p>
    <w:p w:rsidR="001751E9" w:rsidP="001751E9" w14:paraId="02BBFCE8" w14:textId="77777777">
      <w:pPr>
        <w:rPr>
          <w:rFonts w:ascii="Times New Roman" w:hAnsi="Times New Roman"/>
          <w:b/>
          <w:bCs/>
          <w:sz w:val="32"/>
          <w:szCs w:val="32"/>
        </w:rPr>
      </w:pPr>
    </w:p>
    <w:p w:rsidR="001751E9" w:rsidP="001751E9" w14:paraId="77D13101" w14:textId="77777777">
      <w:pPr>
        <w:rPr>
          <w:rFonts w:ascii="Times New Roman" w:hAnsi="Times New Roman"/>
          <w:b/>
          <w:bCs/>
          <w:sz w:val="32"/>
          <w:szCs w:val="32"/>
        </w:rPr>
      </w:pPr>
    </w:p>
    <w:p w:rsidR="001751E9" w:rsidP="001751E9" w14:paraId="747E2AF2" w14:textId="77777777">
      <w:pPr>
        <w:rPr>
          <w:rFonts w:ascii="Times New Roman" w:hAnsi="Times New Roman"/>
          <w:b/>
          <w:bCs/>
          <w:sz w:val="32"/>
          <w:szCs w:val="32"/>
        </w:rPr>
      </w:pPr>
    </w:p>
    <w:p w:rsidR="001751E9" w:rsidP="001751E9" w14:paraId="3D42A8AE" w14:textId="77777777">
      <w:pPr>
        <w:rPr>
          <w:rFonts w:ascii="Times New Roman" w:hAnsi="Times New Roman"/>
          <w:b/>
          <w:bCs/>
          <w:sz w:val="32"/>
          <w:szCs w:val="32"/>
        </w:rPr>
      </w:pPr>
    </w:p>
    <w:p w:rsidR="001751E9" w:rsidP="001751E9" w14:paraId="6493FE5A" w14:textId="77777777">
      <w:pPr>
        <w:rPr>
          <w:rFonts w:ascii="Times New Roman" w:hAnsi="Times New Roman"/>
          <w:b/>
          <w:bCs/>
          <w:sz w:val="32"/>
          <w:szCs w:val="32"/>
        </w:rPr>
      </w:pPr>
    </w:p>
    <w:p w:rsidR="001751E9" w:rsidP="001751E9" w14:paraId="75FB4CA3" w14:textId="77777777">
      <w:pPr>
        <w:rPr>
          <w:rFonts w:ascii="Times New Roman" w:hAnsi="Times New Roman"/>
          <w:b/>
          <w:bCs/>
          <w:sz w:val="32"/>
          <w:szCs w:val="32"/>
        </w:rPr>
      </w:pPr>
    </w:p>
    <w:p w:rsidR="001751E9" w:rsidP="001751E9" w14:paraId="604EA212" w14:textId="77777777">
      <w:pPr>
        <w:rPr>
          <w:rFonts w:ascii="Times New Roman" w:hAnsi="Times New Roman"/>
          <w:b/>
          <w:bCs/>
          <w:sz w:val="32"/>
          <w:szCs w:val="32"/>
        </w:rPr>
      </w:pPr>
    </w:p>
    <w:p w:rsidR="001751E9" w:rsidRPr="001751E9" w:rsidP="001751E9" w14:paraId="2131F060" w14:textId="44B7F569">
      <w:pPr>
        <w:rPr>
          <w:rFonts w:ascii="Times New Roman" w:hAnsi="Times New Roman"/>
          <w:b/>
          <w:bCs/>
          <w:sz w:val="32"/>
          <w:szCs w:val="32"/>
        </w:rPr>
      </w:pPr>
      <w:r w:rsidRPr="001751E9">
        <w:rPr>
          <w:rFonts w:ascii="Times New Roman" w:hAnsi="Times New Roman"/>
          <w:b/>
          <w:bCs/>
          <w:sz w:val="32"/>
          <w:szCs w:val="32"/>
        </w:rPr>
        <w:t>Kontakt Lungepoliklinikken ved spørsmål</w:t>
      </w:r>
    </w:p>
    <w:p w:rsidR="001751E9" w:rsidRPr="001751E9" w:rsidP="001751E9" w14:paraId="13DF63BA" w14:textId="77777777">
      <w:pPr>
        <w:rPr>
          <w:rFonts w:ascii="Times New Roman" w:hAnsi="Times New Roman"/>
          <w:sz w:val="32"/>
          <w:szCs w:val="32"/>
        </w:rPr>
      </w:pPr>
      <w:r w:rsidRPr="001751E9">
        <w:rPr>
          <w:rFonts w:ascii="Times New Roman" w:hAnsi="Times New Roman"/>
          <w:sz w:val="32"/>
          <w:szCs w:val="32"/>
        </w:rPr>
        <w:t xml:space="preserve">Telefon </w:t>
      </w:r>
      <w:r w:rsidRPr="001751E9">
        <w:rPr>
          <w:rFonts w:ascii="Times New Roman" w:hAnsi="Times New Roman"/>
          <w:b/>
          <w:bCs/>
          <w:sz w:val="32"/>
          <w:szCs w:val="32"/>
        </w:rPr>
        <w:t>55974080</w:t>
      </w:r>
      <w:r w:rsidRPr="001751E9">
        <w:rPr>
          <w:rFonts w:ascii="Times New Roman" w:hAnsi="Times New Roman"/>
          <w:sz w:val="32"/>
          <w:szCs w:val="32"/>
        </w:rPr>
        <w:t>, mandag-fredag 08.00-15.00.</w:t>
      </w:r>
    </w:p>
    <w:p w:rsidR="001751E9" w:rsidRPr="001751E9" w:rsidP="001751E9" w14:paraId="7C0189AB" w14:textId="77777777">
      <w:pPr>
        <w:rPr>
          <w:rFonts w:ascii="Times New Roman" w:hAnsi="Times New Roman"/>
          <w:sz w:val="32"/>
          <w:szCs w:val="32"/>
        </w:rPr>
      </w:pPr>
      <w:r w:rsidRPr="001751E9">
        <w:rPr>
          <w:rFonts w:ascii="Times New Roman" w:hAnsi="Times New Roman"/>
          <w:sz w:val="32"/>
          <w:szCs w:val="32"/>
        </w:rPr>
        <w:t xml:space="preserve">Du vil få snakke med sekretær i vår poliklinikk, som videreformidler til ansvarlig lege eller sykepleier. </w:t>
      </w:r>
    </w:p>
    <w:p w:rsidR="001751E9" w:rsidRPr="001751E9" w:rsidP="001751E9" w14:paraId="620B60AD" w14:textId="77777777">
      <w:pPr>
        <w:rPr>
          <w:rFonts w:ascii="Times New Roman" w:hAnsi="Times New Roman"/>
          <w:sz w:val="32"/>
          <w:szCs w:val="32"/>
        </w:rPr>
      </w:pPr>
    </w:p>
    <w:p w:rsidR="001751E9" w:rsidRPr="001751E9" w:rsidP="001751E9" w14:paraId="6988BAEA" w14:textId="77777777">
      <w:pPr>
        <w:rPr>
          <w:rFonts w:ascii="Times New Roman" w:hAnsi="Times New Roman"/>
          <w:sz w:val="36"/>
          <w:szCs w:val="36"/>
        </w:rPr>
      </w:pPr>
    </w:p>
    <w:p w:rsidR="001751E9" w:rsidRPr="00FC582E" w:rsidP="001751E9" w14:paraId="3D779CB1" w14:textId="77777777">
      <w:pPr>
        <w:rPr>
          <w:sz w:val="36"/>
          <w:szCs w:val="36"/>
        </w:rPr>
      </w:pPr>
      <w:r w:rsidRPr="00FC582E">
        <w:rPr>
          <w:noProof/>
          <w:sz w:val="36"/>
          <w:szCs w:val="36"/>
        </w:rPr>
        <w:drawing>
          <wp:anchor distT="0" distB="0" distL="114300" distR="114300" simplePos="0" relativeHeight="251661312" behindDoc="0" locked="0" layoutInCell="1" allowOverlap="1">
            <wp:simplePos x="0" y="0"/>
            <wp:positionH relativeFrom="column">
              <wp:posOffset>-4445</wp:posOffset>
            </wp:positionH>
            <wp:positionV relativeFrom="paragraph">
              <wp:posOffset>635</wp:posOffset>
            </wp:positionV>
            <wp:extent cx="4467225" cy="4467225"/>
            <wp:effectExtent l="0" t="0" r="9525" b="9525"/>
            <wp:wrapSquare wrapText="bothSides"/>
            <wp:docPr id="2049176298" name="Bilde 2" descr="Et bilde som inneholder tegning, sketch, illustrasjon, tegnefil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76298" name="Bilde 2" descr="Et bilde som inneholder tegning, sketch, illustrasjon, tegnefilm&#10;&#10;KI-generert innhold kan være feil."/>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7225" cy="4467225"/>
                    </a:xfrm>
                    <a:prstGeom prst="rect">
                      <a:avLst/>
                    </a:prstGeom>
                    <a:noFill/>
                    <a:ln>
                      <a:noFill/>
                    </a:ln>
                  </pic:spPr>
                </pic:pic>
              </a:graphicData>
            </a:graphic>
          </wp:anchor>
        </w:drawing>
      </w:r>
    </w:p>
    <w:p w:rsidR="001751E9" w:rsidRPr="00FC3A3C" w:rsidP="001751E9" w14:paraId="30C30B8B" w14:textId="77777777">
      <w:pPr>
        <w:rPr>
          <w:sz w:val="36"/>
          <w:szCs w:val="36"/>
        </w:rPr>
      </w:pPr>
    </w:p>
    <w:p w:rsidR="009D023B" w:rsidRPr="00E754D7" w:rsidP="00066A58" w14:paraId="4B3E9AF9" w14:textId="77777777">
      <w:pPr>
        <w:spacing w:line="259" w:lineRule="auto"/>
        <w:rPr>
          <w:rFonts w:cstheme="minorHAnsi"/>
          <w:color w:val="000080"/>
        </w:rPr>
      </w:pPr>
    </w:p>
    <w:sectPr w:rsidSect="00D03EED">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1E9" w14:paraId="523E3E73" w14:textId="77777777">
    <w:pPr>
      <w:pStyle w:val="Footer"/>
    </w:pPr>
    <w:r>
      <w:tab/>
    </w:r>
    <w:r>
      <w:rPr>
        <w:color w:val="FFFFFF" w:themeColor="background1"/>
      </w:rPr>
      <w:tab/>
    </w:r>
  </w:p>
  <w:p w:rsidR="001751E9" w14:paraId="38EEA9B4" w14:textId="77777777">
    <w:pPr>
      <w:pStyle w:val="BodyText"/>
      <w:kinsoku w:val="0"/>
      <w:overflowPunct w:val="0"/>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4B3E9B02"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4B3E9B00" w14:textId="5864CCF2">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405255" cy="345440"/>
                    <wp:effectExtent l="0" t="0" r="4445" b="0"/>
                    <wp:wrapNone/>
                    <wp:docPr id="665727826"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E35541" w:rsidRPr="00E35541" w:rsidP="00E3554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E35541" w:rsidRPr="00E35541" w:rsidP="00E35541" w14:paraId="7FECB468"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8A218A">
            <w:rPr>
              <w:rStyle w:val="PageNumber"/>
              <w:noProof/>
              <w:sz w:val="16"/>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8A218A">
            <w:rPr>
              <w:rStyle w:val="PageNumber"/>
              <w:noProof/>
              <w:sz w:val="16"/>
            </w:rPr>
            <w:t>1</w:t>
          </w:r>
          <w:r>
            <w:rPr>
              <w:rStyle w:val="PageNumber"/>
              <w:sz w:val="16"/>
            </w:rPr>
            <w:fldChar w:fldCharType="end"/>
          </w:r>
        </w:p>
      </w:tc>
      <w:tc>
        <w:tcPr>
          <w:tcW w:w="4074" w:type="dxa"/>
          <w:tcBorders>
            <w:left w:val="single" w:sz="4" w:space="0" w:color="auto"/>
          </w:tcBorders>
        </w:tcPr>
        <w:p w:rsidR="00485214" w14:paraId="4B3E9B01"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14.2.11-25</w:t>
          </w:r>
          <w:r>
            <w:rPr>
              <w:color w:val="000080"/>
              <w:sz w:val="16"/>
            </w:rPr>
            <w:fldChar w:fldCharType="end"/>
          </w:r>
        </w:p>
      </w:tc>
    </w:tr>
  </w:tbl>
  <w:p w:rsidR="00485214" w14:paraId="4B3E9B03" w14:textId="77777777">
    <w:pPr>
      <w:pStyle w:val="Footer"/>
      <w:ind w:firstLine="70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4B3E9B08"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4B3E9B04" w14:textId="0AD9C485">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91235" cy="500380"/>
                    <wp:effectExtent l="0" t="0" r="18415" b="0"/>
                    <wp:wrapNone/>
                    <wp:docPr id="911443191" name="Tekstboks 3"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91235" cy="500380"/>
                            </a:xfrm>
                            <a:prstGeom prst="rect">
                              <a:avLst/>
                            </a:prstGeom>
                            <a:noFill/>
                            <a:ln>
                              <a:noFill/>
                            </a:ln>
                          </wps:spPr>
                          <wps:txbx>
                            <w:txbxContent>
                              <w:p w:rsidR="00E35541" w:rsidRPr="00E35541" w:rsidP="00E3554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3" o:spid="_x0000_s2050" type="#_x0000_t202" alt="Følsomhet Intern (gul)" style="width:78.05pt;height:39.4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E35541" w:rsidRPr="00E35541" w:rsidP="00E35541" w14:paraId="0AA0B52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D84866</w:t>
          </w:r>
          <w:r>
            <w:rPr>
              <w:color w:val="000080"/>
              <w:sz w:val="16"/>
            </w:rPr>
            <w:fldChar w:fldCharType="end"/>
          </w:r>
        </w:p>
      </w:tc>
      <w:tc>
        <w:tcPr>
          <w:tcW w:w="2268" w:type="dxa"/>
          <w:tcBorders>
            <w:right w:val="single" w:sz="4" w:space="0" w:color="auto"/>
          </w:tcBorders>
        </w:tcPr>
        <w:p w:rsidR="009B041D" w:rsidRPr="009B041D" w:rsidP="007E4125" w14:paraId="4B3E9B05"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14.2.11-25</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4B3E9B06"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4B3E9B07"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6</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rFonts w:asciiTheme="minorHAnsi" w:hAnsiTheme="minorHAnsi"/>
              <w:sz w:val="16"/>
              <w:lang w:val="nb-NO" w:eastAsia="nb-NO" w:bidi="ar-SA"/>
            </w:rPr>
            <w:t>7</w:t>
          </w:r>
          <w:r>
            <w:rPr>
              <w:rStyle w:val="PageNumber"/>
              <w:sz w:val="16"/>
            </w:rPr>
            <w:fldChar w:fldCharType="end"/>
          </w:r>
        </w:p>
      </w:tc>
    </w:tr>
  </w:tbl>
  <w:p w:rsidR="00B24A00" w:rsidRPr="009E0D59" w:rsidP="00B24A00" w14:paraId="4B3E9B09" w14:textId="77777777">
    <w:pPr>
      <w:pStyle w:val="Footer"/>
      <w:rPr>
        <w:color w:val="FFFFFF"/>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4B3E9B1D"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4B3E9B1A" w14:textId="01CEDCED">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14.2.11-25</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4B3E9B1B"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4B3E9B1C"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rFonts w:asciiTheme="minorHAnsi" w:hAnsiTheme="minorHAnsi"/>
              <w:sz w:val="16"/>
              <w:lang w:val="nb-NO" w:eastAsia="nb-NO" w:bidi="ar-SA"/>
            </w:rPr>
            <w:t>7</w:t>
          </w:r>
          <w:r>
            <w:rPr>
              <w:rStyle w:val="PageNumber"/>
              <w:sz w:val="16"/>
            </w:rPr>
            <w:fldChar w:fldCharType="end"/>
          </w:r>
        </w:p>
      </w:tc>
    </w:tr>
  </w:tbl>
  <w:p w:rsidR="00B24A00" w:rsidP="00B24A00" w14:paraId="4B3E9B1E" w14:textId="77FE0FCA">
    <w:pPr>
      <w:pStyle w:val="Footer"/>
      <w:rPr>
        <w:color w:val="FFFFFF"/>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posOffset>878840</wp:posOffset>
              </wp:positionH>
              <wp:positionV relativeFrom="page">
                <wp:posOffset>10151745</wp:posOffset>
              </wp:positionV>
              <wp:extent cx="1351280" cy="500380"/>
              <wp:effectExtent l="0" t="0" r="6350" b="0"/>
              <wp:wrapNone/>
              <wp:docPr id="613900499" name="Tekstboks 1"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1280" cy="500380"/>
                      </a:xfrm>
                      <a:prstGeom prst="rect">
                        <a:avLst/>
                      </a:prstGeom>
                      <a:noFill/>
                      <a:ln>
                        <a:noFill/>
                      </a:ln>
                    </wps:spPr>
                    <wps:txbx>
                      <w:txbxContent>
                        <w:p w:rsidR="00E35541" w:rsidRPr="006D516B" w:rsidP="00E35541"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1" o:spid="_x0000_s2051" type="#_x0000_t202" alt="Følsomhet Intern (gul)" style="width:106.4pt;height:39.4pt;margin-top:799.35pt;margin-left:69.2pt;mso-position-horizontal-relative:page;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E35541" w:rsidRPr="006D516B" w:rsidP="00E35541" w14:paraId="698C2D24"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v:textbox>
            </v:shape>
          </w:pict>
        </mc:Fallback>
      </mc:AlternateContent>
    </w: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4B3E9AFA"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4B3E9AFE"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4B3E9AF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Informasjon til deg som mottar antifibrotisk behandling med pirfenidon eller nintedanib</w:t>
          </w:r>
          <w:r>
            <w:rPr>
              <w:sz w:val="28"/>
            </w:rPr>
            <w:fldChar w:fldCharType="end"/>
          </w:r>
        </w:p>
      </w:tc>
      <w:tc>
        <w:tcPr>
          <w:tcW w:w="992" w:type="dxa"/>
          <w:tcBorders>
            <w:bottom w:val="single" w:sz="4" w:space="0" w:color="auto"/>
            <w:right w:val="single" w:sz="4" w:space="0" w:color="auto"/>
          </w:tcBorders>
        </w:tcPr>
        <w:p w:rsidR="00485214" w14:paraId="4B3E9AFC" w14:textId="77777777">
          <w:pPr>
            <w:pStyle w:val="Header"/>
            <w:jc w:val="left"/>
            <w:rPr>
              <w:sz w:val="12"/>
            </w:rPr>
          </w:pPr>
        </w:p>
        <w:p w:rsidR="00485214" w14:paraId="4B3E9AFD"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bl>
  <w:p w:rsidR="00485214" w14:paraId="4B3E9A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14:paraId="4B3E9B0C"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4B3E9B0A" w14:textId="77777777">
          <w:pPr>
            <w:pStyle w:val="Header"/>
            <w:jc w:val="center"/>
            <w:rPr>
              <w:sz w:val="16"/>
            </w:rPr>
          </w:pPr>
          <w:r>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14:paraId="4B3E9B0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Informasjon til deg som mottar antifibrotisk behandling med pirfenidon eller nintedanib</w:t>
          </w:r>
          <w:r>
            <w:rPr>
              <w:sz w:val="28"/>
            </w:rPr>
            <w:fldChar w:fldCharType="end"/>
          </w:r>
        </w:p>
      </w:tc>
    </w:tr>
    <w:tr w14:paraId="4B3E9B0F" w14:textId="77777777"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14:paraId="4B3E9B0D"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Pasientbehandling/Pasientinformasjon</w:t>
          </w:r>
          <w:r>
            <w:rPr>
              <w:sz w:val="16"/>
            </w:rPr>
            <w:fldChar w:fldCharType="end"/>
          </w:r>
        </w:p>
      </w:tc>
      <w:tc>
        <w:tcPr>
          <w:tcW w:w="2879" w:type="dxa"/>
          <w:vAlign w:val="bottom"/>
        </w:tcPr>
        <w:p w:rsidR="00FD5284" w:rsidRPr="005F0E8F" w:rsidP="00540375" w14:paraId="4B3E9B0E" w14:textId="77777777">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15.06.2026</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15.06.2028</w:t>
          </w:r>
          <w:r>
            <w:rPr>
              <w:color w:val="000080"/>
              <w:sz w:val="16"/>
            </w:rPr>
            <w:fldChar w:fldCharType="end"/>
          </w:r>
        </w:p>
      </w:tc>
    </w:tr>
    <w:tr w14:paraId="4B3E9B12" w14:textId="77777777" w:rsidTr="00540375">
      <w:tblPrEx>
        <w:tblW w:w="9678" w:type="dxa"/>
        <w:tblLayout w:type="fixed"/>
        <w:tblCellMar>
          <w:left w:w="70" w:type="dxa"/>
          <w:right w:w="70" w:type="dxa"/>
        </w:tblCellMar>
        <w:tblLook w:val="0000"/>
      </w:tblPrEx>
      <w:trPr>
        <w:cantSplit/>
        <w:trHeight w:val="168"/>
      </w:trPr>
      <w:tc>
        <w:tcPr>
          <w:tcW w:w="6799" w:type="dxa"/>
          <w:gridSpan w:val="2"/>
        </w:tcPr>
        <w:p w:rsidR="005F0E8F" w14:paraId="4B3E9B10"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HF/Lungeavdelingen</w:t>
          </w:r>
          <w:r>
            <w:rPr>
              <w:sz w:val="16"/>
            </w:rPr>
            <w:fldChar w:fldCharType="end"/>
          </w:r>
        </w:p>
      </w:tc>
      <w:tc>
        <w:tcPr>
          <w:tcW w:w="2879" w:type="dxa"/>
          <w:vAlign w:val="bottom"/>
        </w:tcPr>
        <w:p w:rsidR="005F0E8F" w14:paraId="4B3E9B11"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r w14:paraId="4B3E9B15" w14:textId="77777777" w:rsidTr="00540375">
      <w:tblPrEx>
        <w:tblW w:w="9678" w:type="dxa"/>
        <w:tblLayout w:type="fixed"/>
        <w:tblCellMar>
          <w:left w:w="70" w:type="dxa"/>
          <w:right w:w="70" w:type="dxa"/>
        </w:tblCellMar>
        <w:tblLook w:val="0000"/>
      </w:tblPrEx>
      <w:trPr>
        <w:trHeight w:val="252"/>
      </w:trPr>
      <w:tc>
        <w:tcPr>
          <w:tcW w:w="6799" w:type="dxa"/>
          <w:gridSpan w:val="2"/>
        </w:tcPr>
        <w:p w:rsidR="00FD5284" w:rsidP="00FD5284" w14:paraId="4B3E9B13"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Dale, Solveig Margrethe</w:t>
          </w:r>
          <w:r>
            <w:rPr>
              <w:color w:val="000080"/>
              <w:sz w:val="16"/>
            </w:rPr>
            <w:fldChar w:fldCharType="end"/>
          </w:r>
          <w:r>
            <w:rPr>
              <w:color w:val="000080"/>
              <w:sz w:val="16"/>
            </w:rPr>
            <w:t xml:space="preserve"> </w:t>
          </w:r>
        </w:p>
      </w:tc>
      <w:tc>
        <w:tcPr>
          <w:tcW w:w="2879" w:type="dxa"/>
        </w:tcPr>
        <w:p w:rsidR="00FD5284" w:rsidP="00FD5284" w14:paraId="4B3E9B14"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Informasjon</w:t>
          </w:r>
          <w:r>
            <w:rPr>
              <w:color w:val="000080"/>
              <w:sz w:val="16"/>
            </w:rPr>
            <w:fldChar w:fldCharType="end"/>
          </w:r>
        </w:p>
      </w:tc>
    </w:tr>
    <w:tr w14:paraId="4B3E9B18" w14:textId="77777777" w:rsidTr="00540375">
      <w:tblPrEx>
        <w:tblW w:w="9678" w:type="dxa"/>
        <w:tblLayout w:type="fixed"/>
        <w:tblCellMar>
          <w:left w:w="70" w:type="dxa"/>
          <w:right w:w="70" w:type="dxa"/>
        </w:tblCellMar>
        <w:tblLook w:val="0000"/>
      </w:tblPrEx>
      <w:trPr>
        <w:trHeight w:val="153"/>
      </w:trPr>
      <w:tc>
        <w:tcPr>
          <w:tcW w:w="6799" w:type="dxa"/>
          <w:gridSpan w:val="2"/>
        </w:tcPr>
        <w:p w:rsidR="00FD5284" w:rsidP="00FD5284" w14:paraId="4B3E9B16" w14:textId="77777777">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Tangedal Solveig, Øyhovden, Julie</w:t>
          </w:r>
          <w:r>
            <w:rPr>
              <w:color w:val="000080"/>
              <w:sz w:val="16"/>
            </w:rPr>
            <w:fldChar w:fldCharType="end"/>
          </w:r>
          <w:r>
            <w:rPr>
              <w:color w:val="000080"/>
              <w:sz w:val="16"/>
            </w:rPr>
            <w:t xml:space="preserve"> </w:t>
          </w:r>
        </w:p>
      </w:tc>
      <w:tc>
        <w:tcPr>
          <w:tcW w:w="2879" w:type="dxa"/>
        </w:tcPr>
        <w:p w:rsidR="00FD5284" w14:paraId="4B3E9B17"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D84866</w:t>
          </w:r>
          <w:r>
            <w:rPr>
              <w:color w:val="000080"/>
              <w:sz w:val="16"/>
            </w:rPr>
            <w:fldChar w:fldCharType="end"/>
          </w:r>
        </w:p>
      </w:tc>
    </w:tr>
  </w:tbl>
  <w:p w:rsidR="00485214" w14:paraId="4B3E9B1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6D64957"/>
    <w:multiLevelType w:val="hybridMultilevel"/>
    <w:tmpl w:val="A4AE39E4"/>
    <w:lvl w:ilvl="0">
      <w:start w:val="1"/>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9276A90"/>
    <w:multiLevelType w:val="multilevel"/>
    <w:tmpl w:val="DED63F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16">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6656465">
    <w:abstractNumId w:val="10"/>
  </w:num>
  <w:num w:numId="2" w16cid:durableId="1175725845">
    <w:abstractNumId w:val="8"/>
  </w:num>
  <w:num w:numId="3" w16cid:durableId="701857049">
    <w:abstractNumId w:val="3"/>
  </w:num>
  <w:num w:numId="4" w16cid:durableId="858154033">
    <w:abstractNumId w:val="2"/>
  </w:num>
  <w:num w:numId="5" w16cid:durableId="805052100">
    <w:abstractNumId w:val="1"/>
  </w:num>
  <w:num w:numId="6" w16cid:durableId="2047220084">
    <w:abstractNumId w:val="0"/>
  </w:num>
  <w:num w:numId="7" w16cid:durableId="1152647459">
    <w:abstractNumId w:val="9"/>
  </w:num>
  <w:num w:numId="8" w16cid:durableId="540170345">
    <w:abstractNumId w:val="7"/>
  </w:num>
  <w:num w:numId="9" w16cid:durableId="1472483670">
    <w:abstractNumId w:val="6"/>
  </w:num>
  <w:num w:numId="10" w16cid:durableId="1005940175">
    <w:abstractNumId w:val="5"/>
  </w:num>
  <w:num w:numId="11" w16cid:durableId="162823521">
    <w:abstractNumId w:val="4"/>
  </w:num>
  <w:num w:numId="12" w16cid:durableId="1715306055">
    <w:abstractNumId w:val="12"/>
  </w:num>
  <w:num w:numId="13" w16cid:durableId="958947322">
    <w:abstractNumId w:val="15"/>
  </w:num>
  <w:num w:numId="14" w16cid:durableId="1240796667">
    <w:abstractNumId w:val="16"/>
  </w:num>
  <w:num w:numId="15" w16cid:durableId="1741707904">
    <w:abstractNumId w:val="17"/>
  </w:num>
  <w:num w:numId="16" w16cid:durableId="1214347900">
    <w:abstractNumId w:val="13"/>
  </w:num>
  <w:num w:numId="17" w16cid:durableId="1826556132">
    <w:abstractNumId w:val="13"/>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974800904">
    <w:abstractNumId w:val="14"/>
  </w:num>
  <w:num w:numId="19" w16cid:durableId="17941323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20754"/>
    <w:rsid w:val="000354A8"/>
    <w:rsid w:val="00042992"/>
    <w:rsid w:val="00050E94"/>
    <w:rsid w:val="0005214E"/>
    <w:rsid w:val="00056D52"/>
    <w:rsid w:val="00066A58"/>
    <w:rsid w:val="00067C31"/>
    <w:rsid w:val="00076677"/>
    <w:rsid w:val="00081F27"/>
    <w:rsid w:val="00083284"/>
    <w:rsid w:val="00097072"/>
    <w:rsid w:val="000A1D6A"/>
    <w:rsid w:val="000A6B2D"/>
    <w:rsid w:val="000C6A9B"/>
    <w:rsid w:val="000C73DF"/>
    <w:rsid w:val="000C763E"/>
    <w:rsid w:val="000D3C29"/>
    <w:rsid w:val="000D5FFE"/>
    <w:rsid w:val="000D63E4"/>
    <w:rsid w:val="000F32C5"/>
    <w:rsid w:val="000F5FC0"/>
    <w:rsid w:val="00101002"/>
    <w:rsid w:val="00115094"/>
    <w:rsid w:val="00117E18"/>
    <w:rsid w:val="00140619"/>
    <w:rsid w:val="00144BC1"/>
    <w:rsid w:val="00150F73"/>
    <w:rsid w:val="00151E16"/>
    <w:rsid w:val="00155765"/>
    <w:rsid w:val="00157C37"/>
    <w:rsid w:val="00161FD5"/>
    <w:rsid w:val="001751E9"/>
    <w:rsid w:val="00176BA5"/>
    <w:rsid w:val="00187793"/>
    <w:rsid w:val="0019138B"/>
    <w:rsid w:val="0019290E"/>
    <w:rsid w:val="001A4CED"/>
    <w:rsid w:val="001B1D43"/>
    <w:rsid w:val="001B37A6"/>
    <w:rsid w:val="001C094A"/>
    <w:rsid w:val="001E1DBA"/>
    <w:rsid w:val="001F43D4"/>
    <w:rsid w:val="001F7E88"/>
    <w:rsid w:val="0020110C"/>
    <w:rsid w:val="00203F1E"/>
    <w:rsid w:val="00227AF8"/>
    <w:rsid w:val="00231DC5"/>
    <w:rsid w:val="00241F65"/>
    <w:rsid w:val="00246C9E"/>
    <w:rsid w:val="002744C3"/>
    <w:rsid w:val="00281B8D"/>
    <w:rsid w:val="00284EBB"/>
    <w:rsid w:val="00291CD7"/>
    <w:rsid w:val="002A4A07"/>
    <w:rsid w:val="002A791D"/>
    <w:rsid w:val="002B1F3C"/>
    <w:rsid w:val="002D0738"/>
    <w:rsid w:val="002F5A32"/>
    <w:rsid w:val="00304B15"/>
    <w:rsid w:val="00311019"/>
    <w:rsid w:val="00312D39"/>
    <w:rsid w:val="003403C0"/>
    <w:rsid w:val="00360258"/>
    <w:rsid w:val="00362B96"/>
    <w:rsid w:val="00381C00"/>
    <w:rsid w:val="00387597"/>
    <w:rsid w:val="00390056"/>
    <w:rsid w:val="00393223"/>
    <w:rsid w:val="003A669E"/>
    <w:rsid w:val="003A6B8A"/>
    <w:rsid w:val="003C5594"/>
    <w:rsid w:val="003D3C2E"/>
    <w:rsid w:val="003E1B52"/>
    <w:rsid w:val="003E25C1"/>
    <w:rsid w:val="003E4741"/>
    <w:rsid w:val="003F4A3C"/>
    <w:rsid w:val="00407B78"/>
    <w:rsid w:val="00411E8A"/>
    <w:rsid w:val="004252FB"/>
    <w:rsid w:val="00437DED"/>
    <w:rsid w:val="00455820"/>
    <w:rsid w:val="004568C8"/>
    <w:rsid w:val="004611B5"/>
    <w:rsid w:val="004640AA"/>
    <w:rsid w:val="0047022F"/>
    <w:rsid w:val="004719A0"/>
    <w:rsid w:val="00482156"/>
    <w:rsid w:val="00482CE0"/>
    <w:rsid w:val="0048427D"/>
    <w:rsid w:val="00485214"/>
    <w:rsid w:val="004B1EF5"/>
    <w:rsid w:val="004B40D7"/>
    <w:rsid w:val="004C563C"/>
    <w:rsid w:val="004D0DCE"/>
    <w:rsid w:val="004D15E6"/>
    <w:rsid w:val="004E0461"/>
    <w:rsid w:val="004E763F"/>
    <w:rsid w:val="0050053D"/>
    <w:rsid w:val="00507D96"/>
    <w:rsid w:val="005103B6"/>
    <w:rsid w:val="00510BDF"/>
    <w:rsid w:val="00520D11"/>
    <w:rsid w:val="00524CF7"/>
    <w:rsid w:val="00532237"/>
    <w:rsid w:val="0053273E"/>
    <w:rsid w:val="005370F4"/>
    <w:rsid w:val="00540375"/>
    <w:rsid w:val="0054179A"/>
    <w:rsid w:val="0054461F"/>
    <w:rsid w:val="00547EEF"/>
    <w:rsid w:val="005562F2"/>
    <w:rsid w:val="00556838"/>
    <w:rsid w:val="00557C81"/>
    <w:rsid w:val="00577FEE"/>
    <w:rsid w:val="005810F3"/>
    <w:rsid w:val="0058166E"/>
    <w:rsid w:val="00584967"/>
    <w:rsid w:val="0058663E"/>
    <w:rsid w:val="00590E1D"/>
    <w:rsid w:val="005A5E90"/>
    <w:rsid w:val="005B084B"/>
    <w:rsid w:val="005B0B7E"/>
    <w:rsid w:val="005B308D"/>
    <w:rsid w:val="005B4C45"/>
    <w:rsid w:val="005F0E8F"/>
    <w:rsid w:val="005F2D64"/>
    <w:rsid w:val="00606A4F"/>
    <w:rsid w:val="00611A93"/>
    <w:rsid w:val="00611B44"/>
    <w:rsid w:val="00617242"/>
    <w:rsid w:val="006479E1"/>
    <w:rsid w:val="00650773"/>
    <w:rsid w:val="00652242"/>
    <w:rsid w:val="0067105D"/>
    <w:rsid w:val="006720B2"/>
    <w:rsid w:val="00677EB4"/>
    <w:rsid w:val="00693B1B"/>
    <w:rsid w:val="00697362"/>
    <w:rsid w:val="006B1529"/>
    <w:rsid w:val="006B2158"/>
    <w:rsid w:val="006C17D9"/>
    <w:rsid w:val="006C735A"/>
    <w:rsid w:val="006D0B1E"/>
    <w:rsid w:val="006D2D97"/>
    <w:rsid w:val="006D3A08"/>
    <w:rsid w:val="006D516B"/>
    <w:rsid w:val="006D57BF"/>
    <w:rsid w:val="006E06DD"/>
    <w:rsid w:val="006E2A16"/>
    <w:rsid w:val="006E4AAC"/>
    <w:rsid w:val="006E5645"/>
    <w:rsid w:val="006F6255"/>
    <w:rsid w:val="00707B83"/>
    <w:rsid w:val="00713D7C"/>
    <w:rsid w:val="00727E6C"/>
    <w:rsid w:val="007367F2"/>
    <w:rsid w:val="0078621E"/>
    <w:rsid w:val="00793756"/>
    <w:rsid w:val="007C3E55"/>
    <w:rsid w:val="007E4125"/>
    <w:rsid w:val="0080313B"/>
    <w:rsid w:val="00806640"/>
    <w:rsid w:val="008078AB"/>
    <w:rsid w:val="00820775"/>
    <w:rsid w:val="00820B61"/>
    <w:rsid w:val="008361CD"/>
    <w:rsid w:val="008419E2"/>
    <w:rsid w:val="00843ADC"/>
    <w:rsid w:val="00845551"/>
    <w:rsid w:val="008461D2"/>
    <w:rsid w:val="00850B9C"/>
    <w:rsid w:val="008530BA"/>
    <w:rsid w:val="00853B1D"/>
    <w:rsid w:val="00855382"/>
    <w:rsid w:val="008564CD"/>
    <w:rsid w:val="00862FF8"/>
    <w:rsid w:val="00864BB9"/>
    <w:rsid w:val="0088008E"/>
    <w:rsid w:val="00885802"/>
    <w:rsid w:val="008A218A"/>
    <w:rsid w:val="008B41C0"/>
    <w:rsid w:val="008B5CBE"/>
    <w:rsid w:val="008B7340"/>
    <w:rsid w:val="008C3A13"/>
    <w:rsid w:val="008C41EB"/>
    <w:rsid w:val="008C797A"/>
    <w:rsid w:val="008D33F1"/>
    <w:rsid w:val="008E4C99"/>
    <w:rsid w:val="008E56A7"/>
    <w:rsid w:val="008F30D5"/>
    <w:rsid w:val="008F40E4"/>
    <w:rsid w:val="00903623"/>
    <w:rsid w:val="009039EB"/>
    <w:rsid w:val="00905B0B"/>
    <w:rsid w:val="00907122"/>
    <w:rsid w:val="00907ABE"/>
    <w:rsid w:val="0091692D"/>
    <w:rsid w:val="00935DE6"/>
    <w:rsid w:val="00940FC5"/>
    <w:rsid w:val="009456D0"/>
    <w:rsid w:val="009506D3"/>
    <w:rsid w:val="00963180"/>
    <w:rsid w:val="00964121"/>
    <w:rsid w:val="00970B24"/>
    <w:rsid w:val="009769A4"/>
    <w:rsid w:val="009A2EB0"/>
    <w:rsid w:val="009B041D"/>
    <w:rsid w:val="009B19A9"/>
    <w:rsid w:val="009C6E05"/>
    <w:rsid w:val="009D023B"/>
    <w:rsid w:val="009D072D"/>
    <w:rsid w:val="009D4154"/>
    <w:rsid w:val="009E0D59"/>
    <w:rsid w:val="009E1AE8"/>
    <w:rsid w:val="009F7668"/>
    <w:rsid w:val="00A17D23"/>
    <w:rsid w:val="00A271A9"/>
    <w:rsid w:val="00A3019C"/>
    <w:rsid w:val="00A43AE5"/>
    <w:rsid w:val="00A55D47"/>
    <w:rsid w:val="00A577D4"/>
    <w:rsid w:val="00A75A8B"/>
    <w:rsid w:val="00A9508B"/>
    <w:rsid w:val="00AB08E0"/>
    <w:rsid w:val="00AC0D84"/>
    <w:rsid w:val="00AC35FB"/>
    <w:rsid w:val="00AD1672"/>
    <w:rsid w:val="00AD1E4B"/>
    <w:rsid w:val="00AD296B"/>
    <w:rsid w:val="00AD3BC6"/>
    <w:rsid w:val="00AD6B34"/>
    <w:rsid w:val="00AE6893"/>
    <w:rsid w:val="00AF5DDC"/>
    <w:rsid w:val="00AF6094"/>
    <w:rsid w:val="00B02D46"/>
    <w:rsid w:val="00B02D6D"/>
    <w:rsid w:val="00B218AB"/>
    <w:rsid w:val="00B21CB1"/>
    <w:rsid w:val="00B236DD"/>
    <w:rsid w:val="00B24A00"/>
    <w:rsid w:val="00B46418"/>
    <w:rsid w:val="00B55A8A"/>
    <w:rsid w:val="00B803E3"/>
    <w:rsid w:val="00B900D2"/>
    <w:rsid w:val="00BC3FD8"/>
    <w:rsid w:val="00BC5853"/>
    <w:rsid w:val="00BD6D72"/>
    <w:rsid w:val="00BE48E2"/>
    <w:rsid w:val="00BF6B78"/>
    <w:rsid w:val="00C071DF"/>
    <w:rsid w:val="00C24BA6"/>
    <w:rsid w:val="00C40A3A"/>
    <w:rsid w:val="00C4283A"/>
    <w:rsid w:val="00C450FE"/>
    <w:rsid w:val="00C47D6B"/>
    <w:rsid w:val="00C5222B"/>
    <w:rsid w:val="00C72834"/>
    <w:rsid w:val="00C81FA3"/>
    <w:rsid w:val="00C836EE"/>
    <w:rsid w:val="00C84942"/>
    <w:rsid w:val="00C962F9"/>
    <w:rsid w:val="00C97AFA"/>
    <w:rsid w:val="00CA0ECF"/>
    <w:rsid w:val="00CB3EB0"/>
    <w:rsid w:val="00CB523D"/>
    <w:rsid w:val="00CD6C43"/>
    <w:rsid w:val="00CE5024"/>
    <w:rsid w:val="00CF2E4A"/>
    <w:rsid w:val="00D013CC"/>
    <w:rsid w:val="00D03EED"/>
    <w:rsid w:val="00D13046"/>
    <w:rsid w:val="00D26789"/>
    <w:rsid w:val="00D320CC"/>
    <w:rsid w:val="00D36983"/>
    <w:rsid w:val="00D36A2D"/>
    <w:rsid w:val="00D40E94"/>
    <w:rsid w:val="00D4374F"/>
    <w:rsid w:val="00D53A2C"/>
    <w:rsid w:val="00D7283E"/>
    <w:rsid w:val="00D8507D"/>
    <w:rsid w:val="00D948F4"/>
    <w:rsid w:val="00D95FB8"/>
    <w:rsid w:val="00DA0D76"/>
    <w:rsid w:val="00DA1648"/>
    <w:rsid w:val="00DB372D"/>
    <w:rsid w:val="00DD1C72"/>
    <w:rsid w:val="00DD2FE1"/>
    <w:rsid w:val="00DD7CFF"/>
    <w:rsid w:val="00DE2C1F"/>
    <w:rsid w:val="00DF7BA8"/>
    <w:rsid w:val="00E023CD"/>
    <w:rsid w:val="00E033C9"/>
    <w:rsid w:val="00E04941"/>
    <w:rsid w:val="00E268CB"/>
    <w:rsid w:val="00E30F00"/>
    <w:rsid w:val="00E3168F"/>
    <w:rsid w:val="00E33977"/>
    <w:rsid w:val="00E35541"/>
    <w:rsid w:val="00E35C67"/>
    <w:rsid w:val="00E36B5C"/>
    <w:rsid w:val="00E40863"/>
    <w:rsid w:val="00E4664C"/>
    <w:rsid w:val="00E5442A"/>
    <w:rsid w:val="00E65C74"/>
    <w:rsid w:val="00E67083"/>
    <w:rsid w:val="00E754D7"/>
    <w:rsid w:val="00E774C2"/>
    <w:rsid w:val="00E8039E"/>
    <w:rsid w:val="00E80759"/>
    <w:rsid w:val="00E8424E"/>
    <w:rsid w:val="00E86FAE"/>
    <w:rsid w:val="00E8758E"/>
    <w:rsid w:val="00E90D68"/>
    <w:rsid w:val="00E96F17"/>
    <w:rsid w:val="00EA5771"/>
    <w:rsid w:val="00EB193A"/>
    <w:rsid w:val="00EB3357"/>
    <w:rsid w:val="00EB3728"/>
    <w:rsid w:val="00EB79E9"/>
    <w:rsid w:val="00EC1A89"/>
    <w:rsid w:val="00ED248C"/>
    <w:rsid w:val="00EE0410"/>
    <w:rsid w:val="00EE3B2D"/>
    <w:rsid w:val="00EF5BB3"/>
    <w:rsid w:val="00F166F5"/>
    <w:rsid w:val="00F16CEA"/>
    <w:rsid w:val="00F24469"/>
    <w:rsid w:val="00F43A32"/>
    <w:rsid w:val="00F46524"/>
    <w:rsid w:val="00F712A2"/>
    <w:rsid w:val="00F8392F"/>
    <w:rsid w:val="00F958D6"/>
    <w:rsid w:val="00FB090D"/>
    <w:rsid w:val="00FB2EC4"/>
    <w:rsid w:val="00FB3861"/>
    <w:rsid w:val="00FC16AC"/>
    <w:rsid w:val="00FC3A3C"/>
    <w:rsid w:val="00FC582E"/>
    <w:rsid w:val="00FD0B94"/>
    <w:rsid w:val="00FD5284"/>
    <w:rsid w:val="00FD64C1"/>
    <w:rsid w:val="00FF5B51"/>
    <w:rsid w:val="00FF672A"/>
    <w:rsid w:val="00FF6C0E"/>
    <w:rsid w:val="00FF6D3F"/>
    <w:rsid w:val="660BB230"/>
  </w:rsids>
  <w:docVars>
    <w:docVar w:name="beskyttet" w:val="nei"/>
    <w:docVar w:name="docver" w:val="2.20"/>
    <w:docVar w:name="ek_dbfields" w:val="EK_Avdeling¤2#4¤2#[Avdeling]¤3#EK_Avsnitt¤2#4¤2#[Avsnitt]¤3#EK_Bedriftsnavn¤2#1¤2#Helse Bergen¤3#EK_GjelderFra¤2#0¤2#[GjelderFra]¤3#EK_KlGjelderFra¤2#0¤2#[KlGjelderFra]¤3#EK_Opprettet¤2#0¤2#[Opprettet]¤3#EK_Utgitt¤2#0¤2#[Utgitt]¤3#EK_IBrukDato¤2#0¤2#[Endret]¤3#EK_DokumentID¤2#0¤2#[ID]¤3#EK_DokTittel¤2#0¤2#HBHF Generell/standard mal Helse Bergen¤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ansvarlig" w:val="[Dok.ansvarlig]"/>
    <w:docVar w:name="ek_doktittel" w:val="HBHF Generell/standard mal Helse Bergen"/>
    <w:docVar w:name="ek_dokumentid" w:val="[ID]"/>
    <w:docVar w:name="ek_eksref" w:val="[EK_EksRef]"/>
    <w:docVar w:name="ek_endrfields" w:val="EK_Rapport¤1#"/>
    <w:docVar w:name="ek_format" w:val="-10"/>
    <w:docVar w:name="ek_gjelderfra" w:val="[GjelderFra]"/>
    <w:docVar w:name="ek_gjeldertil" w:val="[GyldigTil]"/>
    <w:docVar w:name="ek_klgjelderfra" w:val="[KlGjelderFra]"/>
    <w:docVar w:name="ek_merknad" w:val="antifibrotisk behandling"/>
    <w:docVar w:name="ek_protection" w:val="0"/>
    <w:docVar w:name="ek_rapport" w:val="[Tilknyttet rapport]"/>
    <w:docVar w:name="ek_referanse" w:val="[EK_Referanse]"/>
    <w:docVar w:name="ek_superstikkord" w:val="[SuperStikkord]"/>
    <w:docVar w:name="ek_type" w:val="MAL"/>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B3E9AD0"/>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41"/>
    <w:rPr>
      <w:rFonts w:asciiTheme="minorHAnsi" w:hAnsiTheme="minorHAnsi"/>
      <w:sz w:val="22"/>
    </w:rPr>
  </w:style>
  <w:style w:type="paragraph" w:styleId="Heading1">
    <w:name w:val="heading 1"/>
    <w:basedOn w:val="Normal"/>
    <w:next w:val="Normal"/>
    <w:autoRedefine/>
    <w:qFormat/>
    <w:rsid w:val="00066A58"/>
    <w:pPr>
      <w:numPr>
        <w:numId w:val="16"/>
      </w:numPr>
      <w:ind w:left="431" w:hanging="431"/>
      <w:outlineLvl w:val="0"/>
    </w:pPr>
    <w:rPr>
      <w:b/>
      <w:sz w:val="28"/>
    </w:rPr>
  </w:style>
  <w:style w:type="paragraph" w:styleId="Heading2">
    <w:name w:val="heading 2"/>
    <w:basedOn w:val="Normal"/>
    <w:next w:val="Normal"/>
    <w:autoRedefine/>
    <w:qFormat/>
    <w:rsid w:val="00066A58"/>
    <w:pPr>
      <w:numPr>
        <w:ilvl w:val="1"/>
        <w:numId w:val="16"/>
      </w:numPr>
      <w:ind w:left="397" w:hanging="397"/>
      <w:outlineLvl w:val="1"/>
    </w:pPr>
  </w:style>
  <w:style w:type="paragraph" w:styleId="Heading3">
    <w:name w:val="heading 3"/>
    <w:basedOn w:val="Normal"/>
    <w:next w:val="Normal"/>
    <w:autoRedefine/>
    <w:qFormat/>
    <w:rsid w:val="00066A58"/>
    <w:pPr>
      <w:numPr>
        <w:ilvl w:val="2"/>
        <w:numId w:val="16"/>
      </w:numPr>
      <w:tabs>
        <w:tab w:val="num" w:pos="703"/>
      </w:tabs>
      <w:ind w:left="567" w:hanging="567"/>
      <w:outlineLvl w:val="2"/>
    </w:pPr>
    <w:rPr>
      <w:i/>
    </w:r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gn"/>
    <w:semiHidde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BunntekstTegn"/>
    <w:uiPriority w:val="99"/>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1"/>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spacing w:line="259" w:lineRule="auto"/>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semiHidden/>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gn">
    <w:name w:val="Overskrift 5 Teg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character" w:customStyle="1" w:styleId="BunntekstTegn">
    <w:name w:val="Bunntekst Tegn"/>
    <w:basedOn w:val="DefaultParagraphFont"/>
    <w:link w:val="Footer"/>
    <w:uiPriority w:val="99"/>
    <w:rsid w:val="001751E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3.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H:\OFFICE97\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43A0-598F-4EC9-9EB0-3D8AF99D99D1}">
  <ds:schemaRefs>
    <ds:schemaRef ds:uri="http://schemas.openxmlformats.org/officeDocument/2006/bibliography"/>
  </ds:schemaRefs>
</ds:datastoreItem>
</file>

<file path=docMetadata/LabelInfo.xml><?xml version="1.0" encoding="utf-8"?>
<clbl:labelList xmlns:clbl="http://schemas.microsoft.com/office/2020/mipLabelMetadata">
  <clbl:label id="{0c3ffc1c-ef00-4620-9c2f-7d9c1597774b}" enabled="1" method="Standard" siteId="{bdcbe535-f3cf-49f5-8a6a-fb6d98dc7837}" contentBits="2" removed="0"/>
</clbl:labelList>
</file>

<file path=docProps/app.xml><?xml version="1.0" encoding="utf-8"?>
<Properties xmlns="http://schemas.openxmlformats.org/officeDocument/2006/extended-properties" xmlns:vt="http://schemas.openxmlformats.org/officeDocument/2006/docPropsVTypes">
  <Template>OPERATIV_EK3TEMPDISABLED</Template>
  <TotalTime>6</TotalTime>
  <Pages>7</Pages>
  <Words>883</Words>
  <Characters>5096</Characters>
  <Application>Microsoft Office Word</Application>
  <DocSecurity>0</DocSecurity>
  <Lines>42</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HBHF Generell/standard mal Helse Bergen</vt:lpstr>
      <vt:lpstr>HBHF-mal - stående</vt:lpstr>
    </vt:vector>
  </TitlesOfParts>
  <Company>Datakvalitet</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Informasjon til deg som mottar antifibrotisk behandling med pirfenidon eller nintedanib</dc:title>
  <dc:subject>000302|[RefNr]|</dc:subject>
  <dc:creator>Handbok</dc:creator>
  <cp:lastModifiedBy>Dale, Solveig Margrethe</cp:lastModifiedBy>
  <cp:revision>5</cp:revision>
  <cp:lastPrinted>2006-09-07T08:52:00Z</cp:lastPrinted>
  <dcterms:created xsi:type="dcterms:W3CDTF">2021-12-08T08:43:00Z</dcterms:created>
  <dcterms:modified xsi:type="dcterms:W3CDTF">2026-06-15T06:54:00Z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249760d3,27ae3352,365384f7</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Informasjon til deg som mottar antifibrotisk behandling med pirfenidon eller nintedanib</vt:lpwstr>
  </property>
  <property fmtid="{D5CDD505-2E9C-101B-9397-08002B2CF9AE}" pid="7" name="EK_DokType">
    <vt:lpwstr>Informasjon</vt:lpwstr>
  </property>
  <property fmtid="{D5CDD505-2E9C-101B-9397-08002B2CF9AE}" pid="8" name="EK_DokumentID">
    <vt:lpwstr>D84866</vt:lpwstr>
  </property>
  <property fmtid="{D5CDD505-2E9C-101B-9397-08002B2CF9AE}" pid="9" name="EK_EKPrintMerke">
    <vt:lpwstr>Uoffisiell utskrift er kun gyldig på utskriftsdato</vt:lpwstr>
  </property>
  <property fmtid="{D5CDD505-2E9C-101B-9397-08002B2CF9AE}" pid="10" name="EK_GjelderFra">
    <vt:lpwstr>15.06.2026</vt:lpwstr>
  </property>
  <property fmtid="{D5CDD505-2E9C-101B-9397-08002B2CF9AE}" pid="11" name="EK_GjelderTil">
    <vt:lpwstr>15.06.2028</vt:lpwstr>
  </property>
  <property fmtid="{D5CDD505-2E9C-101B-9397-08002B2CF9AE}" pid="12" name="EK_Merknad">
    <vt:lpwstr>[Merknad]</vt:lpwstr>
  </property>
  <property fmtid="{D5CDD505-2E9C-101B-9397-08002B2CF9AE}" pid="13" name="EK_RefNr">
    <vt:lpwstr>14.2.11-25</vt:lpwstr>
  </property>
  <property fmtid="{D5CDD505-2E9C-101B-9397-08002B2CF9AE}" pid="14" name="EK_S00MT1">
    <vt:lpwstr>Helse Bergen HF/Lungeavdelingen</vt:lpwstr>
  </property>
  <property fmtid="{D5CDD505-2E9C-101B-9397-08002B2CF9AE}" pid="15" name="EK_S01MT3">
    <vt:lpwstr>Pasientbehandling/Pasientinformasjon</vt:lpwstr>
  </property>
  <property fmtid="{D5CDD505-2E9C-101B-9397-08002B2CF9AE}" pid="16" name="EK_Signatur">
    <vt:lpwstr>Dale, Solveig Margrethe</vt:lpwstr>
  </property>
  <property fmtid="{D5CDD505-2E9C-101B-9397-08002B2CF9AE}" pid="17" name="EK_UText1">
    <vt:lpwstr>Tangedal Solveig, Øyhovden, Julie</vt:lpwstr>
  </property>
  <property fmtid="{D5CDD505-2E9C-101B-9397-08002B2CF9AE}" pid="18" name="EK_Utgave">
    <vt:lpwstr>1.00</vt:lpwstr>
  </property>
  <property fmtid="{D5CDD505-2E9C-101B-9397-08002B2CF9AE}" pid="19" name="EK_Watermark">
    <vt:lpwstr>Vannmerke</vt:lpwstr>
  </property>
  <property fmtid="{D5CDD505-2E9C-101B-9397-08002B2CF9AE}" pid="20" name="MSIP_Label_0c3ffc1c-ef00-4620-9c2f-7d9c1597774b_ActionId">
    <vt:lpwstr>dd6bccfe-a3c0-4ea3-a07e-6feb2b3f5d6c</vt:lpwstr>
  </property>
  <property fmtid="{D5CDD505-2E9C-101B-9397-08002B2CF9AE}" pid="21" name="MSIP_Label_0c3ffc1c-ef00-4620-9c2f-7d9c1597774b_ContentBits">
    <vt:lpwstr>2</vt:lpwstr>
  </property>
  <property fmtid="{D5CDD505-2E9C-101B-9397-08002B2CF9AE}" pid="22" name="MSIP_Label_0c3ffc1c-ef00-4620-9c2f-7d9c1597774b_Enabled">
    <vt:lpwstr>true</vt:lpwstr>
  </property>
  <property fmtid="{D5CDD505-2E9C-101B-9397-08002B2CF9AE}" pid="23" name="MSIP_Label_0c3ffc1c-ef00-4620-9c2f-7d9c1597774b_Method">
    <vt:lpwstr>Standard</vt:lpwstr>
  </property>
  <property fmtid="{D5CDD505-2E9C-101B-9397-08002B2CF9AE}" pid="24" name="MSIP_Label_0c3ffc1c-ef00-4620-9c2f-7d9c1597774b_Name">
    <vt:lpwstr>Intern</vt:lpwstr>
  </property>
  <property fmtid="{D5CDD505-2E9C-101B-9397-08002B2CF9AE}" pid="25" name="MSIP_Label_0c3ffc1c-ef00-4620-9c2f-7d9c1597774b_SetDate">
    <vt:lpwstr>2025-01-20T12:39:11Z</vt:lpwstr>
  </property>
  <property fmtid="{D5CDD505-2E9C-101B-9397-08002B2CF9AE}" pid="26" name="MSIP_Label_0c3ffc1c-ef00-4620-9c2f-7d9c1597774b_SiteId">
    <vt:lpwstr>bdcbe535-f3cf-49f5-8a6a-fb6d98dc7837</vt:lpwstr>
  </property>
</Properties>
</file>