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 Id="rId6"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p w:rsidR="00DE417E" w:rsidP="00DE417E" w14:paraId="78AF0E45" w14:textId="68B70B7F">
      <w:pPr>
        <w:pStyle w:val="Subtitle"/>
        <w:spacing w:before="360"/>
        <w:rPr>
          <w:rFonts w:ascii="Calibri" w:hAnsi="Calibri" w:cs="Calibri"/>
          <w:color w:val="2E74B5"/>
          <w:sz w:val="36"/>
        </w:rPr>
      </w:pPr>
      <w:r w:rsidRPr="0048021B">
        <w:rPr>
          <w:rFonts w:ascii="Calibri" w:hAnsi="Calibri" w:cs="Calibri"/>
          <w:color w:val="2E74B5"/>
          <w:sz w:val="36"/>
        </w:rPr>
        <w:t>Retningslinje for anestesi, pre-, per- og postoperativ oppfølging for pasienter som har eller er genetisk disponert for akutte porfyrisykdommer</w:t>
      </w:r>
    </w:p>
    <w:p w:rsidR="00DE417E" w:rsidRPr="009D4DFC" w:rsidP="00DE417E" w14:paraId="060D9BAD" w14:textId="77777777">
      <w:pPr>
        <w:rPr>
          <w:rFonts w:ascii="Calibri" w:hAnsi="Calibri" w:cs="Calibri"/>
          <w:bCs/>
          <w:color w:val="252525"/>
          <w:szCs w:val="27"/>
        </w:rPr>
      </w:pPr>
      <w:r w:rsidRPr="009D4DFC">
        <w:rPr>
          <w:rFonts w:ascii="Calibri" w:hAnsi="Calibri" w:cs="Calibri"/>
          <w:bCs/>
          <w:color w:val="252525"/>
          <w:szCs w:val="27"/>
        </w:rPr>
        <w:t xml:space="preserve">Flere anestesimidler og andre legemidler kan utløse akutte porfyrianfall hos personer med symptomatisk eller genetisk disposisjon for akutt porfyrisykdom (AIP, PV og HCP). </w:t>
      </w:r>
    </w:p>
    <w:p w:rsidR="00DE417E" w:rsidRPr="009D4DFC" w:rsidP="00DE417E" w14:paraId="25C84BC6" w14:textId="77777777">
      <w:pPr>
        <w:rPr>
          <w:rFonts w:ascii="Calibri" w:hAnsi="Calibri" w:cs="Calibri"/>
          <w:bCs/>
          <w:color w:val="252525"/>
          <w:szCs w:val="27"/>
        </w:rPr>
      </w:pPr>
      <w:r w:rsidRPr="009D4DFC">
        <w:rPr>
          <w:rFonts w:ascii="Calibri" w:hAnsi="Calibri" w:cs="Calibri"/>
          <w:bCs/>
          <w:color w:val="252525"/>
          <w:szCs w:val="27"/>
        </w:rPr>
        <w:t>Alle legemidler må derfor vurderes med hensyn til om de er utrygge (porfyrinogene). Pasientene må i tillegg følges opp både pre-, per- og postoperativt i henhold til anbefalinger om oppfølging beskrevet i denne retningslinjen.</w:t>
      </w:r>
    </w:p>
    <w:p w:rsidR="00DE417E" w:rsidRPr="0048021B" w:rsidP="00DE417E" w14:paraId="100FB064" w14:textId="77777777">
      <w:pPr>
        <w:pStyle w:val="Subtitle"/>
        <w:rPr>
          <w:sz w:val="24"/>
          <w:szCs w:val="24"/>
        </w:rPr>
      </w:pPr>
    </w:p>
    <w:p w:rsidR="00DE417E" w:rsidRPr="00FA58A9" w:rsidP="00DE417E" w14:paraId="44EEAE6A" w14:textId="77777777">
      <w:pPr>
        <w:pStyle w:val="Subtitle"/>
        <w:rPr>
          <w:rFonts w:ascii="Calibri" w:hAnsi="Calibri" w:cs="Calibri"/>
          <w:szCs w:val="28"/>
        </w:rPr>
      </w:pPr>
      <w:r w:rsidRPr="00FA58A9">
        <w:rPr>
          <w:rFonts w:ascii="Calibri" w:hAnsi="Calibri" w:cs="Calibri"/>
          <w:szCs w:val="28"/>
        </w:rPr>
        <w:t>Hvilke porfyrisykdommer gjelder denne retningslinjen for?</w:t>
      </w:r>
    </w:p>
    <w:p w:rsidR="00DE417E" w:rsidRPr="00FA58A9" w:rsidP="00DE417E" w14:paraId="13A5FA4B" w14:textId="77777777">
      <w:pPr>
        <w:pStyle w:val="Subtitle"/>
        <w:rPr>
          <w:rFonts w:ascii="Calibri" w:hAnsi="Calibri" w:cs="Calibri"/>
          <w:b w:val="0"/>
          <w:bCs/>
          <w:sz w:val="24"/>
          <w:szCs w:val="24"/>
        </w:rPr>
      </w:pPr>
      <w:r w:rsidRPr="00FA58A9">
        <w:rPr>
          <w:rFonts w:ascii="Calibri" w:hAnsi="Calibri" w:cs="Calibri"/>
          <w:b w:val="0"/>
          <w:bCs/>
          <w:sz w:val="24"/>
          <w:szCs w:val="24"/>
        </w:rPr>
        <w:t>Retningslinjen gjelder for personer som har fått diagnostisert eller ved prediktiv testing påvist genetisk disposisjon for:</w:t>
      </w:r>
    </w:p>
    <w:p w:rsidR="00DE417E" w:rsidRPr="00FA58A9" w:rsidP="00DE417E" w14:paraId="617FC44B" w14:textId="77777777">
      <w:pPr>
        <w:pStyle w:val="Subtitle"/>
        <w:numPr>
          <w:ilvl w:val="0"/>
          <w:numId w:val="44"/>
        </w:numPr>
        <w:rPr>
          <w:rFonts w:ascii="Calibri" w:hAnsi="Calibri" w:cs="Calibri"/>
          <w:b w:val="0"/>
          <w:bCs/>
          <w:sz w:val="24"/>
          <w:szCs w:val="24"/>
        </w:rPr>
      </w:pPr>
      <w:r>
        <w:rPr>
          <w:rFonts w:ascii="Calibri" w:hAnsi="Calibri" w:cs="Calibri"/>
          <w:b w:val="0"/>
          <w:bCs/>
          <w:sz w:val="24"/>
          <w:szCs w:val="24"/>
        </w:rPr>
        <w:t>a</w:t>
      </w:r>
      <w:r w:rsidRPr="00FA58A9">
        <w:rPr>
          <w:rFonts w:ascii="Calibri" w:hAnsi="Calibri" w:cs="Calibri"/>
          <w:b w:val="0"/>
          <w:bCs/>
          <w:sz w:val="24"/>
          <w:szCs w:val="24"/>
        </w:rPr>
        <w:t>kutt intermitterende porfyri (AIP)</w:t>
      </w:r>
    </w:p>
    <w:p w:rsidR="00DE417E" w:rsidRPr="00FA58A9" w:rsidP="00DE417E" w14:paraId="7D9A6229" w14:textId="77777777">
      <w:pPr>
        <w:pStyle w:val="Subtitle"/>
        <w:numPr>
          <w:ilvl w:val="0"/>
          <w:numId w:val="44"/>
        </w:numPr>
        <w:rPr>
          <w:rFonts w:ascii="Calibri" w:hAnsi="Calibri" w:cs="Calibri"/>
          <w:b w:val="0"/>
          <w:bCs/>
          <w:sz w:val="24"/>
          <w:szCs w:val="24"/>
          <w:lang w:val="nn-NO"/>
        </w:rPr>
      </w:pPr>
      <w:r>
        <w:rPr>
          <w:rFonts w:ascii="Calibri" w:hAnsi="Calibri" w:cs="Calibri"/>
          <w:b w:val="0"/>
          <w:bCs/>
          <w:sz w:val="24"/>
          <w:szCs w:val="24"/>
          <w:lang w:val="nn-NO"/>
        </w:rPr>
        <w:t>porphyria variegata (PV)</w:t>
      </w:r>
    </w:p>
    <w:p w:rsidR="00DE417E" w:rsidRPr="00FA58A9" w:rsidP="00DE417E" w14:paraId="26B4B4D5" w14:textId="77777777">
      <w:pPr>
        <w:pStyle w:val="Subtitle"/>
        <w:numPr>
          <w:ilvl w:val="0"/>
          <w:numId w:val="44"/>
        </w:numPr>
        <w:rPr>
          <w:rFonts w:ascii="Calibri" w:hAnsi="Calibri" w:cs="Calibri"/>
          <w:b w:val="0"/>
          <w:bCs/>
          <w:sz w:val="24"/>
          <w:szCs w:val="24"/>
        </w:rPr>
      </w:pPr>
      <w:r>
        <w:rPr>
          <w:rFonts w:ascii="Calibri" w:hAnsi="Calibri" w:cs="Calibri"/>
          <w:b w:val="0"/>
          <w:bCs/>
          <w:sz w:val="24"/>
          <w:szCs w:val="24"/>
        </w:rPr>
        <w:t>h</w:t>
      </w:r>
      <w:r w:rsidRPr="00FA58A9">
        <w:rPr>
          <w:rFonts w:ascii="Calibri" w:hAnsi="Calibri" w:cs="Calibri"/>
          <w:b w:val="0"/>
          <w:bCs/>
          <w:sz w:val="24"/>
          <w:szCs w:val="24"/>
        </w:rPr>
        <w:t>ereditær koproporfyri (HCP)</w:t>
      </w:r>
    </w:p>
    <w:p w:rsidR="00DE417E" w:rsidRPr="00FA58A9" w:rsidP="00DE417E" w14:paraId="7D8A259E" w14:textId="0F0B6009">
      <w:pPr>
        <w:pStyle w:val="Subtitle"/>
        <w:rPr>
          <w:rFonts w:ascii="Calibri" w:hAnsi="Calibri" w:cs="Calibri"/>
          <w:b w:val="0"/>
          <w:sz w:val="24"/>
          <w:szCs w:val="24"/>
        </w:rPr>
      </w:pPr>
      <w:r>
        <w:rPr>
          <w:rFonts w:ascii="Calibri" w:hAnsi="Calibri" w:cs="Calibri"/>
          <w:b w:val="0"/>
          <w:bCs/>
          <w:sz w:val="24"/>
          <w:szCs w:val="24"/>
        </w:rPr>
        <w:t>Napos</w:t>
      </w:r>
      <w:r w:rsidRPr="00FA58A9">
        <w:rPr>
          <w:rFonts w:ascii="Calibri" w:hAnsi="Calibri" w:cs="Calibri"/>
          <w:b w:val="0"/>
          <w:bCs/>
          <w:sz w:val="24"/>
          <w:szCs w:val="24"/>
        </w:rPr>
        <w:t xml:space="preserve"> utsteder et offisielt ID-kort som bekrefter diagnosen.</w:t>
      </w:r>
      <w:r w:rsidRPr="00FA58A9">
        <w:rPr>
          <w:rFonts w:ascii="Calibri" w:hAnsi="Calibri" w:cs="Calibri"/>
        </w:rPr>
        <w:t xml:space="preserve"> </w:t>
      </w:r>
      <w:r w:rsidRPr="00FA58A9">
        <w:rPr>
          <w:rFonts w:ascii="Calibri" w:hAnsi="Calibri" w:cs="Calibri"/>
          <w:b w:val="0"/>
          <w:bCs/>
          <w:sz w:val="24"/>
          <w:szCs w:val="24"/>
        </w:rPr>
        <w:t>Informasjon om at pasienten har en akutt porfyrisykdom kan også i no</w:t>
      </w:r>
      <w:r>
        <w:rPr>
          <w:rFonts w:ascii="Calibri" w:hAnsi="Calibri" w:cs="Calibri"/>
          <w:b w:val="0"/>
          <w:bCs/>
          <w:sz w:val="24"/>
          <w:szCs w:val="24"/>
        </w:rPr>
        <w:t>en tilfeller være registrert i k</w:t>
      </w:r>
      <w:r w:rsidRPr="00FA58A9">
        <w:rPr>
          <w:rFonts w:ascii="Calibri" w:hAnsi="Calibri" w:cs="Calibri"/>
          <w:b w:val="0"/>
          <w:bCs/>
          <w:sz w:val="24"/>
          <w:szCs w:val="24"/>
        </w:rPr>
        <w:t>jernejournal under fanen kritisk informasjon. I tillegg bør ennå ikke undersøkte personer med berettiget mistanke om disposisjon for akutt porfyrisykdom behandles i henhold til denne retningslinjen.</w:t>
      </w:r>
    </w:p>
    <w:p w:rsidR="00DE417E" w:rsidRPr="0048021B" w:rsidP="00DE417E" w14:paraId="37D22139" w14:textId="77777777">
      <w:pPr>
        <w:pStyle w:val="Subtitle"/>
        <w:rPr>
          <w:rFonts w:ascii="Calibri" w:hAnsi="Calibri" w:cs="Calibri"/>
          <w:sz w:val="20"/>
        </w:rPr>
      </w:pPr>
    </w:p>
    <w:p w:rsidR="00DE417E" w:rsidRPr="00FA58A9" w:rsidP="00DE417E" w14:paraId="1351673E" w14:textId="77777777">
      <w:pPr>
        <w:pStyle w:val="Subtitle"/>
        <w:rPr>
          <w:rFonts w:ascii="Calibri" w:hAnsi="Calibri" w:cs="Calibri"/>
          <w:szCs w:val="28"/>
        </w:rPr>
      </w:pPr>
      <w:r w:rsidRPr="00FA58A9">
        <w:rPr>
          <w:rFonts w:ascii="Calibri" w:hAnsi="Calibri" w:cs="Calibri"/>
          <w:szCs w:val="28"/>
        </w:rPr>
        <w:t>Pasient med diagnostisert genetisk disposisjon for akutt porfyrisykdom: Har tidligere fravær av porfyrisymptomer betydning for valg av anestesi?</w:t>
      </w:r>
    </w:p>
    <w:p w:rsidR="00DE417E" w:rsidRPr="00FA58A9" w:rsidP="00DE417E" w14:paraId="34F27FB4" w14:textId="77777777">
      <w:pPr>
        <w:pStyle w:val="Subtitle"/>
        <w:rPr>
          <w:rFonts w:ascii="Calibri" w:hAnsi="Calibri" w:cs="Calibri"/>
          <w:b w:val="0"/>
          <w:sz w:val="24"/>
        </w:rPr>
      </w:pPr>
      <w:r w:rsidRPr="00FA58A9">
        <w:rPr>
          <w:rFonts w:ascii="Calibri" w:hAnsi="Calibri" w:cs="Calibri"/>
          <w:b w:val="0"/>
          <w:sz w:val="24"/>
        </w:rPr>
        <w:t xml:space="preserve">Både for pasienter med aktiv akutt porfyrisykdom (har tidligere hatt ett eller flere kliniske anfall) og </w:t>
      </w:r>
      <w:r w:rsidRPr="00FA58A9">
        <w:rPr>
          <w:rFonts w:ascii="Calibri" w:hAnsi="Calibri" w:cs="Calibri"/>
          <w:b w:val="0"/>
          <w:sz w:val="24"/>
          <w:u w:val="single"/>
        </w:rPr>
        <w:t>latent</w:t>
      </w:r>
      <w:r w:rsidRPr="00FA58A9">
        <w:rPr>
          <w:rFonts w:ascii="Calibri" w:hAnsi="Calibri" w:cs="Calibri"/>
          <w:b w:val="0"/>
          <w:sz w:val="24"/>
        </w:rPr>
        <w:t xml:space="preserve"> akutt porfyrisykdom (har tidligere ikke hatt kliniske anfall, men har ved prediktiv test fått påvist genetisk disposisjon (mutasjon) for sykdommen), skal disse retningslinjene følges.</w:t>
      </w:r>
    </w:p>
    <w:p w:rsidR="00DE417E" w:rsidRPr="0048021B" w:rsidP="00DE417E" w14:paraId="5619EF7C" w14:textId="77777777">
      <w:pPr>
        <w:pStyle w:val="Subtitle"/>
        <w:rPr>
          <w:rFonts w:ascii="Calibri" w:hAnsi="Calibri" w:cs="Calibri"/>
          <w:b w:val="0"/>
          <w:sz w:val="20"/>
        </w:rPr>
      </w:pPr>
    </w:p>
    <w:p w:rsidR="00DE417E" w:rsidRPr="00FA58A9" w:rsidP="00DE417E" w14:paraId="3C0552BF" w14:textId="77777777">
      <w:pPr>
        <w:pStyle w:val="Subtitle"/>
        <w:rPr>
          <w:rFonts w:ascii="Calibri" w:hAnsi="Calibri" w:cs="Calibri"/>
        </w:rPr>
      </w:pPr>
      <w:r w:rsidRPr="00FA58A9">
        <w:rPr>
          <w:rFonts w:ascii="Calibri" w:hAnsi="Calibri" w:cs="Calibri"/>
        </w:rPr>
        <w:t>Berettiget mistanke om akutt porfyrisykdom – ikke undersøkt pasient:</w:t>
      </w:r>
    </w:p>
    <w:p w:rsidR="00DE417E" w:rsidP="00DE417E" w14:paraId="3344360A" w14:textId="59CED916">
      <w:pPr>
        <w:pStyle w:val="Subtitle"/>
        <w:rPr>
          <w:rFonts w:ascii="Calibri" w:hAnsi="Calibri" w:cs="Calibri"/>
          <w:b w:val="0"/>
          <w:sz w:val="24"/>
        </w:rPr>
      </w:pPr>
      <w:r w:rsidRPr="00FA58A9">
        <w:rPr>
          <w:rFonts w:ascii="Calibri" w:hAnsi="Calibri" w:cs="Calibri"/>
          <w:b w:val="0"/>
          <w:sz w:val="24"/>
        </w:rPr>
        <w:t xml:space="preserve">En person som ut fra familieanamnese har risiko for å være genetisk disponert for akutt porfyrisykdom, men som ikke har vært diagnostisk utredet, bør i anestesisammenheng som et føre var prinsipp, behandles i henhold til anbefalinger. Ved elektive inngrep bør en tilstrebe å få en diagnostisk avklaring av porfyrispørsmålet i forkant, ta kontakt med </w:t>
      </w:r>
      <w:r w:rsidR="0006485E">
        <w:rPr>
          <w:rFonts w:ascii="Calibri" w:hAnsi="Calibri" w:cs="Calibri"/>
          <w:b w:val="0"/>
          <w:sz w:val="24"/>
        </w:rPr>
        <w:t>Napos</w:t>
      </w:r>
      <w:r w:rsidRPr="00FA58A9">
        <w:rPr>
          <w:rFonts w:ascii="Calibri" w:hAnsi="Calibri" w:cs="Calibri"/>
          <w:b w:val="0"/>
          <w:sz w:val="24"/>
        </w:rPr>
        <w:t xml:space="preserve"> for dette.</w:t>
      </w:r>
    </w:p>
    <w:p w:rsidR="00DE417E" w:rsidRPr="0048021B" w:rsidP="00DE417E" w14:paraId="5AD9F081" w14:textId="77777777">
      <w:pPr>
        <w:pStyle w:val="Subtitle"/>
        <w:rPr>
          <w:rFonts w:ascii="Calibri" w:hAnsi="Calibri" w:cs="Calibri"/>
          <w:b w:val="0"/>
          <w:sz w:val="20"/>
        </w:rPr>
      </w:pPr>
    </w:p>
    <w:p w:rsidR="00DE417E" w:rsidRPr="00FA58A9" w:rsidP="00DE417E" w14:paraId="75EC5AA7" w14:textId="77777777">
      <w:pPr>
        <w:pStyle w:val="Subtitle"/>
        <w:rPr>
          <w:rFonts w:ascii="Calibri" w:hAnsi="Calibri" w:cs="Calibri"/>
          <w:szCs w:val="28"/>
        </w:rPr>
      </w:pPr>
      <w:r w:rsidRPr="00FA58A9">
        <w:rPr>
          <w:rFonts w:ascii="Calibri" w:hAnsi="Calibri" w:cs="Calibri"/>
          <w:szCs w:val="28"/>
        </w:rPr>
        <w:t xml:space="preserve">Hvilke porfyrisykdommer gjelder denne retningslinjen </w:t>
      </w:r>
      <w:r w:rsidRPr="00FA58A9">
        <w:rPr>
          <w:rFonts w:ascii="Calibri" w:hAnsi="Calibri" w:cs="Calibri"/>
          <w:szCs w:val="28"/>
          <w:u w:val="single"/>
        </w:rPr>
        <w:t xml:space="preserve">IKKE </w:t>
      </w:r>
      <w:r w:rsidRPr="00FA58A9">
        <w:rPr>
          <w:rFonts w:ascii="Calibri" w:hAnsi="Calibri" w:cs="Calibri"/>
          <w:szCs w:val="28"/>
        </w:rPr>
        <w:t>for?</w:t>
      </w:r>
    </w:p>
    <w:p w:rsidR="00DE417E" w:rsidRPr="00FA58A9" w:rsidP="00DE417E" w14:paraId="075EB80D" w14:textId="77777777">
      <w:pPr>
        <w:pStyle w:val="BodyText2"/>
        <w:rPr>
          <w:rFonts w:ascii="Calibri" w:hAnsi="Calibri" w:cs="Calibri"/>
          <w:b w:val="0"/>
          <w:sz w:val="24"/>
          <w:szCs w:val="24"/>
        </w:rPr>
      </w:pPr>
      <w:r w:rsidRPr="00FA58A9">
        <w:rPr>
          <w:rFonts w:ascii="Calibri" w:hAnsi="Calibri" w:cs="Calibri"/>
          <w:b w:val="0"/>
          <w:sz w:val="24"/>
          <w:szCs w:val="24"/>
        </w:rPr>
        <w:t>Ved porfyrisykdommene porphyria cutanea tarda (PCT), erytropoietisk protoporfyri (EPP), kongenital erytropoietisk porfyri (CEP) og</w:t>
      </w:r>
      <w:r w:rsidRPr="00FA58A9">
        <w:rPr>
          <w:rFonts w:ascii="Calibri" w:hAnsi="Calibri" w:cs="Calibri"/>
        </w:rPr>
        <w:t xml:space="preserve"> </w:t>
      </w:r>
      <w:r w:rsidRPr="00FA58A9">
        <w:rPr>
          <w:rFonts w:ascii="Calibri" w:hAnsi="Calibri" w:cs="Calibri"/>
          <w:b w:val="0"/>
          <w:sz w:val="24"/>
          <w:szCs w:val="24"/>
        </w:rPr>
        <w:t>hepatoerytropoietisk porfyri (HEP) kan anestesi og tilstøtende medikamentell behandling gis på ordinær måte.</w:t>
      </w:r>
    </w:p>
    <w:p w:rsidR="00DE417E" w14:paraId="5DC62EA6" w14:textId="77777777">
      <w:pPr>
        <w:spacing w:before="0" w:after="0"/>
        <w:rPr>
          <w:rFonts w:ascii="Calibri" w:hAnsi="Calibri" w:cs="Calibri"/>
        </w:rPr>
      </w:pPr>
      <w:r>
        <w:rPr>
          <w:rFonts w:ascii="Calibri" w:hAnsi="Calibri" w:cs="Calibri"/>
          <w:b/>
        </w:rPr>
        <w:br w:type="page"/>
      </w:r>
    </w:p>
    <w:p w:rsidR="00DE417E" w:rsidRPr="00FA58A9" w:rsidP="00DE417E" w14:paraId="1A0ACA2B" w14:textId="7D2A6088">
      <w:pPr>
        <w:pStyle w:val="Subtitle"/>
        <w:rPr>
          <w:rFonts w:ascii="Calibri" w:hAnsi="Calibri" w:cs="Calibri"/>
          <w:szCs w:val="28"/>
        </w:rPr>
      </w:pPr>
      <w:r w:rsidRPr="00FA58A9">
        <w:rPr>
          <w:rFonts w:ascii="Calibri" w:hAnsi="Calibri" w:cs="Calibri"/>
          <w:szCs w:val="28"/>
        </w:rPr>
        <w:t>Generelt om anestesimidler og utløsning av porfyrianfall:</w:t>
      </w:r>
    </w:p>
    <w:p w:rsidR="00DE417E" w:rsidRPr="00B15F28" w:rsidP="00DE417E" w14:paraId="2AFA9DBA" w14:textId="08107378">
      <w:pPr>
        <w:pStyle w:val="Subtitle"/>
        <w:rPr>
          <w:rFonts w:ascii="Calibri" w:hAnsi="Calibri" w:cs="Calibri"/>
          <w:b w:val="0"/>
          <w:sz w:val="24"/>
        </w:rPr>
      </w:pPr>
      <w:r w:rsidRPr="00FA58A9">
        <w:rPr>
          <w:rFonts w:ascii="Calibri" w:hAnsi="Calibri" w:cs="Calibri"/>
          <w:b w:val="0"/>
          <w:sz w:val="24"/>
        </w:rPr>
        <w:t xml:space="preserve">Flere anestesimidler og andre legemidler kan utløse et akutt anfall hos pasienter </w:t>
      </w:r>
      <w:r w:rsidRPr="00FA58A9">
        <w:rPr>
          <w:rFonts w:ascii="Calibri" w:hAnsi="Calibri" w:cs="Calibri"/>
          <w:b w:val="0"/>
          <w:bCs/>
          <w:sz w:val="24"/>
        </w:rPr>
        <w:t xml:space="preserve">som har symptomatisk, eller er genetisk disponert </w:t>
      </w:r>
      <w:r w:rsidRPr="00FA58A9">
        <w:rPr>
          <w:rFonts w:ascii="Calibri" w:hAnsi="Calibri" w:cs="Calibri"/>
          <w:b w:val="0"/>
          <w:sz w:val="24"/>
        </w:rPr>
        <w:t>for, akutt porfyrisykdom. I god tid før elektive inngrep er det viktig å planlegge hvilke trygge legemidler som er aktuel</w:t>
      </w:r>
      <w:r>
        <w:rPr>
          <w:rFonts w:ascii="Calibri" w:hAnsi="Calibri" w:cs="Calibri"/>
          <w:b w:val="0"/>
          <w:sz w:val="24"/>
        </w:rPr>
        <w:t>le</w:t>
      </w:r>
      <w:r w:rsidRPr="009F60C0">
        <w:rPr>
          <w:rFonts w:ascii="Calibri" w:hAnsi="Calibri" w:cs="Calibri"/>
          <w:b w:val="0"/>
          <w:sz w:val="24"/>
        </w:rPr>
        <w:t xml:space="preserve"> å bruke. Dette kan gjøres ved å ta utgangspunkt i listen le</w:t>
      </w:r>
      <w:r>
        <w:rPr>
          <w:rFonts w:ascii="Calibri" w:hAnsi="Calibri" w:cs="Calibri"/>
          <w:b w:val="0"/>
          <w:sz w:val="24"/>
        </w:rPr>
        <w:t>ngre ned i dette dokumentet, ell</w:t>
      </w:r>
      <w:r w:rsidRPr="009F60C0">
        <w:rPr>
          <w:rFonts w:ascii="Calibri" w:hAnsi="Calibri" w:cs="Calibri"/>
          <w:b w:val="0"/>
          <w:sz w:val="24"/>
        </w:rPr>
        <w:t>er ved å</w:t>
      </w:r>
      <w:r w:rsidRPr="009F60C0">
        <w:rPr>
          <w:rFonts w:ascii="Calibri" w:hAnsi="Calibri" w:cs="Calibri"/>
          <w:b w:val="0"/>
          <w:color w:val="FF0000"/>
          <w:sz w:val="24"/>
        </w:rPr>
        <w:t xml:space="preserve"> </w:t>
      </w:r>
      <w:r w:rsidRPr="009F60C0">
        <w:rPr>
          <w:rFonts w:ascii="Calibri" w:hAnsi="Calibri" w:cs="Calibri"/>
          <w:b w:val="0"/>
          <w:sz w:val="24"/>
        </w:rPr>
        <w:t xml:space="preserve">benytte den søkbare </w:t>
      </w:r>
      <w:r w:rsidRPr="009F60C0">
        <w:rPr>
          <w:rFonts w:ascii="Calibri" w:hAnsi="Calibri" w:cs="Calibri"/>
          <w:b w:val="0"/>
          <w:sz w:val="24"/>
        </w:rPr>
        <w:t>legemiddeldatabasen som finnes på</w:t>
      </w:r>
      <w:r>
        <w:rPr>
          <w:rFonts w:ascii="Calibri" w:hAnsi="Calibri" w:cs="Calibri"/>
          <w:b w:val="0"/>
          <w:sz w:val="24"/>
        </w:rPr>
        <w:t xml:space="preserve"> </w:t>
      </w:r>
      <w:hyperlink r:id="rId7" w:history="1">
        <w:r>
          <w:rPr>
            <w:rStyle w:val="Hyperlink"/>
            <w:rFonts w:ascii="Calibri" w:hAnsi="Calibri" w:cs="Calibri"/>
            <w:b w:val="0"/>
            <w:sz w:val="24"/>
          </w:rPr>
          <w:t>drugs-porphyria.org</w:t>
        </w:r>
      </w:hyperlink>
      <w:r>
        <w:rPr>
          <w:rFonts w:ascii="Calibri" w:hAnsi="Calibri" w:cs="Calibri"/>
          <w:b w:val="0"/>
          <w:sz w:val="24"/>
        </w:rPr>
        <w:t xml:space="preserve">. </w:t>
      </w:r>
      <w:r w:rsidRPr="009F60C0">
        <w:rPr>
          <w:rFonts w:ascii="Calibri" w:hAnsi="Calibri" w:cs="Calibri"/>
          <w:b w:val="0"/>
          <w:sz w:val="24"/>
        </w:rPr>
        <w:t xml:space="preserve">Legemiddelgruppen ved </w:t>
      </w:r>
      <w:r w:rsidR="0006485E">
        <w:rPr>
          <w:rFonts w:ascii="Calibri" w:hAnsi="Calibri" w:cs="Calibri"/>
          <w:b w:val="0"/>
          <w:sz w:val="24"/>
        </w:rPr>
        <w:t>Napos</w:t>
      </w:r>
      <w:r w:rsidRPr="009F60C0">
        <w:rPr>
          <w:rFonts w:ascii="Calibri" w:hAnsi="Calibri" w:cs="Calibri"/>
          <w:b w:val="0"/>
          <w:sz w:val="24"/>
        </w:rPr>
        <w:t xml:space="preserve"> kan også kontaktes på telefon 55 97 31 70 eller epost: porfyri@helse-bergen.no for hjelp ved ikke-klassifiserte legemidler eller for råd ved behov for å bruke et utrygt</w:t>
      </w:r>
      <w:r>
        <w:rPr>
          <w:rFonts w:ascii="Calibri" w:hAnsi="Calibri" w:cs="Calibri"/>
          <w:b w:val="0"/>
          <w:sz w:val="24"/>
        </w:rPr>
        <w:t xml:space="preserve"> (porfyrinogent)</w:t>
      </w:r>
      <w:r w:rsidRPr="009F60C0">
        <w:rPr>
          <w:rFonts w:ascii="Calibri" w:hAnsi="Calibri" w:cs="Calibri"/>
          <w:b w:val="0"/>
          <w:sz w:val="24"/>
        </w:rPr>
        <w:t xml:space="preserve"> legemiddel. </w:t>
      </w:r>
    </w:p>
    <w:p w:rsidR="00DE417E" w:rsidRPr="009F60C0" w:rsidP="00DE417E" w14:paraId="6B81B4B2" w14:textId="77777777">
      <w:pPr>
        <w:pStyle w:val="Subtitle"/>
        <w:rPr>
          <w:rFonts w:ascii="Calibri" w:hAnsi="Calibri" w:cs="Calibri"/>
          <w:szCs w:val="28"/>
        </w:rPr>
      </w:pPr>
    </w:p>
    <w:p w:rsidR="00DE417E" w:rsidRPr="009F60C0" w:rsidP="00DE417E" w14:paraId="69FDFF7B" w14:textId="77777777">
      <w:pPr>
        <w:pStyle w:val="Subtitle"/>
        <w:rPr>
          <w:rFonts w:ascii="Calibri" w:hAnsi="Calibri" w:cs="Calibri"/>
          <w:b w:val="0"/>
          <w:szCs w:val="28"/>
        </w:rPr>
      </w:pPr>
      <w:r w:rsidRPr="009F60C0">
        <w:rPr>
          <w:rFonts w:ascii="Calibri" w:hAnsi="Calibri" w:cs="Calibri"/>
          <w:szCs w:val="28"/>
        </w:rPr>
        <w:t>Andre årsaker til akutte porfyrianfall:</w:t>
      </w:r>
      <w:r w:rsidRPr="009F60C0">
        <w:rPr>
          <w:rFonts w:ascii="Calibri" w:hAnsi="Calibri" w:cs="Calibri"/>
          <w:b w:val="0"/>
          <w:szCs w:val="28"/>
        </w:rPr>
        <w:t xml:space="preserve"> </w:t>
      </w:r>
    </w:p>
    <w:p w:rsidR="00DE417E" w:rsidRPr="009F60C0" w:rsidP="00DE417E" w14:paraId="503F0466" w14:textId="77777777">
      <w:pPr>
        <w:pStyle w:val="Subtitle"/>
        <w:rPr>
          <w:rFonts w:ascii="Calibri" w:hAnsi="Calibri" w:cs="Calibri"/>
          <w:b w:val="0"/>
          <w:snapToGrid w:val="0"/>
          <w:sz w:val="24"/>
          <w:szCs w:val="24"/>
        </w:rPr>
      </w:pPr>
      <w:r w:rsidRPr="009F60C0">
        <w:rPr>
          <w:rFonts w:ascii="Calibri" w:hAnsi="Calibri" w:cs="Calibri"/>
          <w:b w:val="0"/>
          <w:sz w:val="24"/>
        </w:rPr>
        <w:t xml:space="preserve">I tillegg til en del legemidler kan anfall med akutte symptomer utløses av en rekke andre faktorer som infeksjoner, </w:t>
      </w:r>
      <w:r w:rsidRPr="009F60C0">
        <w:rPr>
          <w:rFonts w:ascii="Calibri" w:hAnsi="Calibri" w:cs="Calibri"/>
          <w:b w:val="0"/>
          <w:snapToGrid w:val="0"/>
          <w:sz w:val="24"/>
          <w:szCs w:val="24"/>
        </w:rPr>
        <w:t xml:space="preserve">lavt karbohydratinntak (faste/slanking), </w:t>
      </w:r>
      <w:r w:rsidRPr="009F60C0">
        <w:rPr>
          <w:rFonts w:ascii="Calibri" w:hAnsi="Calibri" w:cs="Calibri"/>
          <w:b w:val="0"/>
          <w:sz w:val="24"/>
        </w:rPr>
        <w:t xml:space="preserve">fysisk og psykisk stress og hormonelle forhold. Ofte er det kombinasjonen av to eller flere faktorer som samlet utløser et akutt anfall. </w:t>
      </w:r>
      <w:r w:rsidRPr="009F60C0">
        <w:rPr>
          <w:rFonts w:ascii="Calibri" w:hAnsi="Calibri" w:cs="Calibri"/>
          <w:b w:val="0"/>
          <w:snapToGrid w:val="0"/>
          <w:sz w:val="24"/>
          <w:szCs w:val="24"/>
        </w:rPr>
        <w:t xml:space="preserve">Det er derfor viktig å være oppmerksom også på slike faktorer. </w:t>
      </w:r>
    </w:p>
    <w:p w:rsidR="00DE417E" w:rsidP="00DE417E" w14:paraId="1C989A6B" w14:textId="77777777">
      <w:pPr>
        <w:pStyle w:val="BodyText2"/>
        <w:rPr>
          <w:rFonts w:ascii="Calibri" w:hAnsi="Calibri" w:cs="Calibri"/>
          <w:sz w:val="36"/>
          <w:szCs w:val="36"/>
        </w:rPr>
      </w:pPr>
    </w:p>
    <w:p w:rsidR="00DE417E" w:rsidP="00DE417E" w14:paraId="2568BAC9" w14:textId="77777777">
      <w:pPr>
        <w:pStyle w:val="BodyText2"/>
        <w:rPr>
          <w:rFonts w:ascii="Calibri" w:hAnsi="Calibri" w:cs="Calibri"/>
          <w:sz w:val="30"/>
          <w:szCs w:val="30"/>
        </w:rPr>
      </w:pPr>
      <w:r>
        <w:rPr>
          <w:rFonts w:ascii="Calibri" w:hAnsi="Calibri" w:cs="Calibri"/>
          <w:sz w:val="36"/>
          <w:szCs w:val="36"/>
        </w:rPr>
        <w:t>Oppfølging:</w:t>
      </w:r>
      <w:r w:rsidRPr="009F60C0">
        <w:rPr>
          <w:rFonts w:ascii="Calibri" w:hAnsi="Calibri" w:cs="Calibri"/>
          <w:sz w:val="36"/>
          <w:szCs w:val="36"/>
        </w:rPr>
        <w:t xml:space="preserve"> </w:t>
      </w:r>
    </w:p>
    <w:p w:rsidR="00DE417E" w:rsidRPr="009F60C0" w:rsidP="00DE417E" w14:paraId="3DD28889" w14:textId="77777777">
      <w:pPr>
        <w:pStyle w:val="BodyText2"/>
        <w:rPr>
          <w:rFonts w:ascii="Calibri" w:hAnsi="Calibri" w:cs="Calibri"/>
          <w:sz w:val="30"/>
          <w:szCs w:val="30"/>
        </w:rPr>
      </w:pPr>
      <w:r w:rsidRPr="009F60C0">
        <w:rPr>
          <w:rFonts w:ascii="Calibri" w:hAnsi="Calibri" w:cs="Calibri"/>
          <w:sz w:val="30"/>
          <w:szCs w:val="30"/>
        </w:rPr>
        <w:t xml:space="preserve">Preoperativt:  </w:t>
      </w:r>
    </w:p>
    <w:p w:rsidR="00DE417E" w:rsidRPr="009F60C0" w:rsidP="00DE417E" w14:paraId="50CCCF9A" w14:textId="77777777">
      <w:pPr>
        <w:pStyle w:val="BodyText2"/>
        <w:rPr>
          <w:rFonts w:ascii="Calibri" w:hAnsi="Calibri" w:cs="Calibri"/>
          <w:b w:val="0"/>
          <w:sz w:val="24"/>
          <w:szCs w:val="24"/>
        </w:rPr>
      </w:pPr>
      <w:r w:rsidRPr="009F60C0">
        <w:rPr>
          <w:rFonts w:ascii="Calibri" w:hAnsi="Calibri" w:cs="Calibri"/>
          <w:b w:val="0"/>
          <w:sz w:val="24"/>
          <w:szCs w:val="24"/>
        </w:rPr>
        <w:t>For å unngå et postoperativt akutt porfyrianfall er det, i tillegg til riktig valg av legemidler også svært viktig å minimere bidraget fra andre potensielt anfallsutløsende faktorer.</w:t>
      </w:r>
    </w:p>
    <w:p w:rsidR="00DE417E" w:rsidRPr="009F60C0" w:rsidP="00DE417E" w14:paraId="5C452CFF" w14:textId="77777777">
      <w:pPr>
        <w:pStyle w:val="BodyText2"/>
        <w:numPr>
          <w:ilvl w:val="0"/>
          <w:numId w:val="42"/>
        </w:numPr>
        <w:rPr>
          <w:rFonts w:ascii="Calibri" w:hAnsi="Calibri" w:cs="Calibri"/>
          <w:sz w:val="24"/>
          <w:szCs w:val="24"/>
        </w:rPr>
      </w:pPr>
      <w:r w:rsidRPr="009F60C0">
        <w:rPr>
          <w:rFonts w:ascii="Calibri" w:hAnsi="Calibri" w:cs="Calibri"/>
          <w:sz w:val="24"/>
          <w:szCs w:val="24"/>
        </w:rPr>
        <w:t xml:space="preserve">Unngå faste uten samtidig behandling med glukoseinfusjon: </w:t>
      </w:r>
      <w:r w:rsidRPr="009F60C0">
        <w:rPr>
          <w:rFonts w:ascii="Calibri" w:hAnsi="Calibri" w:cs="Calibri"/>
          <w:b w:val="0"/>
          <w:sz w:val="24"/>
          <w:szCs w:val="24"/>
        </w:rPr>
        <w:t>Mangel på karbohydrater gir metabolsk en oppjustert evne til lipolyse som medfører en induksjon og belastning av hembiosyntesen. Hos pasienter med akutt porfyrisykdom kan dette være anfallsutløsende. Av den grunn er det svært viktig at disse personene gjennom hele døgnet har en metabolisme med jevnt karbohydrattilgang. For tilstrekkelig tilførsel av karbohydrat må en som regel bruke 10 % glukose iv. Vær særlig oppmerksom på manglende næringsinntak før innleggelsen ved akutte operasjoner.</w:t>
      </w:r>
    </w:p>
    <w:p w:rsidR="00DE417E" w:rsidRPr="003657AC" w:rsidP="00DE417E" w14:paraId="64DC1B9C" w14:textId="77777777">
      <w:pPr>
        <w:pStyle w:val="BodyText2"/>
        <w:numPr>
          <w:ilvl w:val="0"/>
          <w:numId w:val="42"/>
        </w:numPr>
        <w:rPr>
          <w:rFonts w:ascii="Calibri" w:hAnsi="Calibri" w:cs="Calibri"/>
          <w:sz w:val="24"/>
          <w:szCs w:val="24"/>
        </w:rPr>
      </w:pPr>
      <w:r w:rsidRPr="009F60C0">
        <w:rPr>
          <w:rFonts w:ascii="Calibri" w:hAnsi="Calibri" w:cs="Calibri"/>
          <w:sz w:val="24"/>
          <w:szCs w:val="24"/>
        </w:rPr>
        <w:t>Minimer psykisk stress:</w:t>
      </w:r>
      <w:r w:rsidRPr="009F60C0">
        <w:rPr>
          <w:rFonts w:ascii="Calibri" w:hAnsi="Calibri" w:cs="Calibri"/>
          <w:b w:val="0"/>
          <w:sz w:val="24"/>
          <w:szCs w:val="24"/>
        </w:rPr>
        <w:t xml:space="preserve"> Psykisk stress og mangel på søvn er hyppigste anfallsutløsere ved akutt porfyrisykdom. Vektlegg derfor reduksjon av psykisk stress i den preoperative fasen. Det anbefales for eksempel å sette slike pasienter tidlig på operasjonsprogrammet ved elektiv kirurgi.</w:t>
      </w:r>
    </w:p>
    <w:p w:rsidR="00DE417E" w:rsidRPr="00AD02F3" w:rsidP="00DE417E" w14:paraId="6B1C1BDE" w14:textId="36556798">
      <w:pPr>
        <w:pStyle w:val="BodyText2"/>
        <w:numPr>
          <w:ilvl w:val="0"/>
          <w:numId w:val="42"/>
        </w:numPr>
        <w:rPr>
          <w:rFonts w:ascii="Calibri" w:hAnsi="Calibri" w:cs="Calibri"/>
          <w:sz w:val="24"/>
          <w:szCs w:val="24"/>
        </w:rPr>
      </w:pPr>
      <w:r w:rsidRPr="00AD02F3">
        <w:rPr>
          <w:rFonts w:ascii="Calibri" w:hAnsi="Calibri" w:cs="Calibri"/>
          <w:sz w:val="24"/>
          <w:szCs w:val="24"/>
        </w:rPr>
        <w:t xml:space="preserve">Preoperativ urinprøve til analyse av ALA og PBG: </w:t>
      </w:r>
      <w:r w:rsidRPr="00AD02F3">
        <w:rPr>
          <w:rFonts w:ascii="Calibri" w:hAnsi="Calibri" w:cs="Calibri"/>
          <w:b w:val="0"/>
          <w:sz w:val="24"/>
          <w:szCs w:val="24"/>
        </w:rPr>
        <w:t>Med tanke på diagnostikk av et potensielt akutt porfyrianfall postoperativt, anbefales det å ta en preoperativ urinprøve: Send inn 20 mL morgenurin, evt. spoturin (pakket i aluminiumsfolie) til Haukeland universitetssjukehus. Informasjon om prøvetaking og forsendelse samt rekvisisjonsskjema finnes på</w:t>
      </w:r>
      <w:r>
        <w:rPr>
          <w:rFonts w:ascii="Calibri" w:hAnsi="Calibri" w:cs="Calibri"/>
          <w:b w:val="0"/>
          <w:sz w:val="24"/>
          <w:szCs w:val="24"/>
        </w:rPr>
        <w:t xml:space="preserve"> </w:t>
      </w:r>
      <w:hyperlink r:id="rId8" w:history="1">
        <w:r w:rsidRPr="00DA7002">
          <w:rPr>
            <w:rStyle w:val="Hyperlink"/>
            <w:rFonts w:ascii="Calibri" w:hAnsi="Calibri" w:cs="Calibri"/>
            <w:b w:val="0"/>
            <w:sz w:val="24"/>
            <w:szCs w:val="24"/>
          </w:rPr>
          <w:t>napos.no</w:t>
        </w:r>
      </w:hyperlink>
      <w:r>
        <w:rPr>
          <w:rFonts w:ascii="Calibri" w:hAnsi="Calibri" w:cs="Calibri"/>
          <w:b w:val="0"/>
          <w:sz w:val="24"/>
          <w:szCs w:val="24"/>
        </w:rPr>
        <w:t>.</w:t>
      </w:r>
      <w:r w:rsidRPr="00AD02F3">
        <w:rPr>
          <w:rFonts w:ascii="Calibri" w:hAnsi="Calibri" w:cs="Calibri"/>
          <w:b w:val="0"/>
          <w:sz w:val="24"/>
          <w:szCs w:val="24"/>
        </w:rPr>
        <w:t xml:space="preserve"> Angi under kliniske opplysninger i rekvisisjonsskjema </w:t>
      </w:r>
      <w:r>
        <w:rPr>
          <w:rFonts w:ascii="Calibri" w:hAnsi="Calibri" w:cs="Calibri"/>
          <w:b w:val="0"/>
          <w:sz w:val="24"/>
          <w:szCs w:val="24"/>
        </w:rPr>
        <w:t>«</w:t>
      </w:r>
      <w:r w:rsidRPr="00AD02F3">
        <w:rPr>
          <w:rFonts w:ascii="Calibri" w:hAnsi="Calibri" w:cs="Calibri"/>
          <w:b w:val="0"/>
          <w:i/>
          <w:sz w:val="24"/>
          <w:szCs w:val="24"/>
        </w:rPr>
        <w:t>Akutt porfyrisykdom. Rutinemessig preoperativ urinprøve</w:t>
      </w:r>
      <w:r>
        <w:rPr>
          <w:rFonts w:ascii="Calibri" w:hAnsi="Calibri" w:cs="Calibri"/>
          <w:b w:val="0"/>
          <w:i/>
          <w:sz w:val="24"/>
          <w:szCs w:val="24"/>
        </w:rPr>
        <w:t>»</w:t>
      </w:r>
      <w:r w:rsidRPr="00AD02F3">
        <w:rPr>
          <w:rFonts w:ascii="Calibri" w:hAnsi="Calibri" w:cs="Calibri"/>
          <w:b w:val="0"/>
          <w:i/>
          <w:sz w:val="24"/>
          <w:szCs w:val="24"/>
        </w:rPr>
        <w:t>.</w:t>
      </w:r>
      <w:r w:rsidRPr="00AD02F3">
        <w:rPr>
          <w:rFonts w:ascii="Calibri" w:hAnsi="Calibri" w:cs="Calibri"/>
          <w:b w:val="0"/>
          <w:sz w:val="24"/>
          <w:szCs w:val="24"/>
        </w:rPr>
        <w:t xml:space="preserve"> </w:t>
      </w:r>
    </w:p>
    <w:p w:rsidR="00DE417E" w14:paraId="3065F894" w14:textId="16F89037">
      <w:pPr>
        <w:spacing w:before="0" w:after="0"/>
        <w:rPr>
          <w:rFonts w:ascii="Calibri" w:hAnsi="Calibri" w:cs="Calibri"/>
          <w:b/>
          <w:sz w:val="32"/>
          <w:szCs w:val="32"/>
        </w:rPr>
      </w:pPr>
      <w:r>
        <w:rPr>
          <w:rFonts w:ascii="Calibri" w:hAnsi="Calibri" w:cs="Calibri"/>
          <w:sz w:val="32"/>
          <w:szCs w:val="32"/>
        </w:rPr>
        <w:br w:type="page"/>
      </w:r>
    </w:p>
    <w:p w:rsidR="00DE417E" w:rsidRPr="009F60C0" w:rsidP="00DE417E" w14:paraId="5A204EF1" w14:textId="77777777">
      <w:pPr>
        <w:pStyle w:val="BodyText2"/>
        <w:rPr>
          <w:rFonts w:ascii="Calibri" w:hAnsi="Calibri" w:cs="Calibri"/>
          <w:sz w:val="32"/>
          <w:szCs w:val="32"/>
        </w:rPr>
      </w:pPr>
      <w:r w:rsidRPr="009F60C0">
        <w:rPr>
          <w:rFonts w:ascii="Calibri" w:hAnsi="Calibri" w:cs="Calibri"/>
          <w:sz w:val="32"/>
          <w:szCs w:val="32"/>
        </w:rPr>
        <w:t>Peroperativt:</w:t>
      </w:r>
    </w:p>
    <w:p w:rsidR="00DE417E" w:rsidRPr="009F60C0" w:rsidP="00DE417E" w14:paraId="24814FA4" w14:textId="665E5025">
      <w:pPr>
        <w:pStyle w:val="BodyText2"/>
        <w:rPr>
          <w:rFonts w:ascii="Calibri" w:hAnsi="Calibri" w:cs="Calibri"/>
          <w:b w:val="0"/>
          <w:sz w:val="24"/>
          <w:szCs w:val="24"/>
        </w:rPr>
      </w:pPr>
      <w:r w:rsidRPr="009F60C0">
        <w:rPr>
          <w:rFonts w:ascii="Calibri" w:hAnsi="Calibri" w:cs="Calibri"/>
          <w:b w:val="0"/>
          <w:sz w:val="24"/>
          <w:szCs w:val="24"/>
        </w:rPr>
        <w:t>Fortsett med glukoseinfusjon (10 % glukose)</w:t>
      </w:r>
      <w:r>
        <w:rPr>
          <w:rFonts w:ascii="Calibri" w:hAnsi="Calibri" w:cs="Calibri"/>
          <w:b w:val="0"/>
          <w:sz w:val="24"/>
          <w:szCs w:val="24"/>
        </w:rPr>
        <w:t xml:space="preserve">. NB legemiddelbruk! Sjekk legemiddeldatabasen for akutte porfyrisykdommer på </w:t>
      </w:r>
      <w:hyperlink r:id="rId7" w:history="1">
        <w:r w:rsidRPr="00DA7002">
          <w:rPr>
            <w:rStyle w:val="Hyperlink"/>
            <w:rFonts w:ascii="Calibri" w:hAnsi="Calibri" w:cs="Calibri"/>
            <w:b w:val="0"/>
            <w:sz w:val="24"/>
            <w:szCs w:val="24"/>
          </w:rPr>
          <w:t>drugs-porphyria.org</w:t>
        </w:r>
      </w:hyperlink>
      <w:r>
        <w:rPr>
          <w:rFonts w:ascii="Calibri" w:hAnsi="Calibri" w:cs="Calibri"/>
          <w:b w:val="0"/>
          <w:sz w:val="24"/>
          <w:szCs w:val="24"/>
        </w:rPr>
        <w:t>.</w:t>
      </w:r>
    </w:p>
    <w:p w:rsidR="00DE417E" w:rsidRPr="009F60C0" w:rsidP="003857A0" w14:paraId="13598D1D" w14:textId="77777777">
      <w:pPr>
        <w:spacing w:before="360"/>
        <w:rPr>
          <w:rFonts w:ascii="Calibri" w:hAnsi="Calibri" w:cs="Calibri"/>
          <w:snapToGrid w:val="0"/>
          <w:color w:val="000000"/>
          <w:lang w:val="sv-SE"/>
        </w:rPr>
      </w:pPr>
      <w:r w:rsidRPr="009F60C0">
        <w:rPr>
          <w:rFonts w:ascii="Calibri" w:hAnsi="Calibri" w:cs="Calibri"/>
          <w:b/>
          <w:snapToGrid w:val="0"/>
          <w:color w:val="000000"/>
          <w:sz w:val="32"/>
          <w:szCs w:val="32"/>
          <w:lang w:val="sv-SE"/>
        </w:rPr>
        <w:t>Postoperativt:</w:t>
      </w:r>
    </w:p>
    <w:p w:rsidR="00DE417E" w:rsidRPr="00F531E2" w:rsidP="00DE417E" w14:paraId="6D8744A2" w14:textId="77777777">
      <w:pPr>
        <w:pStyle w:val="BodyText2"/>
        <w:rPr>
          <w:rFonts w:ascii="Calibri" w:hAnsi="Calibri" w:cs="Calibri"/>
          <w:b w:val="0"/>
          <w:sz w:val="24"/>
          <w:szCs w:val="24"/>
          <w:lang w:val="sv-SE"/>
        </w:rPr>
      </w:pPr>
      <w:r w:rsidRPr="00F531E2">
        <w:rPr>
          <w:rFonts w:ascii="Calibri" w:hAnsi="Calibri" w:cs="Calibri"/>
          <w:snapToGrid w:val="0"/>
          <w:color w:val="000000"/>
          <w:sz w:val="24"/>
          <w:szCs w:val="24"/>
          <w:lang w:val="sv-SE"/>
        </w:rPr>
        <w:t>Glukoseinfusjon:</w:t>
      </w:r>
      <w:r w:rsidRPr="00F531E2">
        <w:rPr>
          <w:rFonts w:ascii="Calibri" w:hAnsi="Calibri" w:cs="Calibri"/>
          <w:b w:val="0"/>
          <w:snapToGrid w:val="0"/>
          <w:color w:val="000000"/>
          <w:sz w:val="24"/>
          <w:szCs w:val="24"/>
          <w:lang w:val="sv-SE"/>
        </w:rPr>
        <w:t xml:space="preserve"> </w:t>
      </w:r>
      <w:r w:rsidRPr="00F531E2">
        <w:rPr>
          <w:rFonts w:ascii="Calibri" w:hAnsi="Calibri" w:cs="Calibri"/>
          <w:b w:val="0"/>
          <w:sz w:val="24"/>
          <w:szCs w:val="24"/>
          <w:lang w:val="sv-SE"/>
        </w:rPr>
        <w:t xml:space="preserve">Fortsett med glukoseinfusjon (10 % glukose, </w:t>
      </w:r>
      <w:r>
        <w:rPr>
          <w:rFonts w:ascii="Calibri" w:hAnsi="Calibri" w:cs="Calibri"/>
          <w:b w:val="0"/>
          <w:sz w:val="24"/>
          <w:szCs w:val="24"/>
          <w:lang w:val="sv-SE"/>
        </w:rPr>
        <w:t>200-</w:t>
      </w:r>
      <w:r w:rsidRPr="00F531E2">
        <w:rPr>
          <w:rFonts w:ascii="Calibri" w:hAnsi="Calibri" w:cs="Calibri"/>
          <w:b w:val="0"/>
          <w:sz w:val="24"/>
          <w:szCs w:val="24"/>
          <w:lang w:val="sv-SE"/>
        </w:rPr>
        <w:t>300 g per døgn for voksne</w:t>
      </w:r>
      <w:r>
        <w:rPr>
          <w:rFonts w:ascii="Calibri" w:hAnsi="Calibri" w:cs="Calibri"/>
          <w:b w:val="0"/>
          <w:sz w:val="24"/>
          <w:szCs w:val="24"/>
          <w:lang w:val="sv-SE"/>
        </w:rPr>
        <w:t xml:space="preserve">, vurdert i </w:t>
      </w:r>
      <w:r>
        <w:rPr>
          <w:rFonts w:ascii="Calibri" w:hAnsi="Calibri" w:cs="Calibri"/>
          <w:b w:val="0"/>
          <w:sz w:val="24"/>
          <w:szCs w:val="24"/>
          <w:lang w:val="sv-SE"/>
        </w:rPr>
        <w:t>forhold til vekt og andre individuelle faktorer</w:t>
      </w:r>
      <w:r w:rsidRPr="00F531E2">
        <w:rPr>
          <w:rFonts w:ascii="Calibri" w:hAnsi="Calibri" w:cs="Calibri"/>
          <w:b w:val="0"/>
          <w:sz w:val="24"/>
          <w:szCs w:val="24"/>
          <w:lang w:val="sv-SE"/>
        </w:rPr>
        <w:t xml:space="preserve">) inntil pasienten spiser normalt. </w:t>
      </w:r>
      <w:r>
        <w:rPr>
          <w:rFonts w:ascii="Calibri" w:hAnsi="Calibri" w:cs="Calibri"/>
          <w:b w:val="0"/>
          <w:sz w:val="24"/>
          <w:szCs w:val="24"/>
          <w:lang w:val="sv-SE"/>
        </w:rPr>
        <w:t>B</w:t>
      </w:r>
      <w:r w:rsidRPr="00970FC0">
        <w:rPr>
          <w:rFonts w:ascii="Calibri" w:hAnsi="Calibri" w:cs="Calibri"/>
          <w:b w:val="0"/>
          <w:sz w:val="24"/>
          <w:szCs w:val="24"/>
          <w:lang w:val="sv-SE"/>
        </w:rPr>
        <w:t xml:space="preserve">-glukose bør overvåkes </w:t>
      </w:r>
      <w:r>
        <w:rPr>
          <w:rFonts w:ascii="Calibri" w:hAnsi="Calibri" w:cs="Calibri"/>
          <w:b w:val="0"/>
          <w:sz w:val="24"/>
          <w:szCs w:val="24"/>
          <w:lang w:val="sv-SE"/>
        </w:rPr>
        <w:t xml:space="preserve">under behandingen </w:t>
      </w:r>
      <w:r w:rsidRPr="00970FC0">
        <w:rPr>
          <w:rFonts w:ascii="Calibri" w:hAnsi="Calibri" w:cs="Calibri"/>
          <w:b w:val="0"/>
          <w:sz w:val="24"/>
          <w:szCs w:val="24"/>
          <w:lang w:val="sv-SE"/>
        </w:rPr>
        <w:t xml:space="preserve">for å unngå </w:t>
      </w:r>
      <w:r>
        <w:rPr>
          <w:rFonts w:ascii="Calibri" w:hAnsi="Calibri" w:cs="Calibri"/>
          <w:b w:val="0"/>
          <w:sz w:val="24"/>
          <w:szCs w:val="24"/>
          <w:lang w:val="sv-SE"/>
        </w:rPr>
        <w:t xml:space="preserve">at </w:t>
      </w:r>
      <w:r w:rsidRPr="00970FC0">
        <w:rPr>
          <w:rFonts w:ascii="Calibri" w:hAnsi="Calibri" w:cs="Calibri"/>
          <w:b w:val="0"/>
          <w:sz w:val="24"/>
          <w:szCs w:val="24"/>
          <w:lang w:val="sv-SE"/>
        </w:rPr>
        <w:t>nyreterskelen for glukose</w:t>
      </w:r>
      <w:r>
        <w:rPr>
          <w:rFonts w:ascii="Calibri" w:hAnsi="Calibri" w:cs="Calibri"/>
          <w:b w:val="0"/>
          <w:sz w:val="24"/>
          <w:szCs w:val="24"/>
          <w:lang w:val="sv-SE"/>
        </w:rPr>
        <w:t xml:space="preserve"> overskrides, med påfølgende</w:t>
      </w:r>
      <w:r w:rsidRPr="00970FC0">
        <w:rPr>
          <w:rFonts w:ascii="Calibri" w:hAnsi="Calibri" w:cs="Calibri"/>
          <w:b w:val="0"/>
          <w:sz w:val="24"/>
          <w:szCs w:val="24"/>
          <w:lang w:val="sv-SE"/>
        </w:rPr>
        <w:t xml:space="preserve"> </w:t>
      </w:r>
      <w:r>
        <w:rPr>
          <w:rFonts w:ascii="Calibri" w:hAnsi="Calibri" w:cs="Calibri"/>
          <w:b w:val="0"/>
          <w:sz w:val="24"/>
          <w:szCs w:val="24"/>
          <w:lang w:val="sv-SE"/>
        </w:rPr>
        <w:t>osmotisk diurese. Vurder også tilsetning av natrium i infusjonen ved hyponatremi.</w:t>
      </w:r>
    </w:p>
    <w:p w:rsidR="00DE417E" w:rsidRPr="00F531E2" w:rsidP="00DE417E" w14:paraId="7960F668" w14:textId="77777777">
      <w:pPr>
        <w:pStyle w:val="BodyText2"/>
        <w:rPr>
          <w:rFonts w:ascii="Calibri" w:hAnsi="Calibri" w:cs="Calibri"/>
          <w:b w:val="0"/>
          <w:sz w:val="24"/>
          <w:szCs w:val="24"/>
          <w:lang w:val="sv-SE"/>
        </w:rPr>
      </w:pPr>
    </w:p>
    <w:p w:rsidR="00DE417E" w:rsidRPr="009F60C0" w:rsidP="00DE417E" w14:paraId="17D9E1DB" w14:textId="77777777">
      <w:pPr>
        <w:pStyle w:val="BodyText2"/>
        <w:rPr>
          <w:rFonts w:ascii="Calibri" w:hAnsi="Calibri" w:cs="Calibri"/>
          <w:b w:val="0"/>
          <w:sz w:val="24"/>
          <w:szCs w:val="24"/>
        </w:rPr>
      </w:pPr>
      <w:r w:rsidRPr="009F60C0">
        <w:rPr>
          <w:rFonts w:ascii="Calibri" w:hAnsi="Calibri" w:cs="Calibri"/>
          <w:sz w:val="24"/>
          <w:szCs w:val="24"/>
        </w:rPr>
        <w:t xml:space="preserve">Daglige kontroller: </w:t>
      </w:r>
      <w:r w:rsidRPr="009F60C0">
        <w:rPr>
          <w:rFonts w:ascii="Calibri" w:hAnsi="Calibri" w:cs="Calibri"/>
          <w:b w:val="0"/>
          <w:sz w:val="24"/>
          <w:szCs w:val="24"/>
        </w:rPr>
        <w:t>Sjekk urinfarge</w:t>
      </w:r>
      <w:r w:rsidRPr="009F60C0">
        <w:rPr>
          <w:rFonts w:ascii="Calibri" w:hAnsi="Calibri" w:cs="Calibri"/>
          <w:sz w:val="24"/>
          <w:szCs w:val="24"/>
        </w:rPr>
        <w:t xml:space="preserve"> </w:t>
      </w:r>
      <w:r w:rsidRPr="00AD511E">
        <w:rPr>
          <w:rFonts w:ascii="Calibri" w:hAnsi="Calibri" w:cs="Calibri"/>
          <w:b w:val="0"/>
          <w:sz w:val="24"/>
          <w:szCs w:val="24"/>
        </w:rPr>
        <w:t>(</w:t>
      </w:r>
      <w:r w:rsidRPr="009F60C0">
        <w:rPr>
          <w:rFonts w:ascii="Calibri" w:hAnsi="Calibri" w:cs="Calibri"/>
          <w:b w:val="0"/>
          <w:sz w:val="24"/>
          <w:szCs w:val="24"/>
        </w:rPr>
        <w:t xml:space="preserve">unormal?), puls, blodtrykk, </w:t>
      </w:r>
      <w:r>
        <w:rPr>
          <w:rFonts w:ascii="Calibri" w:hAnsi="Calibri" w:cs="Calibri"/>
          <w:b w:val="0"/>
          <w:sz w:val="24"/>
          <w:szCs w:val="24"/>
        </w:rPr>
        <w:t xml:space="preserve">b-glukose, </w:t>
      </w:r>
      <w:r w:rsidRPr="009F60C0">
        <w:rPr>
          <w:rFonts w:ascii="Calibri" w:hAnsi="Calibri" w:cs="Calibri"/>
          <w:b w:val="0"/>
          <w:sz w:val="24"/>
          <w:szCs w:val="24"/>
        </w:rPr>
        <w:t xml:space="preserve">s-Na og s-Mg. </w:t>
      </w:r>
    </w:p>
    <w:p w:rsidR="00DE417E" w:rsidRPr="009F60C0" w:rsidP="00DE417E" w14:paraId="1CBA3B98" w14:textId="77777777">
      <w:pPr>
        <w:rPr>
          <w:rFonts w:ascii="Calibri" w:hAnsi="Calibri" w:cs="Calibri"/>
          <w:b/>
          <w:i/>
          <w:snapToGrid w:val="0"/>
          <w:color w:val="000000"/>
        </w:rPr>
      </w:pPr>
      <w:r w:rsidRPr="009F60C0">
        <w:rPr>
          <w:rFonts w:ascii="Calibri" w:hAnsi="Calibri" w:cs="Calibri"/>
          <w:b/>
          <w:i/>
          <w:snapToGrid w:val="0"/>
          <w:color w:val="000000"/>
          <w:sz w:val="28"/>
        </w:rPr>
        <w:t xml:space="preserve">  </w:t>
      </w:r>
      <w:r w:rsidRPr="009F60C0">
        <w:rPr>
          <w:rFonts w:ascii="Calibri" w:hAnsi="Calibri" w:cs="Calibri"/>
          <w:b/>
          <w:i/>
          <w:snapToGrid w:val="0"/>
          <w:color w:val="000000"/>
        </w:rPr>
        <w:t xml:space="preserve">       </w:t>
      </w:r>
    </w:p>
    <w:p w:rsidR="00DE417E" w:rsidRPr="009F60C0" w:rsidP="00DE417E" w14:paraId="2F8CF011" w14:textId="77777777">
      <w:pPr>
        <w:rPr>
          <w:rFonts w:ascii="Calibri" w:hAnsi="Calibri" w:cs="Calibri"/>
          <w:b/>
          <w:snapToGrid w:val="0"/>
          <w:color w:val="000000"/>
        </w:rPr>
      </w:pPr>
      <w:r w:rsidRPr="009F60C0">
        <w:rPr>
          <w:rFonts w:ascii="Calibri" w:hAnsi="Calibri" w:cs="Calibri"/>
          <w:b/>
          <w:snapToGrid w:val="0"/>
          <w:color w:val="000000"/>
        </w:rPr>
        <w:t xml:space="preserve">Vær særlig oppmerksom på følgende symptomer/funn som kan indikere at pasienten har fått et akutt porfyrianfall:                           </w:t>
      </w:r>
    </w:p>
    <w:p w:rsidR="00DE417E" w:rsidRPr="009F60C0" w:rsidP="00DE417E" w14:paraId="4CE27858" w14:textId="77777777">
      <w:pPr>
        <w:numPr>
          <w:ilvl w:val="0"/>
          <w:numId w:val="41"/>
        </w:numPr>
        <w:tabs>
          <w:tab w:val="clear" w:pos="360"/>
          <w:tab w:val="num" w:pos="720"/>
        </w:tabs>
        <w:spacing w:before="0" w:after="0"/>
        <w:ind w:left="720"/>
        <w:rPr>
          <w:rFonts w:ascii="Calibri" w:hAnsi="Calibri" w:cs="Calibri"/>
          <w:snapToGrid w:val="0"/>
          <w:color w:val="000000"/>
        </w:rPr>
      </w:pPr>
      <w:r w:rsidRPr="009F60C0">
        <w:rPr>
          <w:rFonts w:ascii="Calibri" w:hAnsi="Calibri" w:cs="Calibri"/>
          <w:snapToGrid w:val="0"/>
          <w:color w:val="000000"/>
        </w:rPr>
        <w:t xml:space="preserve">Uforklarlige smerter i abdomen / rygg / glutealt </w:t>
      </w:r>
    </w:p>
    <w:p w:rsidR="00DE417E" w:rsidRPr="009F60C0" w:rsidP="00DE417E" w14:paraId="272F9C57" w14:textId="77777777">
      <w:pPr>
        <w:numPr>
          <w:ilvl w:val="0"/>
          <w:numId w:val="41"/>
        </w:numPr>
        <w:tabs>
          <w:tab w:val="clear" w:pos="360"/>
          <w:tab w:val="num" w:pos="720"/>
        </w:tabs>
        <w:spacing w:before="0" w:after="0"/>
        <w:ind w:left="720"/>
        <w:rPr>
          <w:rFonts w:ascii="Calibri" w:hAnsi="Calibri" w:cs="Calibri"/>
          <w:snapToGrid w:val="0"/>
          <w:color w:val="000000"/>
        </w:rPr>
      </w:pPr>
      <w:r w:rsidRPr="009F60C0">
        <w:rPr>
          <w:rFonts w:ascii="Calibri" w:hAnsi="Calibri" w:cs="Calibri"/>
          <w:snapToGrid w:val="0"/>
          <w:color w:val="000000"/>
        </w:rPr>
        <w:t>Vedvarende kvalme og oppkast</w:t>
      </w:r>
    </w:p>
    <w:p w:rsidR="00DE417E" w:rsidRPr="009F60C0" w:rsidP="00DE417E" w14:paraId="688D7D4F" w14:textId="77777777">
      <w:pPr>
        <w:numPr>
          <w:ilvl w:val="0"/>
          <w:numId w:val="41"/>
        </w:numPr>
        <w:tabs>
          <w:tab w:val="clear" w:pos="360"/>
          <w:tab w:val="num" w:pos="720"/>
        </w:tabs>
        <w:spacing w:before="0" w:after="0"/>
        <w:ind w:left="720"/>
        <w:rPr>
          <w:rFonts w:ascii="Calibri" w:hAnsi="Calibri" w:cs="Calibri"/>
          <w:snapToGrid w:val="0"/>
          <w:color w:val="000000"/>
        </w:rPr>
      </w:pPr>
      <w:r w:rsidRPr="009F60C0">
        <w:rPr>
          <w:rFonts w:ascii="Calibri" w:hAnsi="Calibri" w:cs="Calibri"/>
          <w:snapToGrid w:val="0"/>
          <w:color w:val="000000"/>
        </w:rPr>
        <w:t xml:space="preserve">Rød / rødbrun misfarging av urin (fargeutviklingen kan evt. først komme etter en stund, negativ sticks på blod)  </w:t>
      </w:r>
    </w:p>
    <w:p w:rsidR="00DE417E" w:rsidRPr="009F60C0" w:rsidP="00DE417E" w14:paraId="170D3963" w14:textId="77777777">
      <w:pPr>
        <w:numPr>
          <w:ilvl w:val="0"/>
          <w:numId w:val="41"/>
        </w:numPr>
        <w:tabs>
          <w:tab w:val="clear" w:pos="360"/>
          <w:tab w:val="num" w:pos="720"/>
        </w:tabs>
        <w:spacing w:before="0" w:after="0"/>
        <w:ind w:left="720"/>
        <w:rPr>
          <w:rFonts w:ascii="Calibri" w:hAnsi="Calibri" w:cs="Calibri"/>
          <w:snapToGrid w:val="0"/>
          <w:color w:val="000000"/>
        </w:rPr>
      </w:pPr>
      <w:r w:rsidRPr="009F60C0">
        <w:rPr>
          <w:rFonts w:ascii="Calibri" w:hAnsi="Calibri" w:cs="Calibri"/>
          <w:snapToGrid w:val="0"/>
          <w:color w:val="000000"/>
        </w:rPr>
        <w:t xml:space="preserve">Takykardi / hypertensjon </w:t>
      </w:r>
    </w:p>
    <w:p w:rsidR="00DE417E" w:rsidRPr="009F60C0" w:rsidP="00DE417E" w14:paraId="715F3DD7" w14:textId="77777777">
      <w:pPr>
        <w:numPr>
          <w:ilvl w:val="0"/>
          <w:numId w:val="41"/>
        </w:numPr>
        <w:tabs>
          <w:tab w:val="clear" w:pos="360"/>
          <w:tab w:val="num" w:pos="720"/>
        </w:tabs>
        <w:spacing w:before="0" w:after="0"/>
        <w:ind w:left="720"/>
        <w:rPr>
          <w:rFonts w:ascii="Calibri" w:hAnsi="Calibri" w:cs="Calibri"/>
          <w:snapToGrid w:val="0"/>
          <w:color w:val="000000"/>
        </w:rPr>
      </w:pPr>
      <w:r w:rsidRPr="009F60C0">
        <w:rPr>
          <w:rFonts w:ascii="Calibri" w:hAnsi="Calibri" w:cs="Calibri"/>
          <w:snapToGrid w:val="0"/>
          <w:color w:val="000000"/>
        </w:rPr>
        <w:t>Hyponatremi (uten annen årsak)</w:t>
      </w:r>
    </w:p>
    <w:p w:rsidR="00DE417E" w:rsidRPr="009F60C0" w:rsidP="00DE417E" w14:paraId="6DD447C1" w14:textId="77777777">
      <w:pPr>
        <w:numPr>
          <w:ilvl w:val="0"/>
          <w:numId w:val="41"/>
        </w:numPr>
        <w:tabs>
          <w:tab w:val="clear" w:pos="360"/>
          <w:tab w:val="num" w:pos="720"/>
        </w:tabs>
        <w:spacing w:before="0" w:after="0"/>
        <w:ind w:left="720"/>
        <w:rPr>
          <w:rFonts w:ascii="Calibri" w:hAnsi="Calibri" w:cs="Calibri"/>
          <w:snapToGrid w:val="0"/>
          <w:color w:val="000000"/>
        </w:rPr>
      </w:pPr>
      <w:r w:rsidRPr="009F60C0">
        <w:rPr>
          <w:rFonts w:ascii="Calibri" w:hAnsi="Calibri" w:cs="Calibri"/>
          <w:snapToGrid w:val="0"/>
          <w:color w:val="000000"/>
        </w:rPr>
        <w:t>Insomni / agitasjon / psykose / hallusinose / angst / depresjon</w:t>
      </w:r>
    </w:p>
    <w:p w:rsidR="00DE417E" w:rsidRPr="009F60C0" w:rsidP="00DE417E" w14:paraId="03D1B1A0" w14:textId="77777777">
      <w:pPr>
        <w:numPr>
          <w:ilvl w:val="0"/>
          <w:numId w:val="41"/>
        </w:numPr>
        <w:tabs>
          <w:tab w:val="clear" w:pos="360"/>
          <w:tab w:val="num" w:pos="720"/>
        </w:tabs>
        <w:spacing w:before="0" w:after="0"/>
        <w:ind w:left="720"/>
        <w:rPr>
          <w:rFonts w:ascii="Calibri" w:hAnsi="Calibri" w:cs="Calibri"/>
          <w:snapToGrid w:val="0"/>
          <w:color w:val="000000"/>
        </w:rPr>
      </w:pPr>
      <w:r w:rsidRPr="009F60C0">
        <w:rPr>
          <w:rFonts w:ascii="Calibri" w:hAnsi="Calibri" w:cs="Calibri"/>
          <w:snapToGrid w:val="0"/>
          <w:color w:val="000000"/>
        </w:rPr>
        <w:t>Nummenhet i ekstremiteter</w:t>
      </w:r>
    </w:p>
    <w:p w:rsidR="00DE417E" w:rsidRPr="009F60C0" w:rsidP="00DE417E" w14:paraId="1E97FA01" w14:textId="77777777">
      <w:pPr>
        <w:numPr>
          <w:ilvl w:val="0"/>
          <w:numId w:val="41"/>
        </w:numPr>
        <w:tabs>
          <w:tab w:val="clear" w:pos="360"/>
          <w:tab w:val="num" w:pos="720"/>
        </w:tabs>
        <w:spacing w:before="0" w:after="0"/>
        <w:ind w:left="720"/>
        <w:rPr>
          <w:rFonts w:ascii="Calibri" w:hAnsi="Calibri" w:cs="Calibri"/>
          <w:snapToGrid w:val="0"/>
          <w:color w:val="000000"/>
        </w:rPr>
      </w:pPr>
      <w:r w:rsidRPr="009F60C0">
        <w:rPr>
          <w:rFonts w:ascii="Calibri" w:hAnsi="Calibri" w:cs="Calibri"/>
          <w:snapToGrid w:val="0"/>
          <w:color w:val="000000"/>
        </w:rPr>
        <w:t xml:space="preserve">Svekket muskelkraft / </w:t>
      </w:r>
      <w:r w:rsidRPr="009F60C0">
        <w:rPr>
          <w:rFonts w:ascii="Calibri" w:hAnsi="Calibri" w:cs="Calibri"/>
          <w:snapToGrid w:val="0"/>
          <w:color w:val="000000"/>
        </w:rPr>
        <w:t>parese / paralyse / urinretensjon</w:t>
      </w:r>
    </w:p>
    <w:p w:rsidR="00DE417E" w:rsidRPr="009F60C0" w:rsidP="00DE417E" w14:paraId="475EB8A7" w14:textId="77777777">
      <w:pPr>
        <w:numPr>
          <w:ilvl w:val="0"/>
          <w:numId w:val="41"/>
        </w:numPr>
        <w:tabs>
          <w:tab w:val="clear" w:pos="360"/>
          <w:tab w:val="num" w:pos="720"/>
        </w:tabs>
        <w:spacing w:before="0" w:after="0"/>
        <w:ind w:left="720"/>
        <w:rPr>
          <w:rFonts w:ascii="Calibri" w:hAnsi="Calibri" w:cs="Calibri"/>
          <w:snapToGrid w:val="0"/>
          <w:color w:val="000000"/>
        </w:rPr>
      </w:pPr>
      <w:r w:rsidRPr="009F60C0">
        <w:rPr>
          <w:rFonts w:ascii="Calibri" w:hAnsi="Calibri" w:cs="Calibri"/>
          <w:snapToGrid w:val="0"/>
          <w:color w:val="000000"/>
        </w:rPr>
        <w:t>Hodepine</w:t>
      </w:r>
    </w:p>
    <w:p w:rsidR="00DE417E" w:rsidRPr="009F60C0" w:rsidP="00DE417E" w14:paraId="17DEB2AA" w14:textId="77777777">
      <w:pPr>
        <w:numPr>
          <w:ilvl w:val="0"/>
          <w:numId w:val="41"/>
        </w:numPr>
        <w:tabs>
          <w:tab w:val="clear" w:pos="360"/>
          <w:tab w:val="num" w:pos="720"/>
        </w:tabs>
        <w:spacing w:before="0" w:after="0"/>
        <w:ind w:left="720"/>
        <w:rPr>
          <w:rFonts w:ascii="Calibri" w:hAnsi="Calibri" w:cs="Calibri"/>
          <w:snapToGrid w:val="0"/>
          <w:color w:val="000000"/>
        </w:rPr>
      </w:pPr>
      <w:r w:rsidRPr="009F60C0">
        <w:rPr>
          <w:rFonts w:ascii="Calibri" w:hAnsi="Calibri" w:cs="Calibri"/>
          <w:snapToGrid w:val="0"/>
          <w:color w:val="000000"/>
        </w:rPr>
        <w:t>Synsforstyrrelse / blindhet</w:t>
      </w:r>
    </w:p>
    <w:p w:rsidR="00DE417E" w:rsidRPr="009F60C0" w:rsidP="00DE417E" w14:paraId="5578EEFC" w14:textId="77777777">
      <w:pPr>
        <w:numPr>
          <w:ilvl w:val="0"/>
          <w:numId w:val="41"/>
        </w:numPr>
        <w:tabs>
          <w:tab w:val="clear" w:pos="360"/>
          <w:tab w:val="num" w:pos="720"/>
        </w:tabs>
        <w:spacing w:before="0" w:after="0"/>
        <w:ind w:left="720"/>
        <w:rPr>
          <w:rFonts w:ascii="Calibri" w:hAnsi="Calibri" w:cs="Calibri"/>
          <w:snapToGrid w:val="0"/>
          <w:color w:val="000000"/>
        </w:rPr>
      </w:pPr>
      <w:r w:rsidRPr="009F60C0">
        <w:rPr>
          <w:rFonts w:ascii="Calibri" w:hAnsi="Calibri" w:cs="Calibri"/>
          <w:snapToGrid w:val="0"/>
          <w:color w:val="000000"/>
        </w:rPr>
        <w:t xml:space="preserve">Heshet / viskestemme / respirasjonsvansker </w:t>
      </w:r>
    </w:p>
    <w:p w:rsidR="00DE417E" w:rsidRPr="009F60C0" w:rsidP="00DE417E" w14:paraId="1B75217A" w14:textId="77777777">
      <w:pPr>
        <w:numPr>
          <w:ilvl w:val="0"/>
          <w:numId w:val="41"/>
        </w:numPr>
        <w:tabs>
          <w:tab w:val="clear" w:pos="360"/>
          <w:tab w:val="num" w:pos="720"/>
        </w:tabs>
        <w:spacing w:before="0" w:after="0"/>
        <w:ind w:left="720"/>
        <w:rPr>
          <w:rFonts w:ascii="Calibri" w:hAnsi="Calibri" w:cs="Calibri"/>
          <w:snapToGrid w:val="0"/>
          <w:color w:val="000000"/>
        </w:rPr>
      </w:pPr>
      <w:r w:rsidRPr="009F60C0">
        <w:rPr>
          <w:rFonts w:ascii="Calibri" w:hAnsi="Calibri" w:cs="Calibri"/>
          <w:snapToGrid w:val="0"/>
          <w:color w:val="000000"/>
        </w:rPr>
        <w:t>Kramper</w:t>
      </w:r>
    </w:p>
    <w:p w:rsidR="00DE417E" w:rsidRPr="009F60C0" w:rsidP="00DE417E" w14:paraId="35A3A00D" w14:textId="77777777">
      <w:pPr>
        <w:tabs>
          <w:tab w:val="num" w:pos="720"/>
        </w:tabs>
        <w:rPr>
          <w:rFonts w:ascii="Calibri" w:hAnsi="Calibri" w:cs="Calibri"/>
          <w:b/>
          <w:snapToGrid w:val="0"/>
          <w:color w:val="000000"/>
        </w:rPr>
      </w:pPr>
    </w:p>
    <w:p w:rsidR="00DE417E" w:rsidP="00DE417E" w14:paraId="613FDABA" w14:textId="77777777">
      <w:pPr>
        <w:tabs>
          <w:tab w:val="num" w:pos="720"/>
        </w:tabs>
        <w:rPr>
          <w:rFonts w:ascii="Calibri" w:hAnsi="Calibri" w:cs="Calibri"/>
          <w:b/>
          <w:snapToGrid w:val="0"/>
          <w:color w:val="000000"/>
        </w:rPr>
      </w:pPr>
      <w:r w:rsidRPr="009F60C0">
        <w:rPr>
          <w:rFonts w:ascii="Calibri" w:hAnsi="Calibri" w:cs="Calibri"/>
          <w:b/>
          <w:snapToGrid w:val="0"/>
          <w:color w:val="000000"/>
        </w:rPr>
        <w:t xml:space="preserve">Hvordan kan en </w:t>
      </w:r>
      <w:r>
        <w:rPr>
          <w:rFonts w:ascii="Calibri" w:hAnsi="Calibri" w:cs="Calibri"/>
          <w:b/>
          <w:snapToGrid w:val="0"/>
          <w:color w:val="000000"/>
        </w:rPr>
        <w:t>avklare om</w:t>
      </w:r>
      <w:r w:rsidRPr="009F60C0">
        <w:rPr>
          <w:rFonts w:ascii="Calibri" w:hAnsi="Calibri" w:cs="Calibri"/>
          <w:b/>
          <w:snapToGrid w:val="0"/>
          <w:color w:val="000000"/>
        </w:rPr>
        <w:t xml:space="preserve"> pasienten har fått et akutt porfyrianfall?</w:t>
      </w:r>
      <w:r>
        <w:rPr>
          <w:rFonts w:ascii="Calibri" w:hAnsi="Calibri" w:cs="Calibri"/>
          <w:b/>
          <w:snapToGrid w:val="0"/>
          <w:color w:val="000000"/>
        </w:rPr>
        <w:t xml:space="preserve"> </w:t>
      </w:r>
    </w:p>
    <w:p w:rsidR="00DE417E" w:rsidP="00DE417E" w14:paraId="69B700C3" w14:textId="2E5C7130">
      <w:pPr>
        <w:tabs>
          <w:tab w:val="num" w:pos="720"/>
        </w:tabs>
        <w:rPr>
          <w:rFonts w:ascii="Calibri" w:hAnsi="Calibri" w:cs="Calibri"/>
          <w:snapToGrid w:val="0"/>
          <w:color w:val="000000"/>
        </w:rPr>
      </w:pPr>
      <w:r w:rsidRPr="009F60C0">
        <w:rPr>
          <w:rFonts w:ascii="Calibri" w:hAnsi="Calibri" w:cs="Calibri"/>
          <w:snapToGrid w:val="0"/>
          <w:color w:val="000000"/>
        </w:rPr>
        <w:t>Diagnostik</w:t>
      </w:r>
      <w:r>
        <w:rPr>
          <w:rFonts w:ascii="Calibri" w:hAnsi="Calibri" w:cs="Calibri"/>
          <w:snapToGrid w:val="0"/>
          <w:color w:val="000000"/>
        </w:rPr>
        <w:t>k av et akutt anfall baseres påvisning av økt utskillelse</w:t>
      </w:r>
      <w:r w:rsidRPr="009F60C0">
        <w:rPr>
          <w:rFonts w:ascii="Calibri" w:hAnsi="Calibri" w:cs="Calibri"/>
          <w:snapToGrid w:val="0"/>
          <w:color w:val="000000"/>
        </w:rPr>
        <w:t xml:space="preserve"> av metabolittene ALA og PBG i urin.</w:t>
      </w:r>
      <w:r>
        <w:rPr>
          <w:rFonts w:ascii="Calibri" w:hAnsi="Calibri" w:cs="Calibri"/>
          <w:snapToGrid w:val="0"/>
          <w:color w:val="000000"/>
        </w:rPr>
        <w:t xml:space="preserve"> </w:t>
      </w:r>
      <w:r w:rsidRPr="00902F00">
        <w:rPr>
          <w:rFonts w:ascii="Calibri" w:hAnsi="Calibri" w:cs="Calibri"/>
          <w:snapToGrid w:val="0"/>
          <w:color w:val="000000"/>
        </w:rPr>
        <w:t xml:space="preserve">Men ved klinisk mistanke om akutt porfyrianfall skal behandling startes uten at man venter på </w:t>
      </w:r>
      <w:r>
        <w:rPr>
          <w:rFonts w:ascii="Calibri" w:hAnsi="Calibri" w:cs="Calibri"/>
          <w:snapToGrid w:val="0"/>
          <w:color w:val="000000"/>
        </w:rPr>
        <w:t>svar på analyser,</w:t>
      </w:r>
      <w:r w:rsidRPr="00B964FC">
        <w:rPr>
          <w:rFonts w:ascii="Calibri" w:hAnsi="Calibri" w:cs="Calibri"/>
          <w:snapToGrid w:val="0"/>
          <w:color w:val="000000"/>
        </w:rPr>
        <w:t xml:space="preserve"> </w:t>
      </w:r>
      <w:r w:rsidRPr="00967907">
        <w:rPr>
          <w:rFonts w:ascii="Calibri" w:hAnsi="Calibri" w:cs="Calibri"/>
          <w:snapToGrid w:val="0"/>
          <w:color w:val="000000"/>
        </w:rPr>
        <w:t>se behandlingsrutiner for akutte porfyrianfall</w:t>
      </w:r>
      <w:r>
        <w:rPr>
          <w:rFonts w:ascii="Calibri" w:hAnsi="Calibri" w:cs="Calibri"/>
          <w:snapToGrid w:val="0"/>
          <w:color w:val="000000"/>
        </w:rPr>
        <w:t xml:space="preserve"> på </w:t>
      </w:r>
      <w:r w:rsidR="0006485E">
        <w:rPr>
          <w:rFonts w:ascii="Calibri" w:hAnsi="Calibri" w:cs="Calibri"/>
          <w:snapToGrid w:val="0"/>
          <w:color w:val="000000"/>
        </w:rPr>
        <w:t>Napos</w:t>
      </w:r>
      <w:r>
        <w:rPr>
          <w:rFonts w:ascii="Calibri" w:hAnsi="Calibri" w:cs="Calibri"/>
          <w:snapToGrid w:val="0"/>
          <w:color w:val="000000"/>
        </w:rPr>
        <w:t xml:space="preserve"> sine nettsider;</w:t>
      </w:r>
      <w:r>
        <w:rPr>
          <w:rFonts w:ascii="Calibri" w:hAnsi="Calibri" w:cs="Calibri"/>
          <w:snapToGrid w:val="0"/>
          <w:color w:val="000000"/>
        </w:rPr>
        <w:t xml:space="preserve"> </w:t>
      </w:r>
      <w:hyperlink r:id="rId9" w:tooltip="XRF11777" w:history="1">
        <w:r w:rsidRPr="00235CF7">
          <w:rPr>
            <w:rStyle w:val="Hyperlink"/>
          </w:rPr>
          <w:fldChar w:fldCharType="begin" w:fldLock="1"/>
        </w:r>
        <w:r w:rsidRPr="00235CF7">
          <w:rPr>
            <w:rStyle w:val="Hyperlink"/>
          </w:rPr>
          <w:instrText xml:space="preserve"> DOCPROPERTY XRT11777 *charformat * MERGEFORMAT </w:instrText>
        </w:r>
        <w:r w:rsidRPr="00235CF7">
          <w:rPr>
            <w:rStyle w:val="Hyperlink"/>
          </w:rPr>
          <w:fldChar w:fldCharType="separate"/>
        </w:r>
        <w:r w:rsidRPr="00235CF7">
          <w:rPr>
            <w:rStyle w:val="Hyperlink"/>
          </w:rPr>
          <w:t>Rutiner for sykehusbehandling av akutte porfyrianfall (pdf)</w:t>
        </w:r>
        <w:r w:rsidRPr="00235CF7">
          <w:rPr>
            <w:rStyle w:val="Hyperlink"/>
          </w:rPr>
          <w:fldChar w:fldCharType="end"/>
        </w:r>
      </w:hyperlink>
      <w:r>
        <w:rPr>
          <w:rStyle w:val="Hyperlink"/>
        </w:rPr>
        <w:t>.</w:t>
      </w:r>
      <w:r w:rsidRPr="00235CF7">
        <w:t xml:space="preserve"> </w:t>
      </w:r>
    </w:p>
    <w:p w:rsidR="00DE417E" w:rsidP="00DE417E" w14:paraId="2CA527F6" w14:textId="77777777">
      <w:pPr>
        <w:tabs>
          <w:tab w:val="num" w:pos="720"/>
        </w:tabs>
        <w:rPr>
          <w:rFonts w:ascii="Calibri" w:hAnsi="Calibri" w:cs="Calibri"/>
          <w:snapToGrid w:val="0"/>
          <w:color w:val="000000"/>
        </w:rPr>
      </w:pPr>
    </w:p>
    <w:p w:rsidR="00DE417E" w:rsidP="00DE417E" w14:paraId="56FACA27" w14:textId="24B3CEDC">
      <w:pPr>
        <w:tabs>
          <w:tab w:val="num" w:pos="720"/>
        </w:tabs>
        <w:rPr>
          <w:rFonts w:ascii="Calibri" w:hAnsi="Calibri" w:cs="Calibri"/>
          <w:snapToGrid w:val="0"/>
          <w:color w:val="000000"/>
        </w:rPr>
      </w:pPr>
      <w:r w:rsidRPr="00967907">
        <w:rPr>
          <w:rFonts w:ascii="Calibri" w:hAnsi="Calibri" w:cs="Calibri"/>
          <w:snapToGrid w:val="0"/>
          <w:color w:val="000000"/>
        </w:rPr>
        <w:t xml:space="preserve">Ta kontakt med </w:t>
      </w:r>
      <w:r w:rsidR="0006485E">
        <w:rPr>
          <w:rFonts w:ascii="Calibri" w:hAnsi="Calibri" w:cs="Calibri"/>
          <w:snapToGrid w:val="0"/>
          <w:color w:val="000000"/>
        </w:rPr>
        <w:t>Napos</w:t>
      </w:r>
      <w:r w:rsidRPr="00967907">
        <w:rPr>
          <w:rFonts w:ascii="Calibri" w:hAnsi="Calibri" w:cs="Calibri"/>
          <w:snapToGrid w:val="0"/>
          <w:color w:val="000000"/>
        </w:rPr>
        <w:t xml:space="preserve"> på telefon 55 97 31 70 for å avtale innsending av </w:t>
      </w:r>
      <w:r>
        <w:rPr>
          <w:rFonts w:ascii="Calibri" w:hAnsi="Calibri" w:cs="Calibri"/>
          <w:snapToGrid w:val="0"/>
          <w:color w:val="000000"/>
        </w:rPr>
        <w:t>ØH-</w:t>
      </w:r>
      <w:r w:rsidRPr="00967907">
        <w:rPr>
          <w:rFonts w:ascii="Calibri" w:hAnsi="Calibri" w:cs="Calibri"/>
          <w:snapToGrid w:val="0"/>
          <w:color w:val="000000"/>
        </w:rPr>
        <w:t>prøve, hurtig analysering og telefonnummer for svarrapportering</w:t>
      </w:r>
      <w:r>
        <w:rPr>
          <w:rFonts w:ascii="Calibri" w:hAnsi="Calibri" w:cs="Calibri"/>
          <w:snapToGrid w:val="0"/>
          <w:color w:val="000000"/>
        </w:rPr>
        <w:t xml:space="preserve">. </w:t>
      </w:r>
    </w:p>
    <w:p w:rsidR="00DE417E" w:rsidP="00DE417E" w14:paraId="6E2A2670" w14:textId="77777777">
      <w:pPr>
        <w:tabs>
          <w:tab w:val="num" w:pos="720"/>
        </w:tabs>
        <w:rPr>
          <w:rFonts w:ascii="Calibri" w:hAnsi="Calibri" w:cs="Calibri"/>
          <w:snapToGrid w:val="0"/>
          <w:color w:val="000000"/>
        </w:rPr>
      </w:pPr>
    </w:p>
    <w:p w:rsidR="00DE417E" w:rsidP="00DE417E" w14:paraId="62118295" w14:textId="77777777">
      <w:pPr>
        <w:numPr>
          <w:ilvl w:val="0"/>
          <w:numId w:val="43"/>
        </w:numPr>
        <w:spacing w:before="0" w:after="0"/>
        <w:rPr>
          <w:rFonts w:ascii="Calibri" w:hAnsi="Calibri" w:cs="Calibri"/>
          <w:snapToGrid w:val="0"/>
          <w:color w:val="000000"/>
        </w:rPr>
      </w:pPr>
      <w:r w:rsidRPr="009F60C0">
        <w:rPr>
          <w:rFonts w:ascii="Calibri" w:hAnsi="Calibri" w:cs="Calibri"/>
          <w:snapToGrid w:val="0"/>
          <w:color w:val="000000"/>
        </w:rPr>
        <w:t>Ta morgen</w:t>
      </w:r>
      <w:r>
        <w:rPr>
          <w:rFonts w:ascii="Calibri" w:hAnsi="Calibri" w:cs="Calibri"/>
          <w:snapToGrid w:val="0"/>
          <w:color w:val="000000"/>
        </w:rPr>
        <w:t>-/spoturin</w:t>
      </w:r>
      <w:r w:rsidRPr="009F60C0">
        <w:rPr>
          <w:rFonts w:ascii="Calibri" w:hAnsi="Calibri" w:cs="Calibri"/>
          <w:snapToGrid w:val="0"/>
          <w:color w:val="000000"/>
        </w:rPr>
        <w:t>prøve på glass uten tilsetning, pakkes i aluminiumsfolie</w:t>
      </w:r>
      <w:r>
        <w:rPr>
          <w:rFonts w:ascii="Calibri" w:hAnsi="Calibri" w:cs="Calibri"/>
          <w:snapToGrid w:val="0"/>
          <w:color w:val="000000"/>
        </w:rPr>
        <w:t>.</w:t>
      </w:r>
    </w:p>
    <w:p w:rsidR="00DE417E" w:rsidRPr="00902F00" w:rsidP="00DE417E" w14:paraId="54CB7D8C" w14:textId="07BEF08B">
      <w:pPr>
        <w:numPr>
          <w:ilvl w:val="0"/>
          <w:numId w:val="43"/>
        </w:numPr>
        <w:spacing w:before="0" w:after="0"/>
        <w:rPr>
          <w:rFonts w:ascii="Calibri" w:hAnsi="Calibri" w:cs="Calibri"/>
          <w:snapToGrid w:val="0"/>
          <w:color w:val="000000"/>
        </w:rPr>
      </w:pPr>
      <w:r w:rsidRPr="00902F00">
        <w:rPr>
          <w:rFonts w:ascii="Calibri" w:hAnsi="Calibri" w:cs="Calibri"/>
          <w:snapToGrid w:val="0"/>
          <w:color w:val="000000"/>
        </w:rPr>
        <w:t>Send prøve med «</w:t>
      </w:r>
      <w:r>
        <w:rPr>
          <w:rFonts w:ascii="Calibri" w:hAnsi="Calibri" w:cs="Calibri"/>
          <w:snapToGrid w:val="0"/>
          <w:color w:val="000000"/>
        </w:rPr>
        <w:t>E</w:t>
      </w:r>
      <w:r w:rsidRPr="00902F00">
        <w:rPr>
          <w:rFonts w:ascii="Calibri" w:hAnsi="Calibri" w:cs="Calibri"/>
          <w:snapToGrid w:val="0"/>
          <w:color w:val="000000"/>
        </w:rPr>
        <w:t xml:space="preserve">kspress </w:t>
      </w:r>
      <w:r>
        <w:rPr>
          <w:rFonts w:ascii="Calibri" w:hAnsi="Calibri" w:cs="Calibri"/>
          <w:snapToGrid w:val="0"/>
          <w:color w:val="000000"/>
        </w:rPr>
        <w:t>neste dag</w:t>
      </w:r>
      <w:r w:rsidRPr="00902F00">
        <w:rPr>
          <w:rFonts w:ascii="Calibri" w:hAnsi="Calibri" w:cs="Calibri"/>
          <w:snapToGrid w:val="0"/>
          <w:color w:val="000000"/>
        </w:rPr>
        <w:t>» til Haukeland universitetssjukehus</w:t>
      </w:r>
      <w:r>
        <w:rPr>
          <w:rFonts w:ascii="Calibri" w:hAnsi="Calibri" w:cs="Calibri"/>
          <w:snapToGrid w:val="0"/>
          <w:color w:val="000000"/>
        </w:rPr>
        <w:t xml:space="preserve">. </w:t>
      </w:r>
      <w:r w:rsidRPr="00902F00">
        <w:rPr>
          <w:rFonts w:ascii="Calibri" w:hAnsi="Calibri" w:cs="Calibri"/>
          <w:snapToGrid w:val="0"/>
          <w:color w:val="000000"/>
        </w:rPr>
        <w:t xml:space="preserve">Detaljert informasjon om prøvetaking og forsendelse finnes på </w:t>
      </w:r>
      <w:hyperlink r:id="rId8" w:history="1">
        <w:r w:rsidR="0006485E">
          <w:rPr>
            <w:rStyle w:val="Hyperlink"/>
            <w:rFonts w:ascii="Calibri" w:hAnsi="Calibri" w:cs="Calibri"/>
            <w:snapToGrid w:val="0"/>
          </w:rPr>
          <w:t>Napos</w:t>
        </w:r>
        <w:r w:rsidRPr="009656F2">
          <w:rPr>
            <w:rStyle w:val="Hyperlink"/>
            <w:rFonts w:ascii="Calibri" w:hAnsi="Calibri" w:cs="Calibri"/>
            <w:snapToGrid w:val="0"/>
          </w:rPr>
          <w:t xml:space="preserve"> sine nettsider</w:t>
        </w:r>
      </w:hyperlink>
      <w:r>
        <w:rPr>
          <w:rFonts w:ascii="Calibri" w:hAnsi="Calibri" w:cs="Calibri"/>
          <w:snapToGrid w:val="0"/>
          <w:color w:val="000000"/>
        </w:rPr>
        <w:t>.</w:t>
      </w:r>
    </w:p>
    <w:p w:rsidR="00DE417E" w:rsidRPr="00B964FC" w:rsidP="00DE417E" w14:paraId="1D9C4186" w14:textId="77777777">
      <w:pPr>
        <w:ind w:left="360"/>
        <w:rPr>
          <w:rFonts w:ascii="Calibri" w:hAnsi="Calibri" w:cs="Calibri"/>
          <w:snapToGrid w:val="0"/>
          <w:color w:val="000000"/>
        </w:rPr>
      </w:pPr>
    </w:p>
    <w:p w:rsidR="00DE417E" w:rsidRPr="00B964FC" w:rsidP="00DE417E" w14:paraId="0E8A671B" w14:textId="77777777">
      <w:pPr>
        <w:rPr>
          <w:rFonts w:ascii="Calibri" w:hAnsi="Calibri" w:cs="Calibri"/>
          <w:snapToGrid w:val="0"/>
          <w:color w:val="000000"/>
        </w:rPr>
      </w:pPr>
      <w:r>
        <w:rPr>
          <w:rFonts w:ascii="Calibri" w:hAnsi="Calibri" w:cs="Calibri"/>
          <w:snapToGrid w:val="0"/>
          <w:color w:val="000000"/>
        </w:rPr>
        <w:br/>
      </w:r>
      <w:r w:rsidRPr="00B964FC">
        <w:rPr>
          <w:rFonts w:ascii="Calibri" w:hAnsi="Calibri" w:cs="Calibri"/>
          <w:snapToGrid w:val="0"/>
          <w:color w:val="000000"/>
        </w:rPr>
        <w:t xml:space="preserve">En del AIP pasienter har også i symptomfrie faser økt/høy utskillelse av ALA og PBG i urin. Ved et akutt anfall hos disse pasientene vil en forvente en dobling av de </w:t>
      </w:r>
      <w:r>
        <w:rPr>
          <w:rFonts w:ascii="Calibri" w:hAnsi="Calibri" w:cs="Calibri"/>
          <w:snapToGrid w:val="0"/>
          <w:color w:val="000000"/>
        </w:rPr>
        <w:t>det nivået man ser i asymptomatisk fase</w:t>
      </w:r>
      <w:r w:rsidRPr="00B964FC">
        <w:rPr>
          <w:rFonts w:ascii="Calibri" w:hAnsi="Calibri" w:cs="Calibri"/>
          <w:snapToGrid w:val="0"/>
          <w:color w:val="000000"/>
        </w:rPr>
        <w:t xml:space="preserve">, men den kliniske vurderingen vil her spille en større rolle. ALA og PBG under øvre referansegrense utelukker et akutt anfall som årsak til pasientens symptomer. </w:t>
      </w:r>
    </w:p>
    <w:p w:rsidR="0006485E" w:rsidP="0006485E" w14:paraId="243847E2" w14:textId="77777777">
      <w:pPr>
        <w:tabs>
          <w:tab w:val="num" w:pos="720"/>
        </w:tabs>
        <w:spacing w:before="240" w:after="360"/>
        <w:jc w:val="center"/>
        <w:rPr>
          <w:rFonts w:ascii="Calibri" w:hAnsi="Calibri" w:cs="Calibri"/>
          <w:b/>
          <w:snapToGrid w:val="0"/>
          <w:color w:val="000000"/>
        </w:rPr>
      </w:pPr>
      <w:r w:rsidRPr="00B964FC">
        <w:rPr>
          <w:rFonts w:ascii="Calibri" w:hAnsi="Calibri" w:cs="Calibri"/>
          <w:b/>
          <w:snapToGrid w:val="0"/>
          <w:color w:val="000000"/>
        </w:rPr>
        <w:t>…………………………………………………………………………………………………..</w:t>
      </w:r>
    </w:p>
    <w:p w:rsidR="0006485E" w:rsidP="0006485E" w14:paraId="2F683C54" w14:textId="77777777">
      <w:pPr>
        <w:tabs>
          <w:tab w:val="num" w:pos="720"/>
        </w:tabs>
        <w:rPr>
          <w:rFonts w:ascii="Calibri" w:hAnsi="Calibri" w:cs="Calibri"/>
          <w:sz w:val="32"/>
          <w:szCs w:val="32"/>
        </w:rPr>
      </w:pPr>
      <w:r w:rsidRPr="006722EF">
        <w:rPr>
          <w:rFonts w:ascii="Calibri" w:hAnsi="Calibri" w:cs="Calibri"/>
          <w:sz w:val="32"/>
          <w:szCs w:val="32"/>
        </w:rPr>
        <w:t>Trygge anestesimidler og andre relevante legemidler:</w:t>
      </w:r>
    </w:p>
    <w:p w:rsidR="0006485E" w:rsidP="0006485E" w14:paraId="4CDF29C6" w14:textId="31E80CF0">
      <w:pPr>
        <w:pStyle w:val="BodyText2"/>
        <w:rPr>
          <w:rFonts w:ascii="Calibri" w:hAnsi="Calibri" w:cs="Calibri"/>
          <w:b w:val="0"/>
          <w:i/>
          <w:iCs/>
          <w:sz w:val="24"/>
          <w:szCs w:val="24"/>
        </w:rPr>
      </w:pPr>
      <w:r w:rsidRPr="006722EF">
        <w:rPr>
          <w:rFonts w:ascii="Calibri" w:hAnsi="Calibri" w:cs="Calibri"/>
          <w:b w:val="0"/>
          <w:i/>
          <w:iCs/>
          <w:sz w:val="24"/>
          <w:szCs w:val="24"/>
        </w:rPr>
        <w:t xml:space="preserve">Følgende legemidler er klassifisert som trygge for pasienter med akutte porfyrisykdommer </w:t>
      </w:r>
      <w:r w:rsidRPr="006722EF">
        <w:rPr>
          <w:rFonts w:ascii="Calibri" w:hAnsi="Calibri" w:cs="Calibri"/>
          <w:b w:val="0"/>
          <w:iCs/>
          <w:sz w:val="24"/>
          <w:szCs w:val="24"/>
        </w:rPr>
        <w:t xml:space="preserve">(se </w:t>
      </w:r>
      <w:r w:rsidRPr="006722EF">
        <w:rPr>
          <w:rFonts w:ascii="Calibri" w:hAnsi="Calibri" w:cs="Calibri"/>
          <w:b w:val="0"/>
          <w:i/>
          <w:iCs/>
          <w:sz w:val="24"/>
          <w:szCs w:val="24"/>
        </w:rPr>
        <w:t xml:space="preserve">også </w:t>
      </w:r>
      <w:hyperlink r:id="rId7" w:history="1">
        <w:r w:rsidRPr="006722EF">
          <w:rPr>
            <w:rStyle w:val="Hyperlink"/>
            <w:rFonts w:ascii="Calibri" w:hAnsi="Calibri" w:cs="Calibri"/>
            <w:b w:val="0"/>
            <w:i/>
            <w:sz w:val="24"/>
            <w:szCs w:val="24"/>
          </w:rPr>
          <w:t>drugs-porphyria.org</w:t>
        </w:r>
      </w:hyperlink>
      <w:r w:rsidRPr="006722EF">
        <w:rPr>
          <w:rFonts w:ascii="Calibri" w:hAnsi="Calibri" w:cs="Calibri"/>
          <w:b w:val="0"/>
          <w:i/>
          <w:sz w:val="24"/>
          <w:szCs w:val="24"/>
        </w:rPr>
        <w:t>)</w:t>
      </w:r>
      <w:r w:rsidRPr="006722EF">
        <w:rPr>
          <w:rFonts w:ascii="Calibri" w:hAnsi="Calibri" w:cs="Calibri"/>
          <w:b w:val="0"/>
          <w:i/>
          <w:iCs/>
          <w:sz w:val="24"/>
          <w:szCs w:val="24"/>
        </w:rPr>
        <w:t>:</w:t>
      </w:r>
    </w:p>
    <w:p w:rsidR="004214F2" w:rsidP="0006485E" w14:paraId="5E854658" w14:textId="77777777">
      <w:pPr>
        <w:pStyle w:val="BodyText2"/>
        <w:rPr>
          <w:rFonts w:ascii="Calibri" w:hAnsi="Calibri" w:cs="Calibri"/>
          <w:b w:val="0"/>
          <w:i/>
          <w:iCs/>
          <w:sz w:val="24"/>
          <w:szCs w:val="24"/>
        </w:rPr>
      </w:pPr>
    </w:p>
    <w:p w:rsidR="004214F2" w:rsidP="004214F2" w14:paraId="5647419B" w14:textId="77777777">
      <w:pPr>
        <w:rPr>
          <w:lang w:val="sv-SE"/>
        </w:rPr>
        <w:sectPr w:rsidSect="00D34484">
          <w:headerReference w:type="even" r:id="rId10"/>
          <w:footerReference w:type="even" r:id="rId11"/>
          <w:footerReference w:type="default" r:id="rId12"/>
          <w:headerReference w:type="first" r:id="rId13"/>
          <w:footerReference w:type="first" r:id="rId14"/>
          <w:type w:val="continuous"/>
          <w:pgSz w:w="11907" w:h="16840" w:code="9"/>
          <w:pgMar w:top="1417" w:right="1417" w:bottom="1417" w:left="1417" w:header="397" w:footer="170" w:gutter="0"/>
          <w:pgNumType w:start="1"/>
          <w:cols w:space="708"/>
          <w:formProt w:val="0"/>
          <w:titlePg/>
          <w:docGrid w:linePitch="326"/>
        </w:sectPr>
      </w:pPr>
    </w:p>
    <w:p w:rsidR="004214F2" w:rsidRPr="004214F2" w:rsidP="004214F2" w14:paraId="17924E92" w14:textId="77777777">
      <w:pPr>
        <w:spacing w:after="40"/>
        <w:rPr>
          <w:b/>
          <w:sz w:val="28"/>
          <w:lang w:val="sv-SE"/>
        </w:rPr>
      </w:pPr>
      <w:r w:rsidRPr="004214F2">
        <w:rPr>
          <w:b/>
          <w:sz w:val="28"/>
          <w:lang w:val="sv-SE"/>
        </w:rPr>
        <w:t>Avslappende</w:t>
      </w:r>
    </w:p>
    <w:p w:rsidR="004214F2" w:rsidRPr="004214F2" w:rsidP="004214F2" w14:paraId="62DCF06F" w14:textId="77777777">
      <w:pPr>
        <w:spacing w:before="0" w:after="0"/>
        <w:rPr>
          <w:lang w:val="sv-SE"/>
        </w:rPr>
      </w:pPr>
      <w:r w:rsidRPr="004214F2">
        <w:rPr>
          <w:lang w:val="sv-SE"/>
        </w:rPr>
        <w:t>Diazepam</w:t>
      </w:r>
    </w:p>
    <w:p w:rsidR="004214F2" w:rsidRPr="004214F2" w:rsidP="004214F2" w14:paraId="5100B168" w14:textId="77777777">
      <w:pPr>
        <w:spacing w:before="0" w:after="0"/>
        <w:rPr>
          <w:lang w:val="sv-SE"/>
        </w:rPr>
      </w:pPr>
      <w:r w:rsidRPr="004214F2">
        <w:rPr>
          <w:lang w:val="sv-SE"/>
        </w:rPr>
        <w:t>Oksazepam</w:t>
      </w:r>
    </w:p>
    <w:p w:rsidR="004214F2" w:rsidRPr="004214F2" w:rsidP="004214F2" w14:paraId="22A2CFE1" w14:textId="77777777">
      <w:pPr>
        <w:spacing w:before="0" w:after="0"/>
        <w:rPr>
          <w:lang w:val="sv-SE"/>
        </w:rPr>
      </w:pPr>
      <w:r w:rsidRPr="004214F2">
        <w:rPr>
          <w:lang w:val="sv-SE"/>
        </w:rPr>
        <w:t xml:space="preserve">Midazolam </w:t>
      </w:r>
    </w:p>
    <w:p w:rsidR="004214F2" w:rsidRPr="004214F2" w:rsidP="004214F2" w14:paraId="372D569D" w14:textId="77777777">
      <w:pPr>
        <w:spacing w:after="40"/>
        <w:rPr>
          <w:b/>
          <w:sz w:val="28"/>
          <w:lang w:val="sv-SE"/>
        </w:rPr>
      </w:pPr>
      <w:r w:rsidRPr="004214F2">
        <w:rPr>
          <w:b/>
          <w:sz w:val="28"/>
          <w:lang w:val="sv-SE"/>
        </w:rPr>
        <w:t>Analgetika</w:t>
      </w:r>
    </w:p>
    <w:p w:rsidR="004214F2" w:rsidRPr="004214F2" w:rsidP="004214F2" w14:paraId="6160A6D1" w14:textId="77777777">
      <w:pPr>
        <w:spacing w:before="0" w:after="0"/>
        <w:rPr>
          <w:lang w:val="sv-SE"/>
        </w:rPr>
      </w:pPr>
      <w:r w:rsidRPr="004214F2">
        <w:rPr>
          <w:lang w:val="sv-SE"/>
        </w:rPr>
        <w:t>Fentanyl</w:t>
      </w:r>
    </w:p>
    <w:p w:rsidR="004214F2" w:rsidRPr="004214F2" w:rsidP="004214F2" w14:paraId="53EC7B56" w14:textId="77777777">
      <w:pPr>
        <w:spacing w:before="0" w:after="0"/>
        <w:rPr>
          <w:lang w:val="sv-SE"/>
        </w:rPr>
      </w:pPr>
      <w:r w:rsidRPr="004214F2">
        <w:rPr>
          <w:lang w:val="sv-SE"/>
        </w:rPr>
        <w:t>Buprenorfin</w:t>
      </w:r>
    </w:p>
    <w:p w:rsidR="004214F2" w:rsidRPr="004214F2" w:rsidP="004214F2" w14:paraId="32448329" w14:textId="77777777">
      <w:pPr>
        <w:spacing w:before="0" w:after="0"/>
        <w:rPr>
          <w:lang w:val="sv-SE"/>
        </w:rPr>
      </w:pPr>
      <w:r w:rsidRPr="004214F2">
        <w:rPr>
          <w:lang w:val="sv-SE"/>
        </w:rPr>
        <w:t>Diklofenak</w:t>
      </w:r>
    </w:p>
    <w:p w:rsidR="004214F2" w:rsidRPr="004214F2" w:rsidP="004214F2" w14:paraId="09688B79" w14:textId="77777777">
      <w:pPr>
        <w:spacing w:before="0" w:after="0"/>
        <w:rPr>
          <w:lang w:val="sv-SE"/>
        </w:rPr>
      </w:pPr>
      <w:r w:rsidRPr="004214F2">
        <w:rPr>
          <w:lang w:val="sv-SE"/>
        </w:rPr>
        <w:t>Hydromorfon</w:t>
      </w:r>
    </w:p>
    <w:p w:rsidR="004214F2" w:rsidRPr="004214F2" w:rsidP="004214F2" w14:paraId="0ABB50B1" w14:textId="77777777">
      <w:pPr>
        <w:spacing w:before="0" w:after="0"/>
        <w:rPr>
          <w:lang w:val="sv-SE"/>
        </w:rPr>
      </w:pPr>
      <w:r w:rsidRPr="004214F2">
        <w:rPr>
          <w:lang w:val="sv-SE"/>
        </w:rPr>
        <w:t>Ibuprofen</w:t>
      </w:r>
    </w:p>
    <w:p w:rsidR="004214F2" w:rsidRPr="004214F2" w:rsidP="004214F2" w14:paraId="4F133E76" w14:textId="77777777">
      <w:pPr>
        <w:spacing w:before="0" w:after="0"/>
        <w:rPr>
          <w:lang w:val="sv-SE"/>
        </w:rPr>
      </w:pPr>
      <w:r w:rsidRPr="004214F2">
        <w:rPr>
          <w:lang w:val="sv-SE"/>
        </w:rPr>
        <w:t>Ketobemidon</w:t>
      </w:r>
    </w:p>
    <w:p w:rsidR="004214F2" w:rsidRPr="004214F2" w:rsidP="004214F2" w14:paraId="30501C7F" w14:textId="77777777">
      <w:pPr>
        <w:spacing w:before="0" w:after="0"/>
        <w:rPr>
          <w:lang w:val="sv-SE"/>
        </w:rPr>
      </w:pPr>
      <w:r w:rsidRPr="004214F2">
        <w:rPr>
          <w:lang w:val="sv-SE"/>
        </w:rPr>
        <w:t>Ketorolak</w:t>
      </w:r>
    </w:p>
    <w:p w:rsidR="004214F2" w:rsidRPr="004214F2" w:rsidP="004214F2" w14:paraId="0C61EFA2" w14:textId="77777777">
      <w:pPr>
        <w:spacing w:before="0" w:after="0"/>
        <w:rPr>
          <w:lang w:val="sv-SE"/>
        </w:rPr>
      </w:pPr>
      <w:r w:rsidRPr="004214F2">
        <w:rPr>
          <w:lang w:val="sv-SE"/>
        </w:rPr>
        <w:t>Klonidin</w:t>
      </w:r>
    </w:p>
    <w:p w:rsidR="004214F2" w:rsidRPr="004214F2" w:rsidP="004214F2" w14:paraId="2432D5DF" w14:textId="77777777">
      <w:pPr>
        <w:spacing w:before="0" w:after="0"/>
        <w:rPr>
          <w:lang w:val="sv-SE"/>
        </w:rPr>
      </w:pPr>
      <w:r w:rsidRPr="004214F2">
        <w:rPr>
          <w:lang w:val="sv-SE"/>
        </w:rPr>
        <w:t>Kodein</w:t>
      </w:r>
    </w:p>
    <w:p w:rsidR="004214F2" w:rsidRPr="004214F2" w:rsidP="004214F2" w14:paraId="4D439272" w14:textId="77777777">
      <w:pPr>
        <w:spacing w:before="0" w:after="0"/>
        <w:rPr>
          <w:lang w:val="sv-SE"/>
        </w:rPr>
      </w:pPr>
      <w:r w:rsidRPr="004214F2">
        <w:rPr>
          <w:lang w:val="sv-SE"/>
        </w:rPr>
        <w:t xml:space="preserve">Morfin </w:t>
      </w:r>
    </w:p>
    <w:p w:rsidR="004214F2" w:rsidRPr="004214F2" w:rsidP="004214F2" w14:paraId="3455EF5D" w14:textId="77777777">
      <w:pPr>
        <w:spacing w:before="0" w:after="0"/>
        <w:rPr>
          <w:lang w:val="sv-SE"/>
        </w:rPr>
      </w:pPr>
      <w:r w:rsidRPr="004214F2">
        <w:rPr>
          <w:lang w:val="sv-SE"/>
        </w:rPr>
        <w:t>Naproxen</w:t>
      </w:r>
    </w:p>
    <w:p w:rsidR="004214F2" w:rsidRPr="004214F2" w:rsidP="004214F2" w14:paraId="5FCC955B" w14:textId="77777777">
      <w:pPr>
        <w:spacing w:before="0" w:after="0"/>
        <w:rPr>
          <w:lang w:val="sv-SE"/>
        </w:rPr>
      </w:pPr>
      <w:r w:rsidRPr="004214F2">
        <w:rPr>
          <w:lang w:val="sv-SE"/>
        </w:rPr>
        <w:t>Oksykodon</w:t>
      </w:r>
    </w:p>
    <w:p w:rsidR="004214F2" w:rsidRPr="004214F2" w:rsidP="004214F2" w14:paraId="468AA457" w14:textId="77777777">
      <w:pPr>
        <w:spacing w:before="0" w:after="0"/>
        <w:rPr>
          <w:lang w:val="sv-SE"/>
        </w:rPr>
      </w:pPr>
      <w:r w:rsidRPr="004214F2">
        <w:rPr>
          <w:lang w:val="sv-SE"/>
        </w:rPr>
        <w:t>Paracetamol</w:t>
      </w:r>
    </w:p>
    <w:p w:rsidR="004214F2" w:rsidRPr="004214F2" w:rsidP="004214F2" w14:paraId="4FCF871B" w14:textId="77777777">
      <w:pPr>
        <w:spacing w:before="0" w:after="0"/>
        <w:rPr>
          <w:lang w:val="sv-SE"/>
        </w:rPr>
      </w:pPr>
      <w:r w:rsidRPr="004214F2">
        <w:rPr>
          <w:lang w:val="sv-SE"/>
        </w:rPr>
        <w:t>Parekoksib</w:t>
      </w:r>
    </w:p>
    <w:p w:rsidR="004214F2" w:rsidRPr="004214F2" w:rsidP="004214F2" w14:paraId="677EE70E" w14:textId="77777777">
      <w:pPr>
        <w:spacing w:before="0" w:after="0"/>
        <w:rPr>
          <w:lang w:val="sv-SE"/>
        </w:rPr>
      </w:pPr>
      <w:r w:rsidRPr="004214F2">
        <w:rPr>
          <w:lang w:val="sv-SE"/>
        </w:rPr>
        <w:t>Petidin</w:t>
      </w:r>
    </w:p>
    <w:p w:rsidR="004214F2" w:rsidRPr="004214F2" w:rsidP="004214F2" w14:paraId="0A72F289" w14:textId="77777777">
      <w:pPr>
        <w:spacing w:before="0" w:after="0"/>
        <w:rPr>
          <w:lang w:val="sv-SE"/>
        </w:rPr>
      </w:pPr>
      <w:r w:rsidRPr="004214F2">
        <w:rPr>
          <w:lang w:val="sv-SE"/>
        </w:rPr>
        <w:t>Tramadol</w:t>
      </w:r>
    </w:p>
    <w:p w:rsidR="004214F2" w:rsidRPr="004214F2" w:rsidP="004214F2" w14:paraId="76CF1B34" w14:textId="77777777">
      <w:pPr>
        <w:spacing w:before="0" w:after="0"/>
        <w:rPr>
          <w:lang w:val="sv-SE"/>
        </w:rPr>
      </w:pPr>
      <w:r w:rsidRPr="004214F2">
        <w:rPr>
          <w:lang w:val="sv-SE"/>
        </w:rPr>
        <w:t>Tapentadol</w:t>
      </w:r>
    </w:p>
    <w:p w:rsidR="004214F2" w:rsidRPr="004214F2" w:rsidP="004214F2" w14:paraId="025384E4" w14:textId="77777777">
      <w:pPr>
        <w:spacing w:before="0" w:after="0"/>
        <w:rPr>
          <w:lang w:val="sv-SE"/>
        </w:rPr>
      </w:pPr>
    </w:p>
    <w:p w:rsidR="004214F2" w:rsidRPr="004214F2" w:rsidP="004214F2" w14:paraId="591DE0FD" w14:textId="77777777">
      <w:pPr>
        <w:spacing w:before="0" w:after="0"/>
        <w:rPr>
          <w:lang w:val="sv-SE"/>
        </w:rPr>
      </w:pPr>
    </w:p>
    <w:p w:rsidR="004214F2" w:rsidRPr="004214F2" w:rsidP="004214F2" w14:paraId="6A4D32A9" w14:textId="77777777">
      <w:pPr>
        <w:spacing w:before="0" w:after="0"/>
        <w:rPr>
          <w:lang w:val="sv-SE"/>
        </w:rPr>
      </w:pPr>
    </w:p>
    <w:p w:rsidR="004214F2" w:rsidRPr="004214F2" w:rsidP="004214F2" w14:paraId="2E9D6BB1" w14:textId="77777777">
      <w:pPr>
        <w:spacing w:before="0" w:after="0"/>
        <w:rPr>
          <w:lang w:val="sv-SE"/>
        </w:rPr>
      </w:pPr>
    </w:p>
    <w:p w:rsidR="003857A0" w:rsidP="003857A0" w14:paraId="08E1CD27" w14:textId="77777777">
      <w:pPr>
        <w:spacing w:after="40"/>
        <w:rPr>
          <w:b/>
          <w:sz w:val="28"/>
          <w:lang w:val="sv-SE"/>
        </w:rPr>
      </w:pPr>
    </w:p>
    <w:p w:rsidR="003857A0" w:rsidP="003857A0" w14:paraId="55239D36" w14:textId="77777777">
      <w:pPr>
        <w:spacing w:after="40"/>
        <w:rPr>
          <w:b/>
          <w:sz w:val="28"/>
          <w:lang w:val="sv-SE"/>
        </w:rPr>
      </w:pPr>
    </w:p>
    <w:p w:rsidR="004214F2" w:rsidRPr="003857A0" w:rsidP="003857A0" w14:paraId="68392729" w14:textId="59881893">
      <w:pPr>
        <w:spacing w:after="40"/>
        <w:rPr>
          <w:b/>
          <w:sz w:val="28"/>
          <w:lang w:val="sv-SE"/>
        </w:rPr>
      </w:pPr>
      <w:r w:rsidRPr="003857A0">
        <w:rPr>
          <w:b/>
          <w:sz w:val="28"/>
          <w:lang w:val="sv-SE"/>
        </w:rPr>
        <w:t>Anestetika</w:t>
      </w:r>
    </w:p>
    <w:p w:rsidR="004214F2" w:rsidRPr="004214F2" w:rsidP="004214F2" w14:paraId="73A04322" w14:textId="77777777">
      <w:pPr>
        <w:spacing w:before="0" w:after="0"/>
        <w:rPr>
          <w:lang w:val="sv-SE"/>
        </w:rPr>
      </w:pPr>
      <w:r w:rsidRPr="004214F2">
        <w:rPr>
          <w:lang w:val="sv-SE"/>
        </w:rPr>
        <w:t>Alfentanil</w:t>
      </w:r>
      <w:r w:rsidRPr="004214F2">
        <w:rPr>
          <w:lang w:val="sv-SE"/>
        </w:rPr>
        <w:tab/>
      </w:r>
      <w:r w:rsidRPr="004214F2">
        <w:rPr>
          <w:lang w:val="sv-SE"/>
        </w:rPr>
        <w:tab/>
      </w:r>
    </w:p>
    <w:p w:rsidR="004214F2" w:rsidRPr="004214F2" w:rsidP="004214F2" w14:paraId="663C5720" w14:textId="77777777">
      <w:pPr>
        <w:spacing w:before="0" w:after="0"/>
        <w:rPr>
          <w:lang w:val="sv-SE"/>
        </w:rPr>
      </w:pPr>
      <w:r w:rsidRPr="004214F2">
        <w:rPr>
          <w:lang w:val="sv-SE"/>
        </w:rPr>
        <w:t>Desfluran</w:t>
      </w:r>
    </w:p>
    <w:p w:rsidR="004214F2" w:rsidRPr="004214F2" w:rsidP="004214F2" w14:paraId="33E7567E" w14:textId="77777777">
      <w:pPr>
        <w:spacing w:before="0" w:after="0"/>
        <w:rPr>
          <w:lang w:val="sv-SE"/>
        </w:rPr>
      </w:pPr>
      <w:r w:rsidRPr="004214F2">
        <w:rPr>
          <w:lang w:val="sv-SE"/>
        </w:rPr>
        <w:t>Nitrogenoksid</w:t>
      </w:r>
    </w:p>
    <w:p w:rsidR="004214F2" w:rsidRPr="004214F2" w:rsidP="004214F2" w14:paraId="4CEE00E1" w14:textId="77777777">
      <w:pPr>
        <w:spacing w:before="0" w:after="0"/>
        <w:rPr>
          <w:lang w:val="sv-SE"/>
        </w:rPr>
      </w:pPr>
      <w:r w:rsidRPr="004214F2">
        <w:rPr>
          <w:lang w:val="sv-SE"/>
        </w:rPr>
        <w:t>Isofluran</w:t>
      </w:r>
    </w:p>
    <w:p w:rsidR="004214F2" w:rsidRPr="004214F2" w:rsidP="004214F2" w14:paraId="61A4A129" w14:textId="77777777">
      <w:pPr>
        <w:spacing w:before="0" w:after="0"/>
        <w:rPr>
          <w:lang w:val="sv-SE"/>
        </w:rPr>
      </w:pPr>
      <w:r w:rsidRPr="004214F2">
        <w:rPr>
          <w:lang w:val="sv-SE"/>
        </w:rPr>
        <w:t>Propofol</w:t>
      </w:r>
    </w:p>
    <w:p w:rsidR="004214F2" w:rsidRPr="004214F2" w:rsidP="004214F2" w14:paraId="03C7918B" w14:textId="77777777">
      <w:pPr>
        <w:spacing w:before="0" w:after="0"/>
        <w:rPr>
          <w:lang w:val="sv-SE"/>
        </w:rPr>
      </w:pPr>
      <w:r w:rsidRPr="004214F2">
        <w:rPr>
          <w:lang w:val="sv-SE"/>
        </w:rPr>
        <w:t xml:space="preserve">Remifentanil </w:t>
      </w:r>
    </w:p>
    <w:p w:rsidR="004214F2" w:rsidRPr="004214F2" w:rsidP="004214F2" w14:paraId="1A272756" w14:textId="77777777">
      <w:pPr>
        <w:spacing w:before="0" w:after="0"/>
        <w:rPr>
          <w:lang w:val="sv-SE"/>
        </w:rPr>
      </w:pPr>
      <w:r w:rsidRPr="004214F2">
        <w:rPr>
          <w:lang w:val="sv-SE"/>
        </w:rPr>
        <w:t xml:space="preserve">Sevolfuran    </w:t>
      </w:r>
    </w:p>
    <w:p w:rsidR="004214F2" w:rsidRPr="004214F2" w:rsidP="004214F2" w14:paraId="6B1CDDAA" w14:textId="77777777">
      <w:pPr>
        <w:spacing w:before="0" w:after="0"/>
        <w:rPr>
          <w:lang w:val="sv-SE"/>
        </w:rPr>
      </w:pPr>
      <w:r w:rsidRPr="004214F2">
        <w:rPr>
          <w:lang w:val="sv-SE"/>
        </w:rPr>
        <w:t>Sufentanil</w:t>
      </w:r>
    </w:p>
    <w:p w:rsidR="004214F2" w:rsidRPr="004214F2" w:rsidP="004214F2" w14:paraId="4D70B147" w14:textId="77777777">
      <w:pPr>
        <w:spacing w:before="0" w:after="0"/>
        <w:rPr>
          <w:lang w:val="sv-SE"/>
        </w:rPr>
      </w:pPr>
    </w:p>
    <w:p w:rsidR="004214F2" w:rsidRPr="004214F2" w:rsidP="004214F2" w14:paraId="774DC7A2" w14:textId="77777777">
      <w:pPr>
        <w:spacing w:after="40"/>
        <w:rPr>
          <w:b/>
          <w:sz w:val="28"/>
          <w:lang w:val="sv-SE"/>
        </w:rPr>
      </w:pPr>
      <w:r w:rsidRPr="004214F2">
        <w:rPr>
          <w:b/>
          <w:sz w:val="28"/>
          <w:lang w:val="sv-SE"/>
        </w:rPr>
        <w:t>Kvalmestillende</w:t>
      </w:r>
    </w:p>
    <w:p w:rsidR="004214F2" w:rsidRPr="004214F2" w:rsidP="004214F2" w14:paraId="7DF07FB1" w14:textId="77777777">
      <w:pPr>
        <w:spacing w:before="0" w:after="0"/>
        <w:rPr>
          <w:lang w:val="sv-SE"/>
        </w:rPr>
      </w:pPr>
      <w:r w:rsidRPr="004214F2">
        <w:rPr>
          <w:lang w:val="sv-SE"/>
        </w:rPr>
        <w:t xml:space="preserve">Droperidol </w:t>
      </w:r>
    </w:p>
    <w:p w:rsidR="004214F2" w:rsidRPr="004214F2" w:rsidP="004214F2" w14:paraId="0E5FB499" w14:textId="77777777">
      <w:pPr>
        <w:spacing w:before="0" w:after="0"/>
        <w:rPr>
          <w:lang w:val="sv-SE"/>
        </w:rPr>
      </w:pPr>
      <w:r w:rsidRPr="004214F2">
        <w:rPr>
          <w:lang w:val="sv-SE"/>
        </w:rPr>
        <w:t>Granisetron</w:t>
      </w:r>
    </w:p>
    <w:p w:rsidR="004214F2" w:rsidRPr="004214F2" w:rsidP="004214F2" w14:paraId="089FF879" w14:textId="77777777">
      <w:pPr>
        <w:spacing w:before="0" w:after="0"/>
        <w:rPr>
          <w:lang w:val="sv-SE"/>
        </w:rPr>
      </w:pPr>
      <w:r w:rsidRPr="004214F2">
        <w:rPr>
          <w:lang w:val="sv-SE"/>
        </w:rPr>
        <w:t xml:space="preserve">Ondansetron </w:t>
      </w:r>
    </w:p>
    <w:p w:rsidR="004214F2" w:rsidRPr="004214F2" w:rsidP="004214F2" w14:paraId="7C0BF7D8" w14:textId="77777777">
      <w:pPr>
        <w:spacing w:before="0" w:after="0"/>
        <w:rPr>
          <w:lang w:val="sv-SE"/>
        </w:rPr>
      </w:pPr>
      <w:r w:rsidRPr="004214F2">
        <w:rPr>
          <w:lang w:val="sv-SE"/>
        </w:rPr>
        <w:t>Metoklopramid</w:t>
      </w:r>
    </w:p>
    <w:p w:rsidR="004214F2" w:rsidRPr="004214F2" w:rsidP="004214F2" w14:paraId="72301B04" w14:textId="77777777">
      <w:pPr>
        <w:spacing w:before="0" w:after="0"/>
        <w:rPr>
          <w:lang w:val="sv-SE"/>
        </w:rPr>
      </w:pPr>
      <w:r w:rsidRPr="004214F2">
        <w:rPr>
          <w:lang w:val="sv-SE"/>
        </w:rPr>
        <w:t xml:space="preserve">Palonosetron </w:t>
      </w:r>
    </w:p>
    <w:p w:rsidR="004214F2" w:rsidRPr="004214F2" w:rsidP="004214F2" w14:paraId="3A896AE7" w14:textId="77777777">
      <w:pPr>
        <w:spacing w:before="0" w:after="0"/>
        <w:rPr>
          <w:lang w:val="sv-SE"/>
        </w:rPr>
      </w:pPr>
      <w:r w:rsidRPr="004214F2">
        <w:rPr>
          <w:lang w:val="sv-SE"/>
        </w:rPr>
        <w:t xml:space="preserve">Proklorperazin </w:t>
      </w:r>
    </w:p>
    <w:p w:rsidR="004214F2" w:rsidRPr="004214F2" w:rsidP="004214F2" w14:paraId="44D702E6" w14:textId="77777777">
      <w:pPr>
        <w:spacing w:before="0" w:after="0"/>
        <w:rPr>
          <w:lang w:val="sv-SE"/>
        </w:rPr>
      </w:pPr>
      <w:r w:rsidRPr="004214F2">
        <w:rPr>
          <w:lang w:val="sv-SE"/>
        </w:rPr>
        <w:t>Promethazin</w:t>
      </w:r>
    </w:p>
    <w:p w:rsidR="004214F2" w:rsidRPr="004214F2" w:rsidP="004214F2" w14:paraId="07970960" w14:textId="77777777">
      <w:pPr>
        <w:spacing w:before="0" w:after="0"/>
        <w:rPr>
          <w:lang w:val="sv-SE"/>
        </w:rPr>
      </w:pPr>
      <w:r w:rsidRPr="004214F2">
        <w:rPr>
          <w:lang w:val="sv-SE"/>
        </w:rPr>
        <w:t>Skopolamin</w:t>
      </w:r>
    </w:p>
    <w:p w:rsidR="004214F2" w:rsidRPr="004214F2" w:rsidP="004214F2" w14:paraId="484F56DB" w14:textId="77777777">
      <w:pPr>
        <w:spacing w:before="0" w:after="0"/>
        <w:rPr>
          <w:lang w:val="sv-SE"/>
        </w:rPr>
      </w:pPr>
      <w:r w:rsidRPr="004214F2">
        <w:rPr>
          <w:lang w:val="sv-SE"/>
        </w:rPr>
        <w:t xml:space="preserve">Syklizin </w:t>
      </w:r>
    </w:p>
    <w:p w:rsidR="004214F2" w:rsidRPr="004214F2" w:rsidP="004214F2" w14:paraId="26C3E521" w14:textId="77777777">
      <w:pPr>
        <w:spacing w:before="0" w:after="0"/>
        <w:rPr>
          <w:lang w:val="sv-SE"/>
        </w:rPr>
      </w:pPr>
      <w:r w:rsidRPr="004214F2">
        <w:rPr>
          <w:lang w:val="sv-SE"/>
        </w:rPr>
        <w:t>Tropisetron</w:t>
      </w:r>
    </w:p>
    <w:p w:rsidR="004214F2" w:rsidRPr="004214F2" w:rsidP="004214F2" w14:paraId="4439E719" w14:textId="77777777">
      <w:pPr>
        <w:spacing w:before="0" w:after="0"/>
        <w:rPr>
          <w:lang w:val="sv-SE"/>
        </w:rPr>
      </w:pPr>
      <w:r w:rsidRPr="004214F2">
        <w:rPr>
          <w:lang w:val="sv-SE"/>
        </w:rPr>
        <w:t xml:space="preserve"> </w:t>
      </w:r>
    </w:p>
    <w:p w:rsidR="004214F2" w:rsidRPr="004214F2" w:rsidP="004214F2" w14:paraId="7C638830" w14:textId="77777777">
      <w:pPr>
        <w:spacing w:before="0" w:after="0"/>
        <w:rPr>
          <w:lang w:val="sv-SE"/>
        </w:rPr>
      </w:pPr>
    </w:p>
    <w:p w:rsidR="004214F2" w:rsidRPr="004214F2" w:rsidP="004214F2" w14:paraId="116C9F0A" w14:textId="77777777">
      <w:pPr>
        <w:spacing w:before="0" w:after="0"/>
        <w:rPr>
          <w:lang w:val="sv-SE"/>
        </w:rPr>
      </w:pPr>
    </w:p>
    <w:p w:rsidR="004214F2" w:rsidRPr="004214F2" w:rsidP="004214F2" w14:paraId="0F1DF104" w14:textId="77777777">
      <w:pPr>
        <w:spacing w:before="0" w:after="0"/>
        <w:rPr>
          <w:lang w:val="sv-SE"/>
        </w:rPr>
      </w:pPr>
    </w:p>
    <w:p w:rsidR="004214F2" w:rsidRPr="004214F2" w:rsidP="004214F2" w14:paraId="0AB3EAA4" w14:textId="77777777">
      <w:pPr>
        <w:spacing w:before="0" w:after="0"/>
        <w:rPr>
          <w:lang w:val="sv-SE"/>
        </w:rPr>
      </w:pPr>
    </w:p>
    <w:p w:rsidR="003857A0" w:rsidP="003857A0" w14:paraId="56C090C2" w14:textId="77777777">
      <w:pPr>
        <w:spacing w:after="40"/>
        <w:rPr>
          <w:b/>
          <w:sz w:val="28"/>
          <w:lang w:val="sv-SE"/>
        </w:rPr>
      </w:pPr>
    </w:p>
    <w:p w:rsidR="004214F2" w:rsidRPr="003857A0" w:rsidP="003857A0" w14:paraId="333D544B" w14:textId="52530A57">
      <w:pPr>
        <w:spacing w:after="40"/>
        <w:rPr>
          <w:b/>
          <w:sz w:val="28"/>
          <w:lang w:val="sv-SE"/>
        </w:rPr>
      </w:pPr>
      <w:r w:rsidRPr="003857A0">
        <w:rPr>
          <w:b/>
          <w:sz w:val="28"/>
          <w:lang w:val="sv-SE"/>
        </w:rPr>
        <w:t>Muskelrelakserende midler</w:t>
      </w:r>
    </w:p>
    <w:p w:rsidR="004214F2" w:rsidRPr="004214F2" w:rsidP="004214F2" w14:paraId="52D79C5C" w14:textId="77777777">
      <w:pPr>
        <w:spacing w:before="0" w:after="0"/>
        <w:rPr>
          <w:lang w:val="sv-SE"/>
        </w:rPr>
      </w:pPr>
      <w:r w:rsidRPr="004214F2">
        <w:rPr>
          <w:lang w:val="sv-SE"/>
        </w:rPr>
        <w:t>Cisatrakurium</w:t>
      </w:r>
    </w:p>
    <w:p w:rsidR="004214F2" w:rsidRPr="004214F2" w:rsidP="004214F2" w14:paraId="34964A77" w14:textId="77777777">
      <w:pPr>
        <w:spacing w:before="0" w:after="0"/>
        <w:rPr>
          <w:lang w:val="sv-SE"/>
        </w:rPr>
      </w:pPr>
      <w:r w:rsidRPr="004214F2">
        <w:rPr>
          <w:lang w:val="sv-SE"/>
        </w:rPr>
        <w:t>Mivakurium</w:t>
      </w:r>
    </w:p>
    <w:p w:rsidR="004214F2" w:rsidRPr="004214F2" w:rsidP="004214F2" w14:paraId="04B3974B" w14:textId="77777777">
      <w:pPr>
        <w:spacing w:before="0" w:after="0"/>
        <w:rPr>
          <w:lang w:val="sv-SE"/>
        </w:rPr>
      </w:pPr>
      <w:r w:rsidRPr="004214F2">
        <w:rPr>
          <w:lang w:val="sv-SE"/>
        </w:rPr>
        <w:t>Rokuronium</w:t>
      </w:r>
    </w:p>
    <w:p w:rsidR="004214F2" w:rsidRPr="004214F2" w:rsidP="004214F2" w14:paraId="78BFC679" w14:textId="77777777">
      <w:pPr>
        <w:spacing w:before="0" w:after="0"/>
        <w:rPr>
          <w:lang w:val="sv-SE"/>
        </w:rPr>
      </w:pPr>
      <w:r w:rsidRPr="004214F2">
        <w:rPr>
          <w:lang w:val="sv-SE"/>
        </w:rPr>
        <w:t>Suksametonium</w:t>
      </w:r>
    </w:p>
    <w:p w:rsidR="004214F2" w:rsidRPr="004214F2" w:rsidP="004214F2" w14:paraId="702E12EE" w14:textId="77777777">
      <w:pPr>
        <w:spacing w:before="0" w:after="0"/>
        <w:rPr>
          <w:lang w:val="sv-SE"/>
        </w:rPr>
      </w:pPr>
      <w:r w:rsidRPr="004214F2">
        <w:rPr>
          <w:lang w:val="sv-SE"/>
        </w:rPr>
        <w:t>Vekuronium</w:t>
      </w:r>
    </w:p>
    <w:p w:rsidR="004214F2" w:rsidRPr="004214F2" w:rsidP="004214F2" w14:paraId="329921C8" w14:textId="77777777">
      <w:pPr>
        <w:spacing w:before="0" w:after="0"/>
        <w:rPr>
          <w:lang w:val="sv-SE"/>
        </w:rPr>
      </w:pPr>
    </w:p>
    <w:p w:rsidR="004214F2" w:rsidRPr="004214F2" w:rsidP="004214F2" w14:paraId="37B1D018" w14:textId="77777777">
      <w:pPr>
        <w:spacing w:after="40"/>
        <w:rPr>
          <w:b/>
          <w:sz w:val="28"/>
          <w:lang w:val="sv-SE"/>
        </w:rPr>
      </w:pPr>
      <w:r w:rsidRPr="004214F2">
        <w:rPr>
          <w:b/>
          <w:sz w:val="28"/>
          <w:lang w:val="sv-SE"/>
        </w:rPr>
        <w:t>Lokalanestetika</w:t>
      </w:r>
    </w:p>
    <w:p w:rsidR="004214F2" w:rsidRPr="004214F2" w:rsidP="004214F2" w14:paraId="3B890BC6" w14:textId="77777777">
      <w:pPr>
        <w:spacing w:before="0" w:after="0"/>
        <w:rPr>
          <w:lang w:val="sv-SE"/>
        </w:rPr>
      </w:pPr>
      <w:r w:rsidRPr="004214F2">
        <w:rPr>
          <w:lang w:val="sv-SE"/>
        </w:rPr>
        <w:t>Artikain</w:t>
      </w:r>
    </w:p>
    <w:p w:rsidR="004214F2" w:rsidRPr="004214F2" w:rsidP="004214F2" w14:paraId="139589B8" w14:textId="77777777">
      <w:pPr>
        <w:spacing w:before="0" w:after="0"/>
        <w:rPr>
          <w:lang w:val="sv-SE"/>
        </w:rPr>
      </w:pPr>
      <w:r w:rsidRPr="004214F2">
        <w:rPr>
          <w:lang w:val="sv-SE"/>
        </w:rPr>
        <w:t>Bupivakain</w:t>
      </w:r>
    </w:p>
    <w:p w:rsidR="004214F2" w:rsidRPr="004214F2" w:rsidP="004214F2" w14:paraId="6AD102B3" w14:textId="77777777">
      <w:pPr>
        <w:spacing w:before="0" w:after="0"/>
        <w:rPr>
          <w:lang w:val="sv-SE"/>
        </w:rPr>
      </w:pPr>
      <w:r w:rsidRPr="004214F2">
        <w:rPr>
          <w:lang w:val="sv-SE"/>
        </w:rPr>
        <w:t>Klorprokain</w:t>
      </w:r>
    </w:p>
    <w:p w:rsidR="004214F2" w:rsidRPr="004214F2" w:rsidP="004214F2" w14:paraId="6F618955" w14:textId="77777777">
      <w:pPr>
        <w:spacing w:before="0" w:after="0"/>
        <w:rPr>
          <w:lang w:val="sv-SE"/>
        </w:rPr>
      </w:pPr>
      <w:r w:rsidRPr="004214F2">
        <w:rPr>
          <w:lang w:val="sv-SE"/>
        </w:rPr>
        <w:t>Mepivakain</w:t>
      </w:r>
    </w:p>
    <w:p w:rsidR="004214F2" w:rsidRPr="004214F2" w:rsidP="004214F2" w14:paraId="0BDE68E9" w14:textId="77777777">
      <w:pPr>
        <w:spacing w:before="0" w:after="0"/>
        <w:rPr>
          <w:lang w:val="sv-SE"/>
        </w:rPr>
      </w:pPr>
      <w:r w:rsidRPr="004214F2">
        <w:rPr>
          <w:lang w:val="sv-SE"/>
        </w:rPr>
        <w:t>Prilokain</w:t>
      </w:r>
    </w:p>
    <w:p w:rsidR="004214F2" w:rsidRPr="004214F2" w:rsidP="004214F2" w14:paraId="6E6B5CD4" w14:textId="77777777">
      <w:pPr>
        <w:spacing w:before="0" w:after="0"/>
        <w:rPr>
          <w:lang w:val="sv-SE"/>
        </w:rPr>
      </w:pPr>
      <w:r w:rsidRPr="004214F2">
        <w:rPr>
          <w:lang w:val="sv-SE"/>
        </w:rPr>
        <w:t>Ropivakain</w:t>
      </w:r>
    </w:p>
    <w:p w:rsidR="004214F2" w:rsidRPr="004214F2" w:rsidP="004214F2" w14:paraId="27D514F9" w14:textId="77777777">
      <w:pPr>
        <w:spacing w:before="0" w:after="0"/>
        <w:rPr>
          <w:lang w:val="sv-SE"/>
        </w:rPr>
      </w:pPr>
    </w:p>
    <w:p w:rsidR="004214F2" w:rsidRPr="003857A0" w:rsidP="003857A0" w14:paraId="349253EC" w14:textId="77777777">
      <w:pPr>
        <w:spacing w:after="40"/>
        <w:rPr>
          <w:b/>
          <w:sz w:val="28"/>
          <w:lang w:val="sv-SE"/>
        </w:rPr>
      </w:pPr>
      <w:r w:rsidRPr="003857A0">
        <w:rPr>
          <w:b/>
          <w:sz w:val="28"/>
          <w:lang w:val="sv-SE"/>
        </w:rPr>
        <w:t>Annet</w:t>
      </w:r>
    </w:p>
    <w:p w:rsidR="004214F2" w:rsidRPr="004214F2" w:rsidP="004214F2" w14:paraId="6CAA58CD" w14:textId="77777777">
      <w:pPr>
        <w:spacing w:before="0" w:after="0"/>
        <w:rPr>
          <w:lang w:val="sv-SE"/>
        </w:rPr>
      </w:pPr>
      <w:r w:rsidRPr="004214F2">
        <w:rPr>
          <w:lang w:val="sv-SE"/>
        </w:rPr>
        <w:t>Adrenalin</w:t>
      </w:r>
    </w:p>
    <w:p w:rsidR="004214F2" w:rsidRPr="004214F2" w:rsidP="004214F2" w14:paraId="5E1DA908" w14:textId="77777777">
      <w:pPr>
        <w:spacing w:before="0" w:after="0"/>
        <w:rPr>
          <w:lang w:val="sv-SE"/>
        </w:rPr>
      </w:pPr>
      <w:r w:rsidRPr="004214F2">
        <w:rPr>
          <w:lang w:val="sv-SE"/>
        </w:rPr>
        <w:t>Atropin</w:t>
      </w:r>
    </w:p>
    <w:p w:rsidR="004214F2" w:rsidRPr="004214F2" w:rsidP="004214F2" w14:paraId="32EA7BC9" w14:textId="77777777">
      <w:pPr>
        <w:spacing w:before="0" w:after="0"/>
        <w:rPr>
          <w:lang w:val="sv-SE"/>
        </w:rPr>
      </w:pPr>
      <w:r w:rsidRPr="004214F2">
        <w:rPr>
          <w:lang w:val="sv-SE"/>
        </w:rPr>
        <w:t>Butylskopalamin</w:t>
      </w:r>
    </w:p>
    <w:p w:rsidR="004214F2" w:rsidRPr="004214F2" w:rsidP="004214F2" w14:paraId="689BACBA" w14:textId="77777777">
      <w:pPr>
        <w:spacing w:before="0" w:after="0"/>
        <w:rPr>
          <w:lang w:val="sv-SE"/>
        </w:rPr>
      </w:pPr>
      <w:r w:rsidRPr="004214F2">
        <w:rPr>
          <w:lang w:val="sv-SE"/>
        </w:rPr>
        <w:t>Efedrin</w:t>
      </w:r>
    </w:p>
    <w:p w:rsidR="004214F2" w:rsidRPr="004214F2" w:rsidP="004214F2" w14:paraId="373E4C30" w14:textId="77777777">
      <w:pPr>
        <w:spacing w:before="0" w:after="0"/>
        <w:rPr>
          <w:lang w:val="sv-SE"/>
        </w:rPr>
      </w:pPr>
      <w:r w:rsidRPr="004214F2">
        <w:rPr>
          <w:lang w:val="sv-SE"/>
        </w:rPr>
        <w:t>Fenylefrin</w:t>
      </w:r>
    </w:p>
    <w:p w:rsidR="004214F2" w:rsidRPr="004214F2" w:rsidP="004214F2" w14:paraId="6BFDA780" w14:textId="77777777">
      <w:pPr>
        <w:spacing w:before="0" w:after="0"/>
        <w:rPr>
          <w:lang w:val="sv-SE"/>
        </w:rPr>
      </w:pPr>
      <w:r w:rsidRPr="004214F2">
        <w:rPr>
          <w:lang w:val="sv-SE"/>
        </w:rPr>
        <w:t>Glukose (forebyggende)</w:t>
      </w:r>
    </w:p>
    <w:p w:rsidR="004214F2" w:rsidRPr="004214F2" w:rsidP="004214F2" w14:paraId="7D0FC013" w14:textId="77777777">
      <w:pPr>
        <w:spacing w:before="0" w:after="0"/>
        <w:rPr>
          <w:lang w:val="sv-SE"/>
        </w:rPr>
      </w:pPr>
      <w:r w:rsidRPr="004214F2">
        <w:rPr>
          <w:lang w:val="sv-SE"/>
        </w:rPr>
        <w:t>Noradrenalin</w:t>
      </w:r>
    </w:p>
    <w:p w:rsidR="004214F2" w:rsidRPr="004214F2" w:rsidP="004214F2" w14:paraId="60488C5D" w14:textId="77777777">
      <w:pPr>
        <w:spacing w:before="0" w:after="0"/>
        <w:rPr>
          <w:lang w:val="sv-SE"/>
        </w:rPr>
      </w:pPr>
      <w:r w:rsidRPr="004214F2">
        <w:rPr>
          <w:lang w:val="sv-SE"/>
        </w:rPr>
        <w:t>Nalokson</w:t>
      </w:r>
    </w:p>
    <w:p w:rsidR="004214F2" w:rsidRPr="004214F2" w:rsidP="004214F2" w14:paraId="5A3DC88A" w14:textId="77777777">
      <w:pPr>
        <w:spacing w:before="0" w:after="0"/>
        <w:rPr>
          <w:lang w:val="sv-SE"/>
        </w:rPr>
      </w:pPr>
      <w:r w:rsidRPr="004214F2">
        <w:rPr>
          <w:lang w:val="sv-SE"/>
        </w:rPr>
        <w:t>Sugammadex</w:t>
      </w:r>
    </w:p>
    <w:p w:rsidR="004214F2" w:rsidP="004214F2" w14:paraId="06ACA949" w14:textId="77777777">
      <w:pPr>
        <w:spacing w:before="0" w:after="0"/>
        <w:rPr>
          <w:lang w:val="sv-SE"/>
        </w:rPr>
        <w:sectPr w:rsidSect="004214F2">
          <w:type w:val="continuous"/>
          <w:pgSz w:w="11907" w:h="16840" w:code="9"/>
          <w:pgMar w:top="1417" w:right="1417" w:bottom="1417" w:left="1417" w:header="397" w:footer="170" w:gutter="0"/>
          <w:pgNumType w:start="1"/>
          <w:cols w:num="3" w:space="709"/>
          <w:formProt w:val="0"/>
          <w:titlePg/>
          <w:docGrid w:linePitch="326"/>
        </w:sectPr>
      </w:pPr>
      <w:r w:rsidRPr="004214F2">
        <w:rPr>
          <w:lang w:val="sv-SE"/>
        </w:rPr>
        <w:t>Prednisolon/ Metylprednisolon</w:t>
      </w:r>
    </w:p>
    <w:p w:rsidR="004214F2" w:rsidP="004214F2" w14:paraId="2A6DC227" w14:textId="0F434089">
      <w:pPr>
        <w:rPr>
          <w:lang w:val="sv-SE"/>
        </w:rPr>
      </w:pPr>
    </w:p>
    <w:p w:rsidR="004214F2" w:rsidP="004214F2" w14:paraId="0A6C0106" w14:textId="77777777">
      <w:pPr>
        <w:pStyle w:val="BodyText2"/>
        <w:rPr>
          <w:rFonts w:ascii="Calibri" w:hAnsi="Calibri" w:cs="Calibri"/>
          <w:sz w:val="24"/>
          <w:szCs w:val="24"/>
          <w:lang w:val="sv-SE"/>
        </w:rPr>
      </w:pPr>
    </w:p>
    <w:p w:rsidR="004214F2" w:rsidRPr="006722EF" w:rsidP="004214F2" w14:paraId="1AB0C036" w14:textId="77777777">
      <w:pPr>
        <w:rPr>
          <w:rFonts w:ascii="Calibri" w:hAnsi="Calibri" w:cs="Calibri"/>
          <w:b/>
          <w:snapToGrid w:val="0"/>
          <w:color w:val="000000"/>
          <w:sz w:val="28"/>
          <w:szCs w:val="28"/>
          <w:lang w:val="sv-SE"/>
        </w:rPr>
      </w:pPr>
      <w:r w:rsidRPr="006722EF">
        <w:rPr>
          <w:rFonts w:ascii="Calibri" w:hAnsi="Calibri" w:cs="Calibri"/>
          <w:b/>
          <w:snapToGrid w:val="0"/>
          <w:color w:val="000000"/>
          <w:sz w:val="28"/>
          <w:szCs w:val="28"/>
          <w:lang w:val="sv-SE"/>
        </w:rPr>
        <w:t xml:space="preserve">Legemidler som er klassifisert som </w:t>
      </w:r>
      <w:r w:rsidRPr="006722EF">
        <w:rPr>
          <w:rFonts w:ascii="Calibri" w:hAnsi="Calibri" w:cs="Calibri"/>
          <w:b/>
          <w:snapToGrid w:val="0"/>
          <w:color w:val="000000"/>
          <w:sz w:val="28"/>
          <w:szCs w:val="28"/>
          <w:u w:val="single"/>
          <w:lang w:val="sv-SE"/>
        </w:rPr>
        <w:t>mulig porfyrinogene</w:t>
      </w:r>
      <w:r w:rsidRPr="006722EF">
        <w:rPr>
          <w:rFonts w:ascii="Calibri" w:hAnsi="Calibri" w:cs="Calibri"/>
          <w:b/>
          <w:snapToGrid w:val="0"/>
          <w:color w:val="000000"/>
          <w:sz w:val="28"/>
          <w:szCs w:val="28"/>
          <w:lang w:val="sv-SE"/>
        </w:rPr>
        <w:t>:</w:t>
      </w:r>
    </w:p>
    <w:p w:rsidR="004214F2" w:rsidRPr="006722EF" w:rsidP="004214F2" w14:paraId="09CA9B35" w14:textId="77777777">
      <w:pPr>
        <w:rPr>
          <w:rFonts w:ascii="Calibri" w:hAnsi="Calibri" w:cs="Calibri"/>
          <w:snapToGrid w:val="0"/>
          <w:color w:val="000000"/>
          <w:lang w:val="sv-SE"/>
        </w:rPr>
      </w:pPr>
      <w:r w:rsidRPr="006722EF">
        <w:rPr>
          <w:rFonts w:ascii="Calibri" w:hAnsi="Calibri" w:cs="Calibri"/>
          <w:snapToGrid w:val="0"/>
          <w:color w:val="000000"/>
          <w:lang w:val="sv-SE"/>
        </w:rPr>
        <w:t>Følgende legemidler er ikke førstevalg ved akutt porfyri, men kan vurderes ved sterk indikasjon:</w:t>
      </w:r>
    </w:p>
    <w:p w:rsidR="004214F2" w:rsidRPr="006722EF" w:rsidP="003857A0" w14:paraId="3CB0ED96" w14:textId="77777777">
      <w:pPr>
        <w:spacing w:before="0" w:after="40"/>
        <w:ind w:firstLine="709"/>
        <w:rPr>
          <w:rFonts w:ascii="Calibri" w:hAnsi="Calibri" w:cs="Calibri"/>
          <w:snapToGrid w:val="0"/>
          <w:color w:val="000000"/>
          <w:lang w:val="sv-SE"/>
        </w:rPr>
      </w:pPr>
      <w:r w:rsidRPr="006722EF">
        <w:rPr>
          <w:rFonts w:ascii="Calibri" w:hAnsi="Calibri" w:cs="Calibri"/>
          <w:snapToGrid w:val="0"/>
          <w:color w:val="000000"/>
          <w:lang w:val="sv-SE"/>
        </w:rPr>
        <w:t>Ketamin /Esketamin</w:t>
      </w:r>
    </w:p>
    <w:p w:rsidR="004214F2" w:rsidRPr="006722EF" w:rsidP="003857A0" w14:paraId="6A976935" w14:textId="77777777">
      <w:pPr>
        <w:spacing w:before="0" w:after="40"/>
        <w:ind w:firstLine="709"/>
        <w:rPr>
          <w:rFonts w:ascii="Calibri" w:hAnsi="Calibri" w:cs="Calibri"/>
          <w:snapToGrid w:val="0"/>
          <w:color w:val="000000"/>
          <w:lang w:val="sv-SE"/>
        </w:rPr>
      </w:pPr>
      <w:r w:rsidRPr="006722EF">
        <w:rPr>
          <w:rFonts w:ascii="Calibri" w:hAnsi="Calibri" w:cs="Calibri"/>
          <w:snapToGrid w:val="0"/>
          <w:color w:val="000000"/>
          <w:lang w:val="sv-SE"/>
        </w:rPr>
        <w:t>Etomidat</w:t>
      </w:r>
    </w:p>
    <w:p w:rsidR="004214F2" w:rsidRPr="006722EF" w:rsidP="003857A0" w14:paraId="4DAC0EAA" w14:textId="77777777">
      <w:pPr>
        <w:spacing w:before="0" w:after="40"/>
        <w:ind w:firstLine="709"/>
        <w:rPr>
          <w:rFonts w:ascii="Calibri" w:hAnsi="Calibri" w:cs="Calibri"/>
          <w:snapToGrid w:val="0"/>
          <w:color w:val="000000"/>
          <w:lang w:val="sv-SE"/>
        </w:rPr>
      </w:pPr>
      <w:r w:rsidRPr="006722EF">
        <w:rPr>
          <w:rFonts w:ascii="Calibri" w:hAnsi="Calibri" w:cs="Calibri"/>
          <w:snapToGrid w:val="0"/>
          <w:color w:val="000000"/>
          <w:lang w:val="sv-SE"/>
        </w:rPr>
        <w:t>Deksmedetomidin</w:t>
      </w:r>
    </w:p>
    <w:p w:rsidR="004214F2" w:rsidP="003857A0" w14:paraId="5CBB65A0" w14:textId="7FC25C76">
      <w:pPr>
        <w:spacing w:before="0" w:after="240"/>
        <w:ind w:firstLine="709"/>
        <w:rPr>
          <w:rFonts w:ascii="Calibri" w:hAnsi="Calibri" w:cs="Calibri"/>
          <w:snapToGrid w:val="0"/>
          <w:color w:val="000000"/>
          <w:lang w:val="sv-SE"/>
        </w:rPr>
      </w:pPr>
      <w:r w:rsidRPr="006722EF">
        <w:rPr>
          <w:rFonts w:ascii="Calibri" w:hAnsi="Calibri" w:cs="Calibri"/>
          <w:b/>
          <w:noProof/>
          <w:sz w:val="28"/>
          <w:szCs w:val="28"/>
        </w:rPr>
        <mc:AlternateContent>
          <mc:Choice Requires="wps">
            <w:drawing>
              <wp:anchor distT="0" distB="0" distL="114300" distR="114300" simplePos="0" relativeHeight="251658240" behindDoc="0" locked="0" layoutInCell="1" allowOverlap="1">
                <wp:simplePos x="0" y="0"/>
                <wp:positionH relativeFrom="margin">
                  <wp:posOffset>243205</wp:posOffset>
                </wp:positionH>
                <wp:positionV relativeFrom="paragraph">
                  <wp:posOffset>257810</wp:posOffset>
                </wp:positionV>
                <wp:extent cx="5086350" cy="1209675"/>
                <wp:effectExtent l="0" t="0" r="19050" b="28575"/>
                <wp:wrapNone/>
                <wp:docPr id="1313211683" name="Text Box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86350" cy="1209675"/>
                        </a:xfrm>
                        <a:prstGeom prst="rect">
                          <a:avLst/>
                        </a:prstGeom>
                        <a:noFill/>
                        <a:ln w="19050">
                          <a:solidFill>
                            <a:srgbClr val="FF0000"/>
                          </a:solidFill>
                          <a:miter lim="800000"/>
                          <a:headEnd/>
                          <a:tailEnd/>
                        </a:ln>
                      </wps:spPr>
                      <wps:txbx>
                        <w:txbxContent>
                          <w:p w:rsidR="004214F2" w:rsidRPr="006722EF" w:rsidP="004214F2" w14:paraId="325F937B" w14:textId="77777777">
                            <w:pPr>
                              <w:rPr>
                                <w:rFonts w:ascii="Calibri" w:hAnsi="Calibri" w:cs="Calibri"/>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alt="&quot;&quot;" style="width:400.5pt;height:95.25pt;margin-top:20.3pt;margin-left:19.15pt;mso-height-percent:0;mso-height-relative:page;mso-position-horizontal-relative:margin;mso-width-percent:0;mso-width-relative:page;mso-wrap-distance-bottom:0;mso-wrap-distance-left:9pt;mso-wrap-distance-right:9pt;mso-wrap-distance-top:0;mso-wrap-style:square;position:absolute;visibility:visible;v-text-anchor:top;z-index:251659264" filled="f" strokecolor="red" strokeweight="1.5pt">
                <v:textbox>
                  <w:txbxContent>
                    <w:p w:rsidR="004214F2" w:rsidRPr="006722EF" w:rsidP="004214F2" w14:paraId="196D8C6C" w14:textId="51D37777">
                      <w:pPr>
                        <w:rPr>
                          <w:rFonts w:ascii="Calibri" w:hAnsi="Calibri" w:cs="Calibri"/>
                        </w:rPr>
                      </w:pPr>
                    </w:p>
                  </w:txbxContent>
                </v:textbox>
                <w10:wrap anchorx="margin"/>
              </v:shape>
            </w:pict>
          </mc:Fallback>
        </mc:AlternateContent>
      </w:r>
      <w:r w:rsidRPr="006722EF">
        <w:rPr>
          <w:rFonts w:ascii="Calibri" w:hAnsi="Calibri" w:cs="Calibri"/>
          <w:snapToGrid w:val="0"/>
          <w:color w:val="000000"/>
          <w:lang w:val="sv-SE"/>
        </w:rPr>
        <w:t>Deksametason</w:t>
      </w:r>
    </w:p>
    <w:p w:rsidR="004214F2" w:rsidRPr="00235CF7" w:rsidP="004214F2" w14:paraId="59CD9D70" w14:textId="48E1212B">
      <w:pPr>
        <w:jc w:val="center"/>
        <w:rPr>
          <w:rFonts w:ascii="Arial" w:hAnsi="Arial"/>
          <w:b/>
          <w:u w:val="single"/>
          <w:lang w:val="sv-SE"/>
        </w:rPr>
      </w:pPr>
      <w:r w:rsidRPr="00235CF7">
        <w:rPr>
          <w:rFonts w:ascii="Arial" w:hAnsi="Arial"/>
          <w:b/>
          <w:u w:val="single"/>
          <w:lang w:val="sv-SE"/>
        </w:rPr>
        <w:t>CAVE</w:t>
      </w:r>
    </w:p>
    <w:p w:rsidR="004214F2" w:rsidRPr="006722EF" w:rsidP="003857A0" w14:paraId="401DC9CC" w14:textId="5BAA8E3C">
      <w:pPr>
        <w:ind w:left="567" w:right="851"/>
        <w:rPr>
          <w:rFonts w:ascii="Calibri" w:hAnsi="Calibri" w:cs="Calibri"/>
        </w:rPr>
      </w:pPr>
      <w:r w:rsidRPr="00235CF7">
        <w:rPr>
          <w:rFonts w:ascii="Calibri" w:hAnsi="Calibri" w:cs="Calibri"/>
          <w:lang w:val="sv-SE"/>
        </w:rPr>
        <w:t xml:space="preserve">Barbiturater (Thiopental, </w:t>
      </w:r>
      <w:r w:rsidRPr="00235CF7">
        <w:rPr>
          <w:rFonts w:ascii="Calibri" w:hAnsi="Calibri" w:cs="Calibri"/>
          <w:lang w:val="sv-SE"/>
        </w:rPr>
        <w:t xml:space="preserve">Fenobarbital, Pentocur m.fler) er porfyrinogene legemidler. </w:t>
      </w:r>
      <w:r w:rsidRPr="006722EF">
        <w:rPr>
          <w:rFonts w:ascii="Calibri" w:hAnsi="Calibri" w:cs="Calibri"/>
        </w:rPr>
        <w:t xml:space="preserve">Bruk av disse gir svært høy risiko for å utløse et akutt anfall. Disse skal derfor ikke benyttes, med mindre det ikke finnes andre alternativ tilgjengelig.  </w:t>
      </w:r>
    </w:p>
    <w:sectPr w:rsidSect="00D34484">
      <w:type w:val="continuous"/>
      <w:pgSz w:w="11907" w:h="16840" w:code="9"/>
      <w:pgMar w:top="1417" w:right="1417" w:bottom="1417" w:left="1417" w:header="397" w:footer="170" w:gutter="0"/>
      <w:pgNumType w:start="1"/>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926C1" w14:paraId="6475DA07" w14:textId="77777777">
      <w:pPr>
        <w:spacing w:before="0" w:after="0"/>
      </w:pPr>
      <w:r>
        <w:separator/>
      </w:r>
    </w:p>
  </w:endnote>
  <w:endnote w:type="continuationSeparator" w:id="1">
    <w:p w:rsidR="008926C1" w14:paraId="64D7B493"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jc w:val="center"/>
      <w:tblBorders>
        <w:top w:val="single" w:sz="4" w:space="0" w:color="auto"/>
      </w:tblBorders>
      <w:tblCellMar>
        <w:left w:w="70" w:type="dxa"/>
        <w:right w:w="70" w:type="dxa"/>
      </w:tblCellMar>
      <w:tblLook w:val="0000"/>
    </w:tblPr>
    <w:tblGrid>
      <w:gridCol w:w="1187"/>
      <w:gridCol w:w="5153"/>
      <w:gridCol w:w="2733"/>
    </w:tblGrid>
    <w:tr w14:paraId="52098FBC" w14:textId="77777777" w:rsidTr="005A6D97">
      <w:tblPrEx>
        <w:tblW w:w="0" w:type="auto"/>
        <w:jc w:val="center"/>
        <w:tblBorders>
          <w:top w:val="single" w:sz="4" w:space="0" w:color="auto"/>
        </w:tblBorders>
        <w:tblCellMar>
          <w:left w:w="70" w:type="dxa"/>
          <w:right w:w="70" w:type="dxa"/>
        </w:tblCellMar>
        <w:tblLook w:val="0000"/>
      </w:tblPrEx>
      <w:trPr>
        <w:trHeight w:val="270"/>
        <w:jc w:val="center"/>
      </w:trPr>
      <w:tc>
        <w:tcPr>
          <w:tcW w:w="1204" w:type="dxa"/>
          <w:tcBorders>
            <w:right w:val="single" w:sz="4" w:space="0" w:color="auto"/>
          </w:tcBorders>
        </w:tcPr>
        <w:p w:rsidR="002348BC" w:rsidP="005A6D97" w14:paraId="52098FB9" w14:textId="30B65AE5">
          <w:pPr>
            <w:pStyle w:val="Footer"/>
            <w:rPr>
              <w:sz w:val="16"/>
            </w:rPr>
          </w:pPr>
          <w:r>
            <w:rPr>
              <w:noProof/>
              <w:sz w:val="16"/>
            </w:rP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1405255" cy="345440"/>
                    <wp:effectExtent l="0" t="0" r="4445" b="0"/>
                    <wp:wrapNone/>
                    <wp:docPr id="1957788839" name="Tekstboks 2"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405255" cy="345440"/>
                            </a:xfrm>
                            <a:prstGeom prst="rect">
                              <a:avLst/>
                            </a:prstGeom>
                            <a:noFill/>
                            <a:ln>
                              <a:noFill/>
                            </a:ln>
                          </wps:spPr>
                          <wps:txbx>
                            <w:txbxContent>
                              <w:p w:rsidR="00444B43" w:rsidRPr="00444B43" w:rsidP="00444B43" w14:textId="77777777">
                                <w:pPr>
                                  <w:rPr>
                                    <w:rFonts w:ascii="Calibri" w:eastAsia="Calibri" w:hAnsi="Calibri" w:cs="Calibri"/>
                                    <w:noProof/>
                                    <w:color w:val="000000"/>
                                    <w:sz w:val="20"/>
                                    <w:szCs w:val="20"/>
                                  </w:rPr>
                                </w:pPr>
                                <w:r w:rsidRPr="00444B43">
                                  <w:rPr>
                                    <w:rFonts w:ascii="Calibri" w:eastAsia="Calibri" w:hAnsi="Calibri" w:cs="Calibri"/>
                                    <w:noProof/>
                                    <w:color w:val="000000"/>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2" o:spid="_x0000_s2049" type="#_x0000_t202" alt="Følsomhet Intern (gul)" style="width:110.65pt;height:27.2pt;margin-top:0;margin-left:0;mso-position-horizontal:left;mso-position-horizontal-relative:page;mso-position-vertical:bottom;mso-position-vertical-relative:page;mso-wrap-distance-bottom:0;mso-wrap-distance-left:0;mso-wrap-distance-right:0;mso-wrap-distance-top:0;mso-wrap-style:none;position:absolute;v-text-anchor:bottom;z-index:251658240" filled="f" fillcolor="this" stroked="f">
                    <v:textbox style="mso-fit-shape-to-text:t" inset="20pt,0,0,15pt">
                      <w:txbxContent>
                        <w:p w:rsidR="00444B43" w:rsidRPr="00444B43" w:rsidP="00444B43" w14:paraId="5A4AAB14" w14:textId="77777777">
                          <w:pPr>
                            <w:rPr>
                              <w:rFonts w:ascii="Calibri" w:eastAsia="Calibri" w:hAnsi="Calibri" w:cs="Calibri"/>
                              <w:noProof/>
                              <w:color w:val="000000"/>
                              <w:sz w:val="20"/>
                              <w:szCs w:val="20"/>
                            </w:rPr>
                          </w:pPr>
                          <w:r w:rsidRPr="00444B43">
                            <w:rPr>
                              <w:rFonts w:ascii="Calibri" w:eastAsia="Calibri" w:hAnsi="Calibri" w:cs="Calibri"/>
                              <w:noProof/>
                              <w:color w:val="000000"/>
                              <w:sz w:val="20"/>
                              <w:szCs w:val="20"/>
                            </w:rPr>
                            <w:t>Følsomhet Intern (gul)</w:t>
                          </w:r>
                        </w:p>
                      </w:txbxContent>
                    </v:textbox>
                  </v:shape>
                </w:pict>
              </mc:Fallback>
            </mc:AlternateContent>
          </w: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sidR="00C4760F">
            <w:rPr>
              <w:rStyle w:val="PageNumber"/>
              <w:noProof/>
              <w:sz w:val="16"/>
            </w:rPr>
            <w:t>2</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sidR="00C4760F">
            <w:rPr>
              <w:rStyle w:val="PageNumber"/>
              <w:noProof/>
              <w:sz w:val="16"/>
            </w:rPr>
            <w:t>2</w:t>
          </w:r>
          <w:r>
            <w:rPr>
              <w:rStyle w:val="PageNumber"/>
              <w:sz w:val="16"/>
            </w:rPr>
            <w:fldChar w:fldCharType="end"/>
          </w:r>
        </w:p>
      </w:tc>
      <w:tc>
        <w:tcPr>
          <w:tcW w:w="5245" w:type="dxa"/>
          <w:tcBorders>
            <w:left w:val="single" w:sz="4" w:space="0" w:color="auto"/>
            <w:right w:val="single" w:sz="4" w:space="0" w:color="auto"/>
          </w:tcBorders>
        </w:tcPr>
        <w:p w:rsidR="002348BC" w:rsidP="005A6D97" w14:paraId="52098FBA" w14:textId="144FB0AC">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r>
            <w:rPr>
              <w:sz w:val="16"/>
            </w:rPr>
            <w:t xml:space="preserve">: </w:t>
          </w:r>
        </w:p>
      </w:tc>
      <w:tc>
        <w:tcPr>
          <w:tcW w:w="2762" w:type="dxa"/>
          <w:tcBorders>
            <w:left w:val="single" w:sz="4" w:space="0" w:color="auto"/>
          </w:tcBorders>
        </w:tcPr>
        <w:p w:rsidR="002348BC" w:rsidP="005A6D97" w14:paraId="52098FBB" w14:textId="77777777">
          <w:pPr>
            <w:pStyle w:val="Footer"/>
            <w:jc w:val="right"/>
            <w:rPr>
              <w:sz w:val="16"/>
            </w:rPr>
          </w:pPr>
          <w:r>
            <w:rPr>
              <w:sz w:val="16"/>
            </w:rPr>
            <w:t xml:space="preserve">Ref. 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13.4.24.8-11</w:t>
          </w:r>
          <w:r>
            <w:rPr>
              <w:color w:val="000080"/>
              <w:sz w:val="16"/>
            </w:rPr>
            <w:fldChar w:fldCharType="end"/>
          </w:r>
        </w:p>
      </w:tc>
    </w:tr>
  </w:tbl>
  <w:p w:rsidR="002348BC" w:rsidP="002348BC" w14:paraId="52098FBD" w14:textId="77777777">
    <w:pPr>
      <w:pStyle w:val="Footer"/>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5000" w:type="pct"/>
      <w:tblBorders>
        <w:top w:val="single" w:sz="4" w:space="0" w:color="auto"/>
      </w:tblBorders>
      <w:tblCellMar>
        <w:left w:w="70" w:type="dxa"/>
        <w:right w:w="70" w:type="dxa"/>
      </w:tblCellMar>
      <w:tblLook w:val="0000"/>
    </w:tblPr>
    <w:tblGrid>
      <w:gridCol w:w="5861"/>
      <w:gridCol w:w="3212"/>
    </w:tblGrid>
    <w:tr w14:paraId="002F653F" w14:textId="77777777" w:rsidTr="0072068F">
      <w:tblPrEx>
        <w:tblW w:w="5000" w:type="pct"/>
        <w:tblBorders>
          <w:top w:val="single" w:sz="4" w:space="0" w:color="auto"/>
        </w:tblBorders>
        <w:tblCellMar>
          <w:left w:w="70" w:type="dxa"/>
          <w:right w:w="70" w:type="dxa"/>
        </w:tblCellMar>
        <w:tblLook w:val="0000"/>
      </w:tblPrEx>
      <w:trPr>
        <w:trHeight w:val="340"/>
      </w:trPr>
      <w:tc>
        <w:tcPr>
          <w:tcW w:w="3230" w:type="pct"/>
          <w:vAlign w:val="center"/>
        </w:tcPr>
        <w:p w:rsidR="0072068F" w:rsidRPr="00633B83" w:rsidP="0072068F" w14:paraId="50C8C90C" w14:textId="07A0E327">
          <w:pPr>
            <w:spacing w:before="0" w:after="0"/>
            <w:rPr>
              <w:sz w:val="16"/>
              <w:szCs w:val="16"/>
            </w:rPr>
          </w:pPr>
          <w:r w:rsidRPr="00633B83">
            <w:rPr>
              <w:sz w:val="16"/>
              <w:szCs w:val="16"/>
            </w:rPr>
            <w:fldChar w:fldCharType="begin" w:fldLock="1"/>
          </w:r>
          <w:r w:rsidRPr="00633B83">
            <w:rPr>
              <w:sz w:val="16"/>
              <w:szCs w:val="16"/>
            </w:rPr>
            <w:instrText>DOCPROPERTY EK_DokTittel \*charformat \* MERGEFORMAT</w:instrText>
          </w:r>
          <w:r w:rsidRPr="00633B83">
            <w:rPr>
              <w:sz w:val="16"/>
              <w:szCs w:val="16"/>
            </w:rPr>
            <w:fldChar w:fldCharType="separate"/>
          </w:r>
          <w:r w:rsidRPr="00633B83">
            <w:rPr>
              <w:noProof/>
              <w:sz w:val="16"/>
              <w:szCs w:val="16"/>
            </w:rPr>
            <w:t>Retningslinje for anestesi</w:t>
          </w:r>
          <w:r w:rsidRPr="00633B83">
            <w:rPr>
              <w:sz w:val="16"/>
              <w:szCs w:val="16"/>
            </w:rPr>
            <w:t>, pre-, per- og postoperativ oppfølging for pasienter som har eller er genetisk disponert for akutte porfyrisykdommer</w:t>
          </w:r>
          <w:r w:rsidRPr="00633B83">
            <w:rPr>
              <w:sz w:val="16"/>
              <w:szCs w:val="16"/>
            </w:rPr>
            <w:fldChar w:fldCharType="end"/>
          </w:r>
        </w:p>
        <w:p w:rsidR="0072068F" w:rsidRPr="00633B83" w:rsidP="0072068F" w14:paraId="41D5ADA2" w14:textId="77777777">
          <w:pPr>
            <w:spacing w:before="0" w:after="0"/>
            <w:rPr>
              <w:sz w:val="16"/>
              <w:szCs w:val="16"/>
            </w:rPr>
          </w:pPr>
          <w:r w:rsidRPr="00633B83">
            <w:rPr>
              <w:sz w:val="16"/>
              <w:szCs w:val="16"/>
            </w:rPr>
            <w:t xml:space="preserve">Versjon </w:t>
          </w:r>
          <w:r w:rsidRPr="00633B83">
            <w:rPr>
              <w:sz w:val="16"/>
              <w:szCs w:val="16"/>
            </w:rPr>
            <w:fldChar w:fldCharType="begin" w:fldLock="1"/>
          </w:r>
          <w:r w:rsidRPr="00633B83">
            <w:rPr>
              <w:sz w:val="16"/>
              <w:szCs w:val="16"/>
            </w:rPr>
            <w:instrText xml:space="preserve"> DOCPROPERTY EK_Utgave </w:instrText>
          </w:r>
          <w:r w:rsidRPr="00633B83">
            <w:rPr>
              <w:sz w:val="16"/>
              <w:szCs w:val="16"/>
            </w:rPr>
            <w:fldChar w:fldCharType="separate"/>
          </w:r>
          <w:r w:rsidRPr="00633B83">
            <w:rPr>
              <w:sz w:val="16"/>
              <w:szCs w:val="16"/>
            </w:rPr>
            <w:t>1.00</w:t>
          </w:r>
          <w:r w:rsidRPr="00633B83">
            <w:rPr>
              <w:sz w:val="16"/>
              <w:szCs w:val="16"/>
            </w:rPr>
            <w:fldChar w:fldCharType="end"/>
          </w:r>
          <w:r w:rsidRPr="00633B83">
            <w:rPr>
              <w:sz w:val="16"/>
              <w:szCs w:val="16"/>
            </w:rPr>
            <w:t xml:space="preserve">/ </w:t>
          </w:r>
          <w:r w:rsidRPr="00633B83">
            <w:rPr>
              <w:sz w:val="16"/>
              <w:szCs w:val="16"/>
            </w:rPr>
            <w:fldChar w:fldCharType="begin" w:fldLock="1"/>
          </w:r>
          <w:r w:rsidRPr="00633B83">
            <w:rPr>
              <w:sz w:val="16"/>
              <w:szCs w:val="16"/>
            </w:rPr>
            <w:instrText xml:space="preserve"> DOCPROPERTY EK_GjelderFra </w:instrText>
          </w:r>
          <w:r w:rsidRPr="00633B83">
            <w:rPr>
              <w:sz w:val="16"/>
              <w:szCs w:val="16"/>
            </w:rPr>
            <w:fldChar w:fldCharType="separate"/>
          </w:r>
          <w:r w:rsidRPr="00633B83">
            <w:rPr>
              <w:sz w:val="16"/>
              <w:szCs w:val="16"/>
            </w:rPr>
            <w:t>17.06.2026</w:t>
          </w:r>
          <w:r w:rsidRPr="00633B83">
            <w:rPr>
              <w:sz w:val="16"/>
              <w:szCs w:val="16"/>
            </w:rPr>
            <w:fldChar w:fldCharType="end"/>
          </w:r>
          <w:r w:rsidRPr="00633B83">
            <w:rPr>
              <w:sz w:val="16"/>
              <w:szCs w:val="16"/>
            </w:rPr>
            <w:t xml:space="preserve">                </w:t>
          </w:r>
          <w:r w:rsidRPr="00633B83">
            <w:rPr>
              <w:sz w:val="16"/>
              <w:szCs w:val="16"/>
            </w:rPr>
            <w:t>DokumentID</w:t>
          </w:r>
          <w:r w:rsidRPr="00633B83">
            <w:rPr>
              <w:sz w:val="16"/>
              <w:szCs w:val="16"/>
            </w:rPr>
            <w:t xml:space="preserve"> </w:t>
          </w:r>
          <w:r w:rsidRPr="00633B83">
            <w:rPr>
              <w:sz w:val="16"/>
              <w:szCs w:val="16"/>
            </w:rPr>
            <w:fldChar w:fldCharType="begin" w:fldLock="1"/>
          </w:r>
          <w:r w:rsidRPr="00633B83">
            <w:rPr>
              <w:sz w:val="16"/>
              <w:szCs w:val="16"/>
            </w:rPr>
            <w:instrText xml:space="preserve"> DOCPROPERTY EK_DokumentID </w:instrText>
          </w:r>
          <w:r w:rsidRPr="00633B83">
            <w:rPr>
              <w:sz w:val="16"/>
              <w:szCs w:val="16"/>
            </w:rPr>
            <w:fldChar w:fldCharType="separate"/>
          </w:r>
          <w:r w:rsidRPr="00633B83">
            <w:rPr>
              <w:sz w:val="16"/>
              <w:szCs w:val="16"/>
            </w:rPr>
            <w:t>D84863</w:t>
          </w:r>
          <w:r w:rsidRPr="00633B83">
            <w:rPr>
              <w:sz w:val="16"/>
              <w:szCs w:val="16"/>
            </w:rPr>
            <w:fldChar w:fldCharType="end"/>
          </w:r>
        </w:p>
      </w:tc>
      <w:tc>
        <w:tcPr>
          <w:tcW w:w="1770" w:type="pct"/>
          <w:vAlign w:val="center"/>
        </w:tcPr>
        <w:p w:rsidR="0072068F" w:rsidRPr="00633B83" w:rsidP="0072068F" w14:paraId="3D7300F6" w14:textId="77777777">
          <w:pPr>
            <w:spacing w:before="0" w:after="0"/>
            <w:rPr>
              <w:sz w:val="16"/>
              <w:szCs w:val="16"/>
            </w:rPr>
          </w:pPr>
        </w:p>
        <w:p w:rsidR="0072068F" w:rsidRPr="00633B83" w:rsidP="0072068F" w14:paraId="7FF8A06D" w14:textId="77777777">
          <w:pPr>
            <w:spacing w:before="0" w:after="0"/>
            <w:jc w:val="right"/>
            <w:rPr>
              <w:sz w:val="16"/>
              <w:szCs w:val="16"/>
            </w:rPr>
          </w:pPr>
          <w:r w:rsidRPr="00633B83">
            <w:rPr>
              <w:sz w:val="16"/>
              <w:szCs w:val="16"/>
            </w:rPr>
            <w:t xml:space="preserve">Side </w:t>
          </w:r>
          <w:r w:rsidRPr="00633B83">
            <w:rPr>
              <w:rStyle w:val="PageNumber"/>
              <w:sz w:val="16"/>
              <w:szCs w:val="16"/>
            </w:rPr>
            <w:fldChar w:fldCharType="begin"/>
          </w:r>
          <w:r w:rsidRPr="00633B83">
            <w:rPr>
              <w:rStyle w:val="PageNumber"/>
              <w:sz w:val="16"/>
              <w:szCs w:val="16"/>
            </w:rPr>
            <w:instrText xml:space="preserve"> PAGE </w:instrText>
          </w:r>
          <w:r w:rsidRPr="00633B83">
            <w:rPr>
              <w:rStyle w:val="PageNumber"/>
              <w:sz w:val="16"/>
              <w:szCs w:val="16"/>
            </w:rPr>
            <w:fldChar w:fldCharType="separate"/>
          </w:r>
          <w:r w:rsidRPr="00633B83">
            <w:rPr>
              <w:rStyle w:val="PageNumber"/>
              <w:rFonts w:asciiTheme="minorHAnsi" w:hAnsiTheme="minorHAnsi" w:cs="Arial"/>
              <w:sz w:val="16"/>
              <w:szCs w:val="16"/>
              <w:lang w:val="nb-NO" w:eastAsia="nb-NO" w:bidi="ar-SA"/>
            </w:rPr>
            <w:t>2</w:t>
          </w:r>
          <w:r w:rsidRPr="00633B83">
            <w:rPr>
              <w:rStyle w:val="PageNumber"/>
              <w:sz w:val="16"/>
              <w:szCs w:val="16"/>
            </w:rPr>
            <w:fldChar w:fldCharType="end"/>
          </w:r>
          <w:r w:rsidRPr="00633B83">
            <w:rPr>
              <w:rStyle w:val="PageNumber"/>
              <w:sz w:val="16"/>
              <w:szCs w:val="16"/>
            </w:rPr>
            <w:t xml:space="preserve"> av </w:t>
          </w:r>
          <w:r w:rsidRPr="00633B83">
            <w:rPr>
              <w:rStyle w:val="PageNumber"/>
              <w:sz w:val="16"/>
              <w:szCs w:val="16"/>
            </w:rPr>
            <w:fldChar w:fldCharType="begin"/>
          </w:r>
          <w:r w:rsidRPr="00633B83">
            <w:rPr>
              <w:rStyle w:val="PageNumber"/>
              <w:sz w:val="16"/>
              <w:szCs w:val="16"/>
            </w:rPr>
            <w:instrText xml:space="preserve"> NUMPAGES  \* MERGEFORMAT </w:instrText>
          </w:r>
          <w:r w:rsidRPr="00633B83">
            <w:rPr>
              <w:rStyle w:val="PageNumber"/>
              <w:sz w:val="16"/>
              <w:szCs w:val="16"/>
            </w:rPr>
            <w:fldChar w:fldCharType="separate"/>
          </w:r>
          <w:r w:rsidRPr="00633B83">
            <w:rPr>
              <w:rStyle w:val="PageNumber"/>
              <w:rFonts w:asciiTheme="minorHAnsi" w:hAnsiTheme="minorHAnsi" w:cstheme="minorHAnsi"/>
              <w:noProof/>
              <w:sz w:val="16"/>
              <w:szCs w:val="16"/>
              <w:lang w:val="nb-NO" w:eastAsia="nb-NO" w:bidi="ar-SA"/>
            </w:rPr>
            <w:t>5</w:t>
          </w:r>
          <w:r w:rsidRPr="00633B83">
            <w:rPr>
              <w:rStyle w:val="PageNumber"/>
              <w:sz w:val="16"/>
              <w:szCs w:val="16"/>
            </w:rPr>
            <w:fldChar w:fldCharType="end"/>
          </w:r>
          <w:r w:rsidRPr="00633B83">
            <w:rPr>
              <w:sz w:val="16"/>
              <w:szCs w:val="16"/>
            </w:rPr>
            <w:t xml:space="preserve"> </w:t>
          </w:r>
        </w:p>
      </w:tc>
    </w:tr>
  </w:tbl>
  <w:p w:rsidR="008B1B4E" w:rsidRPr="00561365" w:rsidP="00561365" w14:paraId="7B8FCEA8" w14:textId="77777777">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068F" w:rsidRPr="0072068F" w:rsidP="005C0709" w14:paraId="4B9EB3B8" w14:textId="52907EE4">
    <w:pPr>
      <w:pStyle w:val="Footer"/>
      <w:spacing w:after="0"/>
      <w:rPr>
        <w:rFonts w:cstheme="minorHAnsi"/>
        <w:b/>
        <w:bCs/>
        <w:sz w:val="16"/>
      </w:rPr>
    </w:pPr>
    <w:r w:rsidRPr="0072068F">
      <w:rPr>
        <w:rFonts w:cstheme="minorHAnsi"/>
        <w:b/>
        <w:bCs/>
        <w:sz w:val="16"/>
      </w:rPr>
      <w:t>Utarbe</w:t>
    </w:r>
    <w:r>
      <w:rPr>
        <w:rFonts w:cstheme="minorHAnsi"/>
        <w:b/>
        <w:bCs/>
        <w:sz w:val="16"/>
      </w:rPr>
      <w:t>i</w:t>
    </w:r>
    <w:r w:rsidRPr="0072068F">
      <w:rPr>
        <w:rFonts w:cstheme="minorHAnsi"/>
        <w:b/>
        <w:bCs/>
        <w:sz w:val="16"/>
      </w:rPr>
      <w:t xml:space="preserve">det av: </w:t>
    </w:r>
  </w:p>
  <w:tbl>
    <w:tblPr>
      <w:tblStyle w:val="TableNormal"/>
      <w:tblW w:w="0" w:type="auto"/>
      <w:tblBorders>
        <w:top w:val="single" w:sz="4" w:space="0" w:color="auto"/>
      </w:tblBorders>
      <w:tblLayout w:type="fixed"/>
      <w:tblCellMar>
        <w:left w:w="70" w:type="dxa"/>
        <w:right w:w="70" w:type="dxa"/>
      </w:tblCellMar>
      <w:tblLook w:val="0000"/>
    </w:tblPr>
    <w:tblGrid>
      <w:gridCol w:w="3212"/>
      <w:gridCol w:w="3411"/>
      <w:gridCol w:w="2450"/>
    </w:tblGrid>
    <w:tr w14:paraId="17A031C0" w14:textId="77777777" w:rsidTr="008F48A5">
      <w:tblPrEx>
        <w:tblW w:w="0" w:type="auto"/>
        <w:tblBorders>
          <w:top w:val="single" w:sz="4" w:space="0" w:color="auto"/>
        </w:tblBorders>
        <w:tblLayout w:type="fixed"/>
        <w:tblCellMar>
          <w:left w:w="70" w:type="dxa"/>
          <w:right w:w="70" w:type="dxa"/>
        </w:tblCellMar>
        <w:tblLook w:val="0000"/>
      </w:tblPrEx>
      <w:trPr>
        <w:trHeight w:val="340"/>
      </w:trPr>
      <w:tc>
        <w:tcPr>
          <w:tcW w:w="3212" w:type="dxa"/>
          <w:vAlign w:val="center"/>
        </w:tcPr>
        <w:p w:rsidR="0072068F" w:rsidRPr="00633B83" w:rsidP="004D6E5D" w14:paraId="22617C4D" w14:textId="77777777">
          <w:pPr>
            <w:spacing w:before="0" w:after="0"/>
            <w:ind w:left="-65"/>
            <w:rPr>
              <w:sz w:val="16"/>
            </w:rPr>
          </w:pPr>
          <w:r w:rsidRPr="00633B83">
            <w:rPr>
              <w:sz w:val="16"/>
            </w:rPr>
            <w:t xml:space="preserve">Nasjonalt senter for sjeldne diagnoser, </w:t>
          </w:r>
        </w:p>
        <w:p w:rsidR="0072068F" w:rsidRPr="00633B83" w:rsidP="004D6E5D" w14:paraId="10EA6360" w14:textId="77777777">
          <w:pPr>
            <w:spacing w:before="0" w:after="0"/>
            <w:ind w:left="-65"/>
            <w:rPr>
              <w:sz w:val="16"/>
            </w:rPr>
          </w:pPr>
          <w:r w:rsidRPr="00633B83">
            <w:rPr>
              <w:sz w:val="16"/>
            </w:rPr>
            <w:t>enhet porfyrisykdommer (Napos)</w:t>
          </w:r>
        </w:p>
        <w:p w:rsidR="0072068F" w:rsidP="004D6E5D" w14:paraId="0AF325B5" w14:textId="77777777">
          <w:pPr>
            <w:spacing w:before="0" w:after="0"/>
            <w:ind w:left="-65"/>
            <w:rPr>
              <w:sz w:val="16"/>
              <w:lang w:val="nn-NO"/>
            </w:rPr>
          </w:pPr>
          <w:r>
            <w:rPr>
              <w:sz w:val="16"/>
              <w:lang w:val="nn-NO"/>
            </w:rPr>
            <w:t>Haukeland universitetssjukehus</w:t>
          </w:r>
        </w:p>
        <w:p w:rsidR="0072068F" w:rsidRPr="00965E9F" w:rsidP="004D6E5D" w14:paraId="2CFA3D56" w14:textId="5D2DDF0B">
          <w:pPr>
            <w:spacing w:before="0" w:after="0"/>
            <w:ind w:left="-65"/>
            <w:rPr>
              <w:sz w:val="16"/>
              <w:lang w:val="nn-NO"/>
            </w:rPr>
          </w:pPr>
          <w:r>
            <w:rPr>
              <w:sz w:val="16"/>
              <w:lang w:val="nn-NO"/>
            </w:rPr>
            <w:t>Postbok</w:t>
          </w:r>
          <w:r>
            <w:rPr>
              <w:sz w:val="16"/>
              <w:lang w:val="nn-NO"/>
            </w:rPr>
            <w:t>s</w:t>
          </w:r>
          <w:r>
            <w:rPr>
              <w:sz w:val="16"/>
              <w:lang w:val="nn-NO"/>
            </w:rPr>
            <w:t xml:space="preserve"> 1400, 5021 Bergen</w:t>
          </w:r>
        </w:p>
      </w:tc>
      <w:tc>
        <w:tcPr>
          <w:tcW w:w="3411" w:type="dxa"/>
          <w:vAlign w:val="center"/>
        </w:tcPr>
        <w:p w:rsidR="0072068F" w:rsidP="0072068F" w14:paraId="170FE902" w14:textId="77777777">
          <w:pPr>
            <w:spacing w:before="0" w:after="0"/>
            <w:rPr>
              <w:sz w:val="16"/>
              <w:lang w:val="nn-NO"/>
            </w:rPr>
          </w:pPr>
          <w:r>
            <w:rPr>
              <w:sz w:val="16"/>
              <w:lang w:val="nn-NO"/>
            </w:rPr>
            <w:t xml:space="preserve">Nettside: </w:t>
          </w:r>
          <w:hyperlink r:id="rId1" w:history="1">
            <w:r w:rsidRPr="00052E6B">
              <w:rPr>
                <w:rStyle w:val="Hyperlink"/>
                <w:sz w:val="16"/>
                <w:lang w:val="nn-NO"/>
              </w:rPr>
              <w:t>napos.no</w:t>
            </w:r>
          </w:hyperlink>
        </w:p>
        <w:p w:rsidR="0072068F" w:rsidP="0072068F" w14:paraId="586AA042" w14:textId="77777777">
          <w:pPr>
            <w:spacing w:before="0" w:after="0"/>
            <w:rPr>
              <w:sz w:val="16"/>
              <w:lang w:val="nn-NO"/>
            </w:rPr>
          </w:pPr>
        </w:p>
        <w:p w:rsidR="0072068F" w:rsidP="0072068F" w14:paraId="0D92D61A" w14:textId="77777777">
          <w:pPr>
            <w:spacing w:before="0" w:after="0"/>
            <w:rPr>
              <w:sz w:val="16"/>
              <w:lang w:val="nn-NO"/>
            </w:rPr>
          </w:pPr>
          <w:r>
            <w:rPr>
              <w:sz w:val="16"/>
              <w:lang w:val="nn-NO"/>
            </w:rPr>
            <w:t>Telefon: 55 97 31 70</w:t>
          </w:r>
        </w:p>
        <w:p w:rsidR="0072068F" w:rsidRPr="009F4777" w:rsidP="0072068F" w14:paraId="552C59EB" w14:textId="77777777">
          <w:pPr>
            <w:spacing w:before="0" w:after="0"/>
            <w:rPr>
              <w:sz w:val="16"/>
              <w:lang w:val="nn-NO"/>
            </w:rPr>
          </w:pPr>
          <w:r>
            <w:rPr>
              <w:sz w:val="16"/>
              <w:lang w:val="nn-NO"/>
            </w:rPr>
            <w:t xml:space="preserve">E-post: </w:t>
          </w:r>
          <w:hyperlink r:id="rId2" w:history="1">
            <w:r w:rsidRPr="00FE0162">
              <w:rPr>
                <w:rStyle w:val="Hyperlink"/>
                <w:sz w:val="16"/>
                <w:lang w:val="nn-NO"/>
              </w:rPr>
              <w:t>porfyri@helse-bergen.no</w:t>
            </w:r>
          </w:hyperlink>
        </w:p>
      </w:tc>
      <w:tc>
        <w:tcPr>
          <w:tcW w:w="2450" w:type="dxa"/>
          <w:vAlign w:val="center"/>
        </w:tcPr>
        <w:p w:rsidR="0072068F" w:rsidP="0072068F" w14:paraId="2182683C" w14:textId="77777777">
          <w:pPr>
            <w:spacing w:before="0" w:after="0"/>
            <w:rPr>
              <w:sz w:val="16"/>
            </w:rPr>
          </w:pPr>
          <w:r w:rsidRPr="00910F62">
            <w:rPr>
              <w:sz w:val="16"/>
            </w:rPr>
            <w:t xml:space="preserve">Versjon </w:t>
          </w:r>
          <w:r w:rsidRPr="00910F62">
            <w:rPr>
              <w:sz w:val="16"/>
            </w:rPr>
            <w:fldChar w:fldCharType="begin" w:fldLock="1"/>
          </w:r>
          <w:r w:rsidRPr="00910F62">
            <w:rPr>
              <w:sz w:val="16"/>
            </w:rPr>
            <w:instrText xml:space="preserve"> DOCPROPERTY EK_Utgave </w:instrText>
          </w:r>
          <w:r w:rsidRPr="00910F62">
            <w:rPr>
              <w:sz w:val="16"/>
            </w:rPr>
            <w:fldChar w:fldCharType="separate"/>
          </w:r>
          <w:r w:rsidRPr="00910F62">
            <w:rPr>
              <w:sz w:val="16"/>
            </w:rPr>
            <w:t>1.00</w:t>
          </w:r>
          <w:r w:rsidRPr="00910F62">
            <w:rPr>
              <w:sz w:val="16"/>
            </w:rPr>
            <w:fldChar w:fldCharType="end"/>
          </w:r>
          <w:r w:rsidRPr="00910F62">
            <w:rPr>
              <w:sz w:val="16"/>
            </w:rPr>
            <w:t xml:space="preserve">/ </w:t>
          </w:r>
          <w:r w:rsidRPr="00910F62">
            <w:rPr>
              <w:sz w:val="16"/>
            </w:rPr>
            <w:fldChar w:fldCharType="begin" w:fldLock="1"/>
          </w:r>
          <w:r w:rsidRPr="00910F62">
            <w:rPr>
              <w:sz w:val="16"/>
            </w:rPr>
            <w:instrText xml:space="preserve"> DOCPROPERTY EK_GjelderFra </w:instrText>
          </w:r>
          <w:r w:rsidRPr="00910F62">
            <w:rPr>
              <w:sz w:val="16"/>
            </w:rPr>
            <w:fldChar w:fldCharType="separate"/>
          </w:r>
          <w:r w:rsidRPr="00910F62">
            <w:rPr>
              <w:sz w:val="16"/>
            </w:rPr>
            <w:t>17.06.2026</w:t>
          </w:r>
          <w:r w:rsidRPr="00910F62">
            <w:rPr>
              <w:sz w:val="16"/>
            </w:rPr>
            <w:fldChar w:fldCharType="end"/>
          </w:r>
          <w:r>
            <w:rPr>
              <w:sz w:val="16"/>
            </w:rPr>
            <w:t xml:space="preserve">                </w:t>
          </w:r>
        </w:p>
        <w:p w:rsidR="0072068F" w:rsidP="0072068F" w14:paraId="22E593CD" w14:textId="77777777">
          <w:pPr>
            <w:spacing w:before="0" w:after="0"/>
            <w:rPr>
              <w:sz w:val="16"/>
            </w:rPr>
          </w:pPr>
          <w:r w:rsidRPr="00910F62">
            <w:rPr>
              <w:sz w:val="16"/>
            </w:rPr>
            <w:t>DokID</w:t>
          </w:r>
          <w:r w:rsidRPr="00910F62">
            <w:rPr>
              <w:sz w:val="16"/>
            </w:rPr>
            <w:t xml:space="preserve"> </w:t>
          </w:r>
          <w:r w:rsidRPr="00910F62">
            <w:rPr>
              <w:sz w:val="16"/>
            </w:rPr>
            <w:fldChar w:fldCharType="begin" w:fldLock="1"/>
          </w:r>
          <w:r w:rsidRPr="00910F62">
            <w:rPr>
              <w:sz w:val="16"/>
            </w:rPr>
            <w:instrText xml:space="preserve"> DOCPROPERTY EK_DokumentID </w:instrText>
          </w:r>
          <w:r w:rsidRPr="00910F62">
            <w:rPr>
              <w:sz w:val="16"/>
            </w:rPr>
            <w:fldChar w:fldCharType="separate"/>
          </w:r>
          <w:r w:rsidRPr="00910F62">
            <w:rPr>
              <w:sz w:val="16"/>
            </w:rPr>
            <w:t>D84863</w:t>
          </w:r>
          <w:r w:rsidRPr="00910F62">
            <w:rPr>
              <w:sz w:val="16"/>
            </w:rPr>
            <w:fldChar w:fldCharType="end"/>
          </w:r>
        </w:p>
        <w:p w:rsidR="0072068F" w:rsidP="0072068F" w14:paraId="5C63D652" w14:textId="77777777">
          <w:pPr>
            <w:spacing w:before="0" w:after="0"/>
            <w:rPr>
              <w:sz w:val="16"/>
            </w:rPr>
          </w:pPr>
        </w:p>
        <w:p w:rsidR="0072068F" w:rsidRPr="00910F62" w:rsidP="0072068F" w14:paraId="7D21E020" w14:textId="77777777">
          <w:pPr>
            <w:spacing w:before="0" w:after="0"/>
            <w:rPr>
              <w:sz w:val="16"/>
            </w:rPr>
          </w:pPr>
          <w:r w:rsidRPr="006F1C45">
            <w:rPr>
              <w:sz w:val="16"/>
              <w:szCs w:val="16"/>
            </w:rPr>
            <w:t xml:space="preserve">Side </w:t>
          </w:r>
          <w:r w:rsidRPr="006F1C45">
            <w:rPr>
              <w:rStyle w:val="PageNumber"/>
              <w:sz w:val="16"/>
              <w:szCs w:val="16"/>
            </w:rPr>
            <w:fldChar w:fldCharType="begin"/>
          </w:r>
          <w:r w:rsidRPr="006F1C45">
            <w:rPr>
              <w:rStyle w:val="PageNumber"/>
              <w:sz w:val="16"/>
              <w:szCs w:val="16"/>
            </w:rPr>
            <w:instrText xml:space="preserve"> PAGE </w:instrText>
          </w:r>
          <w:r w:rsidRPr="006F1C45">
            <w:rPr>
              <w:rStyle w:val="PageNumber"/>
              <w:sz w:val="16"/>
              <w:szCs w:val="16"/>
            </w:rPr>
            <w:fldChar w:fldCharType="separate"/>
          </w:r>
          <w:r w:rsidRPr="006F1C45">
            <w:rPr>
              <w:rStyle w:val="PageNumber"/>
              <w:rFonts w:asciiTheme="minorHAnsi" w:hAnsiTheme="minorHAnsi" w:cs="Arial"/>
              <w:sz w:val="16"/>
              <w:szCs w:val="16"/>
              <w:lang w:val="nb-NO" w:eastAsia="nb-NO" w:bidi="ar-SA"/>
            </w:rPr>
            <w:t>1</w:t>
          </w:r>
          <w:r w:rsidRPr="006F1C45">
            <w:rPr>
              <w:rStyle w:val="PageNumber"/>
              <w:sz w:val="16"/>
              <w:szCs w:val="16"/>
            </w:rPr>
            <w:fldChar w:fldCharType="end"/>
          </w:r>
          <w:r w:rsidRPr="006F1C45">
            <w:rPr>
              <w:rStyle w:val="PageNumber"/>
              <w:sz w:val="16"/>
              <w:szCs w:val="16"/>
            </w:rPr>
            <w:t xml:space="preserve"> av </w:t>
          </w:r>
          <w:r w:rsidRPr="006F1C45">
            <w:rPr>
              <w:rStyle w:val="PageNumber"/>
              <w:sz w:val="16"/>
              <w:szCs w:val="16"/>
            </w:rPr>
            <w:fldChar w:fldCharType="begin"/>
          </w:r>
          <w:r w:rsidRPr="006F1C45">
            <w:rPr>
              <w:rStyle w:val="PageNumber"/>
              <w:sz w:val="16"/>
              <w:szCs w:val="16"/>
            </w:rPr>
            <w:instrText xml:space="preserve"> NUMPAGES  \* MERGEFORMAT </w:instrText>
          </w:r>
          <w:r w:rsidRPr="006F1C45">
            <w:rPr>
              <w:rStyle w:val="PageNumber"/>
              <w:sz w:val="16"/>
              <w:szCs w:val="16"/>
            </w:rPr>
            <w:fldChar w:fldCharType="separate"/>
          </w:r>
          <w:r>
            <w:rPr>
              <w:rStyle w:val="PageNumber"/>
              <w:rFonts w:asciiTheme="minorHAnsi" w:hAnsiTheme="minorHAnsi" w:cstheme="minorHAnsi"/>
              <w:noProof/>
              <w:sz w:val="16"/>
              <w:szCs w:val="16"/>
              <w:lang w:val="nb-NO" w:eastAsia="nb-NO" w:bidi="ar-SA"/>
            </w:rPr>
            <w:t>5</w:t>
          </w:r>
          <w:r w:rsidRPr="006F1C45">
            <w:rPr>
              <w:rStyle w:val="PageNumber"/>
              <w:sz w:val="16"/>
              <w:szCs w:val="16"/>
            </w:rPr>
            <w:fldChar w:fldCharType="end"/>
          </w:r>
        </w:p>
      </w:tc>
    </w:tr>
  </w:tbl>
  <w:p w:rsidR="002348BC" w:rsidRPr="00BE7038" w:rsidP="002348BC" w14:paraId="52098FD3" w14:textId="1B209271">
    <w:pPr>
      <w:pStyle w:val="Footer"/>
      <w:rPr>
        <w:rFonts w:cstheme="minorHAnsi"/>
        <w:color w:val="FFFFFF"/>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926C1" w14:paraId="38FD0CA4" w14:textId="77777777">
      <w:pPr>
        <w:spacing w:before="0" w:after="0"/>
      </w:pPr>
      <w:r>
        <w:separator/>
      </w:r>
    </w:p>
  </w:footnote>
  <w:footnote w:type="continuationSeparator" w:id="1">
    <w:p w:rsidR="008926C1" w14:paraId="567875BB"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088"/>
      <w:gridCol w:w="1055"/>
    </w:tblGrid>
    <w:tr w14:paraId="52098FB3" w14:textId="77777777" w:rsidTr="005A6D9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trHeight w:val="576"/>
      </w:trPr>
      <w:tc>
        <w:tcPr>
          <w:tcW w:w="8088" w:type="dxa"/>
          <w:tcBorders>
            <w:left w:val="single" w:sz="4" w:space="0" w:color="auto"/>
            <w:bottom w:val="single" w:sz="4" w:space="0" w:color="auto"/>
            <w:right w:val="single" w:sz="4" w:space="0" w:color="auto"/>
          </w:tcBorders>
          <w:vAlign w:val="bottom"/>
        </w:tcPr>
        <w:p w:rsidR="002348BC" w:rsidP="005A6D97" w14:paraId="52098FB0" w14:textId="77777777">
          <w:pPr>
            <w:pStyle w:val="Header"/>
            <w:jc w:val="center"/>
            <w:rPr>
              <w:sz w:val="28"/>
            </w:rPr>
          </w:pPr>
          <w:r>
            <w:rPr>
              <w:sz w:val="28"/>
            </w:rPr>
            <w:fldChar w:fldCharType="begin" w:fldLock="1"/>
          </w:r>
          <w:r>
            <w:rPr>
              <w:color w:val="000080"/>
              <w:sz w:val="28"/>
            </w:rPr>
            <w:instrText xml:space="preserve"> DOCPROPERTY EK_DokTittel </w:instrText>
          </w:r>
          <w:r>
            <w:rPr>
              <w:sz w:val="28"/>
            </w:rPr>
            <w:fldChar w:fldCharType="separate"/>
          </w:r>
          <w:r>
            <w:rPr>
              <w:color w:val="000080"/>
              <w:sz w:val="28"/>
            </w:rPr>
            <w:t>Retningslinje for anestesi, pre-, per- og postoperativ oppfølging for pasienter som har eller er genetisk disponert for akutte porfyrisykdommer</w:t>
          </w:r>
          <w:r>
            <w:rPr>
              <w:sz w:val="28"/>
            </w:rPr>
            <w:fldChar w:fldCharType="end"/>
          </w:r>
        </w:p>
      </w:tc>
      <w:tc>
        <w:tcPr>
          <w:tcW w:w="1055" w:type="dxa"/>
          <w:tcBorders>
            <w:left w:val="single" w:sz="4" w:space="0" w:color="auto"/>
            <w:bottom w:val="single" w:sz="4" w:space="0" w:color="auto"/>
            <w:right w:val="single" w:sz="4" w:space="0" w:color="auto"/>
          </w:tcBorders>
        </w:tcPr>
        <w:p w:rsidR="002348BC" w:rsidP="005A6D97" w14:paraId="52098FB1" w14:textId="77777777">
          <w:pPr>
            <w:pStyle w:val="Header"/>
            <w:jc w:val="left"/>
            <w:rPr>
              <w:sz w:val="12"/>
            </w:rPr>
          </w:pPr>
        </w:p>
        <w:p w:rsidR="002348BC" w:rsidP="005A6D97" w14:paraId="52098FB2" w14:textId="77777777">
          <w:pPr>
            <w:pStyle w:val="Header"/>
            <w:jc w:val="left"/>
            <w:rPr>
              <w:sz w:val="28"/>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1.00</w:t>
          </w:r>
          <w:r>
            <w:rPr>
              <w:sz w:val="16"/>
            </w:rPr>
            <w:fldChar w:fldCharType="end"/>
          </w:r>
        </w:p>
      </w:tc>
    </w:tr>
  </w:tbl>
  <w:p w:rsidR="002348BC" w:rsidP="002348BC" w14:paraId="52098FB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1B4E" w:rsidP="008B1B4E" w14:paraId="7E0F6E72" w14:textId="4EC02D08">
    <w:pPr>
      <w:pStyle w:val="Header"/>
      <w:jc w:val="left"/>
    </w:pPr>
    <w:r>
      <w:rPr>
        <w:noProof/>
      </w:rPr>
      <w:drawing>
        <wp:inline distT="0" distB="0" distL="0" distR="0">
          <wp:extent cx="2361199" cy="495300"/>
          <wp:effectExtent l="0" t="0" r="1270" b="0"/>
          <wp:docPr id="1921898344" name="Bilde 4" descr="Et bilde som inneholder tekst, Font, skjermbilde,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898344" name="Bilde 4" descr="Et bilde som inneholder tekst, Font, skjermbilde, Grafikk&#10;&#10;KI-generert innhold kan være feil."/>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367703" cy="496664"/>
                  </a:xfrm>
                  <a:prstGeom prst="rect">
                    <a:avLst/>
                  </a:prstGeom>
                </pic:spPr>
              </pic:pic>
            </a:graphicData>
          </a:graphic>
        </wp:inline>
      </w:drawing>
    </w:r>
    <w:r>
      <w:t xml:space="preserve">                </w:t>
    </w:r>
    <w:r w:rsidR="00D34484">
      <w:t xml:space="preserve"> </w:t>
    </w:r>
    <w:r>
      <w:t xml:space="preserve">                                                            </w:t>
    </w:r>
    <w:r>
      <w:rPr>
        <w:noProof/>
      </w:rPr>
      <w:drawing>
        <wp:inline distT="0" distB="0" distL="0" distR="0">
          <wp:extent cx="717925" cy="708191"/>
          <wp:effectExtent l="0" t="0" r="6350" b="0"/>
          <wp:docPr id="1248584039" name="Bilde 5" descr="Et bilde som inneholder skjermbilde, symbol, tekst,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584039" name="Bilde 5" descr="Et bilde som inneholder skjermbilde, symbol, tekst, Grafikk&#10;&#10;KI-generert innhold kan være feil."/>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745737" cy="7356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5EEAB78A"/>
    <w:lvl w:ilvl="0">
      <w:start w:val="1"/>
      <w:numFmt w:val="decimal"/>
      <w:lvlText w:val="%1."/>
      <w:lvlJc w:val="left"/>
      <w:pPr>
        <w:tabs>
          <w:tab w:val="num" w:pos="1492"/>
        </w:tabs>
        <w:ind w:left="1492" w:hanging="360"/>
      </w:pPr>
    </w:lvl>
  </w:abstractNum>
  <w:abstractNum w:abstractNumId="1">
    <w:nsid w:val="FFFFFF7D"/>
    <w:multiLevelType w:val="singleLevel"/>
    <w:tmpl w:val="75DE3D06"/>
    <w:lvl w:ilvl="0">
      <w:start w:val="1"/>
      <w:numFmt w:val="decimal"/>
      <w:lvlText w:val="%1."/>
      <w:lvlJc w:val="left"/>
      <w:pPr>
        <w:tabs>
          <w:tab w:val="num" w:pos="1209"/>
        </w:tabs>
        <w:ind w:left="1209" w:hanging="360"/>
      </w:pPr>
    </w:lvl>
  </w:abstractNum>
  <w:abstractNum w:abstractNumId="2">
    <w:nsid w:val="FFFFFF7E"/>
    <w:multiLevelType w:val="singleLevel"/>
    <w:tmpl w:val="60003EE6"/>
    <w:lvl w:ilvl="0">
      <w:start w:val="1"/>
      <w:numFmt w:val="decimal"/>
      <w:lvlText w:val="%1."/>
      <w:lvlJc w:val="left"/>
      <w:pPr>
        <w:tabs>
          <w:tab w:val="num" w:pos="926"/>
        </w:tabs>
        <w:ind w:left="926" w:hanging="360"/>
      </w:pPr>
    </w:lvl>
  </w:abstractNum>
  <w:abstractNum w:abstractNumId="3">
    <w:nsid w:val="FFFFFF7F"/>
    <w:multiLevelType w:val="singleLevel"/>
    <w:tmpl w:val="FFF62AAC"/>
    <w:lvl w:ilvl="0">
      <w:start w:val="1"/>
      <w:numFmt w:val="decimal"/>
      <w:lvlText w:val="%1."/>
      <w:lvlJc w:val="left"/>
      <w:pPr>
        <w:tabs>
          <w:tab w:val="num" w:pos="643"/>
        </w:tabs>
        <w:ind w:left="643" w:hanging="360"/>
      </w:pPr>
    </w:lvl>
  </w:abstractNum>
  <w:abstractNum w:abstractNumId="4">
    <w:nsid w:val="FFFFFF80"/>
    <w:multiLevelType w:val="singleLevel"/>
    <w:tmpl w:val="0D6EAE9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89855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8E9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C4EA3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482C4C2"/>
    <w:lvl w:ilvl="0">
      <w:start w:val="1"/>
      <w:numFmt w:val="decimal"/>
      <w:lvlText w:val="%1."/>
      <w:lvlJc w:val="left"/>
      <w:pPr>
        <w:tabs>
          <w:tab w:val="num" w:pos="360"/>
        </w:tabs>
        <w:ind w:left="360" w:hanging="360"/>
      </w:pPr>
    </w:lvl>
  </w:abstractNum>
  <w:abstractNum w:abstractNumId="9">
    <w:nsid w:val="FFFFFF89"/>
    <w:multiLevelType w:val="singleLevel"/>
    <w:tmpl w:val="9C665E5C"/>
    <w:lvl w:ilvl="0">
      <w:start w:val="1"/>
      <w:numFmt w:val="bullet"/>
      <w:lvlText w:val=""/>
      <w:lvlJc w:val="left"/>
      <w:pPr>
        <w:tabs>
          <w:tab w:val="num" w:pos="360"/>
        </w:tabs>
        <w:ind w:left="360" w:hanging="360"/>
      </w:pPr>
      <w:rPr>
        <w:rFonts w:ascii="Symbol" w:hAnsi="Symbol" w:hint="default"/>
      </w:rPr>
    </w:lvl>
  </w:abstractNum>
  <w:abstractNum w:abstractNumId="10">
    <w:nsid w:val="016E0407"/>
    <w:multiLevelType w:val="hybridMultilevel"/>
    <w:tmpl w:val="40A4488A"/>
    <w:lvl w:ilvl="0">
      <w:start w:val="1"/>
      <w:numFmt w:val="bullet"/>
      <w:lvlText w:val=""/>
      <w:lvlJc w:val="left"/>
      <w:pPr>
        <w:ind w:left="1077" w:hanging="360"/>
      </w:pPr>
      <w:rPr>
        <w:rFonts w:ascii="Symbol" w:hAnsi="Symbol" w:hint="default"/>
      </w:rPr>
    </w:lvl>
    <w:lvl w:ilvl="1" w:tentative="1">
      <w:start w:val="1"/>
      <w:numFmt w:val="bullet"/>
      <w:lvlText w:val="o"/>
      <w:lvlJc w:val="left"/>
      <w:pPr>
        <w:ind w:left="1797" w:hanging="360"/>
      </w:pPr>
      <w:rPr>
        <w:rFonts w:ascii="Courier New" w:hAnsi="Courier New" w:cs="Courier New" w:hint="default"/>
      </w:rPr>
    </w:lvl>
    <w:lvl w:ilvl="2" w:tentative="1">
      <w:start w:val="1"/>
      <w:numFmt w:val="bullet"/>
      <w:lvlText w:val=""/>
      <w:lvlJc w:val="left"/>
      <w:pPr>
        <w:ind w:left="2517" w:hanging="360"/>
      </w:pPr>
      <w:rPr>
        <w:rFonts w:ascii="Wingdings" w:hAnsi="Wingdings" w:hint="default"/>
      </w:rPr>
    </w:lvl>
    <w:lvl w:ilvl="3" w:tentative="1">
      <w:start w:val="1"/>
      <w:numFmt w:val="bullet"/>
      <w:lvlText w:val=""/>
      <w:lvlJc w:val="left"/>
      <w:pPr>
        <w:ind w:left="3237" w:hanging="360"/>
      </w:pPr>
      <w:rPr>
        <w:rFonts w:ascii="Symbol" w:hAnsi="Symbol" w:hint="default"/>
      </w:rPr>
    </w:lvl>
    <w:lvl w:ilvl="4" w:tentative="1">
      <w:start w:val="1"/>
      <w:numFmt w:val="bullet"/>
      <w:lvlText w:val="o"/>
      <w:lvlJc w:val="left"/>
      <w:pPr>
        <w:ind w:left="3957" w:hanging="360"/>
      </w:pPr>
      <w:rPr>
        <w:rFonts w:ascii="Courier New" w:hAnsi="Courier New" w:cs="Courier New" w:hint="default"/>
      </w:rPr>
    </w:lvl>
    <w:lvl w:ilvl="5" w:tentative="1">
      <w:start w:val="1"/>
      <w:numFmt w:val="bullet"/>
      <w:lvlText w:val=""/>
      <w:lvlJc w:val="left"/>
      <w:pPr>
        <w:ind w:left="4677" w:hanging="360"/>
      </w:pPr>
      <w:rPr>
        <w:rFonts w:ascii="Wingdings" w:hAnsi="Wingdings" w:hint="default"/>
      </w:rPr>
    </w:lvl>
    <w:lvl w:ilvl="6" w:tentative="1">
      <w:start w:val="1"/>
      <w:numFmt w:val="bullet"/>
      <w:lvlText w:val=""/>
      <w:lvlJc w:val="left"/>
      <w:pPr>
        <w:ind w:left="5397" w:hanging="360"/>
      </w:pPr>
      <w:rPr>
        <w:rFonts w:ascii="Symbol" w:hAnsi="Symbol" w:hint="default"/>
      </w:rPr>
    </w:lvl>
    <w:lvl w:ilvl="7" w:tentative="1">
      <w:start w:val="1"/>
      <w:numFmt w:val="bullet"/>
      <w:lvlText w:val="o"/>
      <w:lvlJc w:val="left"/>
      <w:pPr>
        <w:ind w:left="6117" w:hanging="360"/>
      </w:pPr>
      <w:rPr>
        <w:rFonts w:ascii="Courier New" w:hAnsi="Courier New" w:cs="Courier New" w:hint="default"/>
      </w:rPr>
    </w:lvl>
    <w:lvl w:ilvl="8" w:tentative="1">
      <w:start w:val="1"/>
      <w:numFmt w:val="bullet"/>
      <w:lvlText w:val=""/>
      <w:lvlJc w:val="left"/>
      <w:pPr>
        <w:ind w:left="6837" w:hanging="360"/>
      </w:pPr>
      <w:rPr>
        <w:rFonts w:ascii="Wingdings" w:hAnsi="Wingdings" w:hint="default"/>
      </w:rPr>
    </w:lvl>
  </w:abstractNum>
  <w:abstractNum w:abstractNumId="11">
    <w:nsid w:val="01B12452"/>
    <w:multiLevelType w:val="multilevel"/>
    <w:tmpl w:val="A0E29820"/>
    <w:lvl w:ilvl="0">
      <w:start w:val="1"/>
      <w:numFmt w:val="decimal"/>
      <w:lvlText w:val="%1"/>
      <w:lvlJc w:val="left"/>
      <w:pPr>
        <w:tabs>
          <w:tab w:val="num" w:pos="432"/>
        </w:tabs>
        <w:ind w:left="432" w:hanging="432"/>
      </w:pPr>
      <w:rPr>
        <w:rFonts w:ascii="Arial" w:hAnsi="Arial" w:hint="default"/>
        <w:b/>
        <w:i w:val="0"/>
        <w:sz w:val="28"/>
      </w:rPr>
    </w:lvl>
    <w:lvl w:ilvl="1">
      <w:start w:val="1"/>
      <w:numFmt w:val="decimal"/>
      <w:lvlText w:val="%1.%2"/>
      <w:lvlJc w:val="left"/>
      <w:pPr>
        <w:tabs>
          <w:tab w:val="num" w:pos="576"/>
        </w:tabs>
        <w:ind w:left="576" w:hanging="576"/>
      </w:pPr>
      <w:rPr>
        <w:rFonts w:ascii="Arial" w:hAnsi="Arial" w:hint="default"/>
        <w:b/>
        <w:i w:val="0"/>
        <w:sz w:val="24"/>
      </w:rPr>
    </w:lvl>
    <w:lvl w:ilvl="2">
      <w:start w:val="1"/>
      <w:numFmt w:val="decimal"/>
      <w:lvlText w:val="%1.%2.%3"/>
      <w:lvlJc w:val="left"/>
      <w:pPr>
        <w:tabs>
          <w:tab w:val="num" w:pos="720"/>
        </w:tabs>
        <w:ind w:left="720" w:hanging="720"/>
      </w:pPr>
      <w:rPr>
        <w:rFonts w:ascii="Arial" w:hAnsi="Arial" w:hint="default"/>
        <w:b/>
        <w:i w:val="0"/>
        <w:sz w:val="22"/>
      </w:rPr>
    </w:lvl>
    <w:lvl w:ilvl="3">
      <w:start w:val="1"/>
      <w:numFmt w:val="decimal"/>
      <w:lvlText w:val="%1.%2.%3.%4"/>
      <w:lvlJc w:val="left"/>
      <w:pPr>
        <w:tabs>
          <w:tab w:val="num" w:pos="864"/>
        </w:tabs>
        <w:ind w:left="864" w:hanging="864"/>
      </w:pPr>
      <w:rPr>
        <w:rFonts w:ascii="Arial" w:hAnsi="Arial" w:hint="default"/>
        <w:b/>
        <w:i w:val="0"/>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04F017E3"/>
    <w:multiLevelType w:val="hybridMultilevel"/>
    <w:tmpl w:val="08E23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A946E9F"/>
    <w:multiLevelType w:val="multilevel"/>
    <w:tmpl w:val="39C47CD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964" w:hanging="9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0D6C1A5B"/>
    <w:multiLevelType w:val="hybridMultilevel"/>
    <w:tmpl w:val="8F2034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F3D5AAC"/>
    <w:multiLevelType w:val="hybridMultilevel"/>
    <w:tmpl w:val="85023068"/>
    <w:lvl w:ilvl="0">
      <w:start w:val="1"/>
      <w:numFmt w:val="bullet"/>
      <w:pStyle w:val="ListBullet2"/>
      <w:lvlText w:val="°"/>
      <w:lvlJc w:val="left"/>
      <w:pPr>
        <w:ind w:left="360" w:hanging="360"/>
      </w:pPr>
      <w:rPr>
        <w:rFonts w:ascii="Symbol" w:hAnsi="Symbol" w:hint="default"/>
        <w:b w:val="0"/>
        <w:i w:val="0"/>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107729C"/>
    <w:multiLevelType w:val="multilevel"/>
    <w:tmpl w:val="2D5ED0DA"/>
    <w:lvl w:ilvl="0">
      <w:start w:val="1"/>
      <w:numFmt w:val="decimal"/>
      <w:pStyle w:val="Heading1"/>
      <w:lvlText w:val="%1. "/>
      <w:lvlJc w:val="left"/>
      <w:pPr>
        <w:ind w:left="360" w:hanging="36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964" w:hanging="9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nsid w:val="12E6371A"/>
    <w:multiLevelType w:val="multilevel"/>
    <w:tmpl w:val="43FA5BD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14885A6F"/>
    <w:multiLevelType w:val="hybridMultilevel"/>
    <w:tmpl w:val="3CEE08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49142ED"/>
    <w:multiLevelType w:val="multilevel"/>
    <w:tmpl w:val="7B32A0E2"/>
    <w:lvl w:ilvl="0">
      <w:start w:val="1"/>
      <w:numFmt w:val="decimal"/>
      <w:lvlText w:val="%1"/>
      <w:lvlJc w:val="left"/>
      <w:pPr>
        <w:tabs>
          <w:tab w:val="num" w:pos="432"/>
        </w:tabs>
        <w:ind w:left="432" w:hanging="432"/>
      </w:pPr>
      <w:rPr>
        <w:rFonts w:ascii="Arial" w:hAnsi="Arial" w:hint="default"/>
        <w:b/>
        <w:i w:val="0"/>
        <w:sz w:val="28"/>
      </w:rPr>
    </w:lvl>
    <w:lvl w:ilvl="1">
      <w:start w:val="1"/>
      <w:numFmt w:val="decimal"/>
      <w:lvlText w:val="%1.%2"/>
      <w:lvlJc w:val="left"/>
      <w:pPr>
        <w:tabs>
          <w:tab w:val="num" w:pos="576"/>
        </w:tabs>
        <w:ind w:left="576" w:hanging="576"/>
      </w:pPr>
      <w:rPr>
        <w:rFonts w:ascii="Arial" w:hAnsi="Arial" w:hint="default"/>
        <w:b/>
        <w:i w:val="0"/>
        <w:sz w:val="24"/>
      </w:rPr>
    </w:lvl>
    <w:lvl w:ilvl="2">
      <w:start w:val="1"/>
      <w:numFmt w:val="decimal"/>
      <w:lvlText w:val="%1.%2.%3"/>
      <w:lvlJc w:val="left"/>
      <w:pPr>
        <w:tabs>
          <w:tab w:val="num" w:pos="720"/>
        </w:tabs>
        <w:ind w:left="720" w:hanging="720"/>
      </w:pPr>
      <w:rPr>
        <w:rFonts w:ascii="Arial" w:hAnsi="Arial" w:hint="default"/>
        <w:b/>
        <w:i w:val="0"/>
        <w:sz w:val="22"/>
      </w:rPr>
    </w:lvl>
    <w:lvl w:ilvl="3">
      <w:start w:val="1"/>
      <w:numFmt w:val="decimal"/>
      <w:lvlText w:val="%1.%2.%3.%4"/>
      <w:lvlJc w:val="left"/>
      <w:pPr>
        <w:tabs>
          <w:tab w:val="num" w:pos="864"/>
        </w:tabs>
        <w:ind w:left="864" w:hanging="864"/>
      </w:pPr>
      <w:rPr>
        <w:rFonts w:ascii="Arial" w:hAnsi="Arial" w:hint="default"/>
        <w:b/>
        <w:i w:val="0"/>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14F41A5B"/>
    <w:multiLevelType w:val="hybridMultilevel"/>
    <w:tmpl w:val="9CF879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A6A08F7"/>
    <w:multiLevelType w:val="multilevel"/>
    <w:tmpl w:val="AFCA46F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2FE52EBC"/>
    <w:multiLevelType w:val="multilevel"/>
    <w:tmpl w:val="8152914C"/>
    <w:lvl w:ilvl="0">
      <w:start w:val="1"/>
      <w:numFmt w:val="decimal"/>
      <w:lvlText w:val="%1"/>
      <w:lvlJc w:val="left"/>
      <w:pPr>
        <w:tabs>
          <w:tab w:val="num" w:pos="431"/>
        </w:tabs>
        <w:ind w:left="431" w:hanging="431"/>
      </w:pPr>
      <w:rPr>
        <w:rFonts w:ascii="Arial" w:hAnsi="Arial" w:hint="default"/>
        <w:b/>
        <w:i w:val="0"/>
        <w:sz w:val="28"/>
      </w:rPr>
    </w:lvl>
    <w:lvl w:ilvl="1">
      <w:start w:val="1"/>
      <w:numFmt w:val="decimal"/>
      <w:lvlText w:val="%1.%2"/>
      <w:lvlJc w:val="left"/>
      <w:pPr>
        <w:tabs>
          <w:tab w:val="num" w:pos="431"/>
        </w:tabs>
        <w:ind w:left="431" w:hanging="431"/>
      </w:pPr>
      <w:rPr>
        <w:rFonts w:ascii="Arial" w:hAnsi="Arial" w:hint="default"/>
        <w:b/>
        <w:i w:val="0"/>
        <w:sz w:val="24"/>
      </w:rPr>
    </w:lvl>
    <w:lvl w:ilvl="2">
      <w:start w:val="1"/>
      <w:numFmt w:val="decimal"/>
      <w:lvlText w:val="%1.%2.%3"/>
      <w:lvlJc w:val="left"/>
      <w:pPr>
        <w:tabs>
          <w:tab w:val="num" w:pos="431"/>
        </w:tabs>
        <w:ind w:left="431" w:hanging="431"/>
      </w:pPr>
      <w:rPr>
        <w:rFonts w:ascii="Arial" w:hAnsi="Arial" w:hint="default"/>
        <w:b/>
        <w:i w:val="0"/>
        <w:sz w:val="22"/>
      </w:rPr>
    </w:lvl>
    <w:lvl w:ilvl="3">
      <w:start w:val="1"/>
      <w:numFmt w:val="decimal"/>
      <w:lvlText w:val="%1.%2.%3.%4"/>
      <w:lvlJc w:val="left"/>
      <w:pPr>
        <w:tabs>
          <w:tab w:val="num" w:pos="431"/>
        </w:tabs>
        <w:ind w:left="431" w:hanging="431"/>
      </w:pPr>
      <w:rPr>
        <w:rFonts w:ascii="Arial" w:hAnsi="Arial" w:hint="default"/>
        <w:sz w:val="22"/>
      </w:rPr>
    </w:lvl>
    <w:lvl w:ilvl="4">
      <w:start w:val="1"/>
      <w:numFmt w:val="decimal"/>
      <w:lvlText w:val="%1.%2.%3.%4.%5."/>
      <w:lvlJc w:val="left"/>
      <w:pPr>
        <w:tabs>
          <w:tab w:val="num" w:pos="431"/>
        </w:tabs>
        <w:ind w:left="431" w:hanging="431"/>
      </w:pPr>
      <w:rPr>
        <w:rFonts w:hint="default"/>
      </w:rPr>
    </w:lvl>
    <w:lvl w:ilvl="5">
      <w:start w:val="1"/>
      <w:numFmt w:val="decimal"/>
      <w:lvlText w:val="%1.%2.%3.%4.%5.%6."/>
      <w:lvlJc w:val="left"/>
      <w:pPr>
        <w:tabs>
          <w:tab w:val="num" w:pos="431"/>
        </w:tabs>
        <w:ind w:left="431" w:hanging="431"/>
      </w:pPr>
      <w:rPr>
        <w:rFonts w:hint="default"/>
      </w:rPr>
    </w:lvl>
    <w:lvl w:ilvl="6">
      <w:start w:val="1"/>
      <w:numFmt w:val="decimal"/>
      <w:lvlText w:val="%1.%2.%3.%4.%5.%6.%7."/>
      <w:lvlJc w:val="left"/>
      <w:pPr>
        <w:tabs>
          <w:tab w:val="num" w:pos="431"/>
        </w:tabs>
        <w:ind w:left="431" w:hanging="431"/>
      </w:pPr>
      <w:rPr>
        <w:rFonts w:ascii="Arial" w:hAnsi="Arial" w:hint="default"/>
        <w:sz w:val="22"/>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23">
    <w:nsid w:val="31F71FFD"/>
    <w:multiLevelType w:val="multilevel"/>
    <w:tmpl w:val="5344DEB6"/>
    <w:lvl w:ilvl="0">
      <w:start w:val="1"/>
      <w:numFmt w:val="decimal"/>
      <w:lvlText w:val="%1"/>
      <w:lvlJc w:val="left"/>
      <w:pPr>
        <w:tabs>
          <w:tab w:val="num" w:pos="432"/>
        </w:tabs>
        <w:ind w:left="432" w:hanging="432"/>
      </w:pPr>
      <w:rPr>
        <w:rFonts w:ascii="Arial" w:hAnsi="Arial" w:hint="default"/>
        <w:b/>
        <w:i w:val="0"/>
        <w:sz w:val="28"/>
      </w:rPr>
    </w:lvl>
    <w:lvl w:ilvl="1">
      <w:start w:val="1"/>
      <w:numFmt w:val="decimal"/>
      <w:lvlText w:val="%1.%2"/>
      <w:lvlJc w:val="left"/>
      <w:pPr>
        <w:tabs>
          <w:tab w:val="num" w:pos="576"/>
        </w:tabs>
        <w:ind w:left="576" w:hanging="576"/>
      </w:pPr>
      <w:rPr>
        <w:rFonts w:ascii="Arial" w:hAnsi="Arial" w:hint="default"/>
        <w:b/>
        <w:i w:val="0"/>
        <w:sz w:val="24"/>
      </w:rPr>
    </w:lvl>
    <w:lvl w:ilvl="2">
      <w:start w:val="1"/>
      <w:numFmt w:val="decimal"/>
      <w:lvlText w:val="%1.%2.%3"/>
      <w:lvlJc w:val="left"/>
      <w:pPr>
        <w:tabs>
          <w:tab w:val="num" w:pos="720"/>
        </w:tabs>
        <w:ind w:left="720" w:hanging="720"/>
      </w:pPr>
      <w:rPr>
        <w:rFonts w:ascii="Arial" w:hAnsi="Arial" w:hint="default"/>
        <w:b/>
        <w:i w:val="0"/>
        <w:sz w:val="22"/>
      </w:rPr>
    </w:lvl>
    <w:lvl w:ilvl="3">
      <w:start w:val="1"/>
      <w:numFmt w:val="decimal"/>
      <w:lvlText w:val="%1.%2.%3.%4"/>
      <w:lvlJc w:val="left"/>
      <w:pPr>
        <w:tabs>
          <w:tab w:val="num" w:pos="864"/>
        </w:tabs>
        <w:ind w:left="864" w:hanging="864"/>
      </w:pPr>
      <w:rPr>
        <w:rFonts w:ascii="Arial" w:hAnsi="Arial"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ascii="Arial" w:hAnsi="Arial" w:hint="default"/>
        <w:b w:val="0"/>
        <w:i/>
        <w:sz w:val="22"/>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374E7A59"/>
    <w:multiLevelType w:val="hybridMultilevel"/>
    <w:tmpl w:val="3CEE08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8D63A77"/>
    <w:multiLevelType w:val="hybridMultilevel"/>
    <w:tmpl w:val="2DCC5468"/>
    <w:lvl w:ilvl="0">
      <w:start w:val="1"/>
      <w:numFmt w:val="decimal"/>
      <w:pStyle w:val="ListBullet"/>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F8502E0"/>
    <w:multiLevelType w:val="hybridMultilevel"/>
    <w:tmpl w:val="12F232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14F2797"/>
    <w:multiLevelType w:val="hybridMultilevel"/>
    <w:tmpl w:val="2DFECD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5D07F44"/>
    <w:multiLevelType w:val="multilevel"/>
    <w:tmpl w:val="BC882C44"/>
    <w:lvl w:ilvl="0">
      <w:start w:val="1"/>
      <w:numFmt w:val="decimal"/>
      <w:lvlText w:val="%1"/>
      <w:lvlJc w:val="left"/>
      <w:pPr>
        <w:tabs>
          <w:tab w:val="num" w:pos="432"/>
        </w:tabs>
        <w:ind w:left="432" w:hanging="432"/>
      </w:pPr>
      <w:rPr>
        <w:rFonts w:ascii="Arial" w:hAnsi="Arial" w:hint="default"/>
        <w:b/>
        <w:i w:val="0"/>
        <w:sz w:val="28"/>
      </w:rPr>
    </w:lvl>
    <w:lvl w:ilvl="1">
      <w:start w:val="1"/>
      <w:numFmt w:val="decimal"/>
      <w:lvlText w:val="%1.%2"/>
      <w:lvlJc w:val="left"/>
      <w:pPr>
        <w:tabs>
          <w:tab w:val="num" w:pos="576"/>
        </w:tabs>
        <w:ind w:left="576" w:hanging="576"/>
      </w:pPr>
      <w:rPr>
        <w:rFonts w:ascii="Arial" w:hAnsi="Arial" w:hint="default"/>
        <w:b/>
        <w:i w:val="0"/>
        <w:sz w:val="24"/>
      </w:rPr>
    </w:lvl>
    <w:lvl w:ilvl="2">
      <w:start w:val="1"/>
      <w:numFmt w:val="decimal"/>
      <w:lvlText w:val="%1.%2.%3"/>
      <w:lvlJc w:val="left"/>
      <w:pPr>
        <w:tabs>
          <w:tab w:val="num" w:pos="720"/>
        </w:tabs>
        <w:ind w:left="720" w:hanging="720"/>
      </w:pPr>
      <w:rPr>
        <w:rFonts w:ascii="Arial" w:hAnsi="Arial" w:hint="default"/>
        <w:b/>
        <w:i w:val="0"/>
        <w:sz w:val="22"/>
      </w:rPr>
    </w:lvl>
    <w:lvl w:ilvl="3">
      <w:start w:val="1"/>
      <w:numFmt w:val="decimal"/>
      <w:lvlText w:val="%1.%2.%3.%4"/>
      <w:lvlJc w:val="left"/>
      <w:pPr>
        <w:tabs>
          <w:tab w:val="num" w:pos="864"/>
        </w:tabs>
        <w:ind w:left="864" w:hanging="864"/>
      </w:pPr>
      <w:rPr>
        <w:rFonts w:ascii="Arial" w:hAnsi="Arial" w:hint="default"/>
        <w:b/>
        <w:i w:val="0"/>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4A79443E"/>
    <w:multiLevelType w:val="hybridMultilevel"/>
    <w:tmpl w:val="CFB636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2E60B41"/>
    <w:multiLevelType w:val="hybridMultilevel"/>
    <w:tmpl w:val="E112EB4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52EE35CF"/>
    <w:multiLevelType w:val="hybridMultilevel"/>
    <w:tmpl w:val="E3A25A52"/>
    <w:lvl w:ilvl="0">
      <w:start w:val="1"/>
      <w:numFmt w:val="decimal"/>
      <w:lvlText w:val="%1."/>
      <w:lvlJc w:val="left"/>
      <w:pPr>
        <w:ind w:left="1077" w:hanging="360"/>
      </w:pPr>
    </w:lvl>
    <w:lvl w:ilvl="1" w:tentative="1">
      <w:start w:val="1"/>
      <w:numFmt w:val="lowerLetter"/>
      <w:lvlText w:val="%2."/>
      <w:lvlJc w:val="left"/>
      <w:pPr>
        <w:ind w:left="1797" w:hanging="360"/>
      </w:pPr>
    </w:lvl>
    <w:lvl w:ilvl="2" w:tentative="1">
      <w:start w:val="1"/>
      <w:numFmt w:val="lowerRoman"/>
      <w:lvlText w:val="%3."/>
      <w:lvlJc w:val="right"/>
      <w:pPr>
        <w:ind w:left="2517" w:hanging="180"/>
      </w:pPr>
    </w:lvl>
    <w:lvl w:ilvl="3" w:tentative="1">
      <w:start w:val="1"/>
      <w:numFmt w:val="decimal"/>
      <w:lvlText w:val="%4."/>
      <w:lvlJc w:val="left"/>
      <w:pPr>
        <w:ind w:left="3237" w:hanging="360"/>
      </w:pPr>
    </w:lvl>
    <w:lvl w:ilvl="4" w:tentative="1">
      <w:start w:val="1"/>
      <w:numFmt w:val="lowerLetter"/>
      <w:lvlText w:val="%5."/>
      <w:lvlJc w:val="left"/>
      <w:pPr>
        <w:ind w:left="3957" w:hanging="360"/>
      </w:pPr>
    </w:lvl>
    <w:lvl w:ilvl="5" w:tentative="1">
      <w:start w:val="1"/>
      <w:numFmt w:val="lowerRoman"/>
      <w:lvlText w:val="%6."/>
      <w:lvlJc w:val="right"/>
      <w:pPr>
        <w:ind w:left="4677" w:hanging="180"/>
      </w:pPr>
    </w:lvl>
    <w:lvl w:ilvl="6" w:tentative="1">
      <w:start w:val="1"/>
      <w:numFmt w:val="decimal"/>
      <w:lvlText w:val="%7."/>
      <w:lvlJc w:val="left"/>
      <w:pPr>
        <w:ind w:left="5397" w:hanging="360"/>
      </w:pPr>
    </w:lvl>
    <w:lvl w:ilvl="7" w:tentative="1">
      <w:start w:val="1"/>
      <w:numFmt w:val="lowerLetter"/>
      <w:lvlText w:val="%8."/>
      <w:lvlJc w:val="left"/>
      <w:pPr>
        <w:ind w:left="6117" w:hanging="360"/>
      </w:pPr>
    </w:lvl>
    <w:lvl w:ilvl="8" w:tentative="1">
      <w:start w:val="1"/>
      <w:numFmt w:val="lowerRoman"/>
      <w:lvlText w:val="%9."/>
      <w:lvlJc w:val="right"/>
      <w:pPr>
        <w:ind w:left="6837" w:hanging="180"/>
      </w:pPr>
    </w:lvl>
  </w:abstractNum>
  <w:abstractNum w:abstractNumId="32">
    <w:nsid w:val="592A5F1D"/>
    <w:multiLevelType w:val="multilevel"/>
    <w:tmpl w:val="39C47CD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964" w:hanging="9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nsid w:val="5C445418"/>
    <w:multiLevelType w:val="hybridMultilevel"/>
    <w:tmpl w:val="82685AD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CDF316E"/>
    <w:multiLevelType w:val="hybridMultilevel"/>
    <w:tmpl w:val="1F38EB46"/>
    <w:lvl w:ilvl="0">
      <w:start w:val="1"/>
      <w:numFmt w:val="decimal"/>
      <w:lvlText w:val="%1."/>
      <w:lvlJc w:val="left"/>
      <w:pPr>
        <w:ind w:left="1077" w:hanging="360"/>
      </w:pPr>
    </w:lvl>
    <w:lvl w:ilvl="1" w:tentative="1">
      <w:start w:val="1"/>
      <w:numFmt w:val="lowerLetter"/>
      <w:lvlText w:val="%2."/>
      <w:lvlJc w:val="left"/>
      <w:pPr>
        <w:ind w:left="1797" w:hanging="360"/>
      </w:pPr>
    </w:lvl>
    <w:lvl w:ilvl="2" w:tentative="1">
      <w:start w:val="1"/>
      <w:numFmt w:val="lowerRoman"/>
      <w:lvlText w:val="%3."/>
      <w:lvlJc w:val="right"/>
      <w:pPr>
        <w:ind w:left="2517" w:hanging="180"/>
      </w:pPr>
    </w:lvl>
    <w:lvl w:ilvl="3" w:tentative="1">
      <w:start w:val="1"/>
      <w:numFmt w:val="decimal"/>
      <w:lvlText w:val="%4."/>
      <w:lvlJc w:val="left"/>
      <w:pPr>
        <w:ind w:left="3237" w:hanging="360"/>
      </w:pPr>
    </w:lvl>
    <w:lvl w:ilvl="4" w:tentative="1">
      <w:start w:val="1"/>
      <w:numFmt w:val="lowerLetter"/>
      <w:lvlText w:val="%5."/>
      <w:lvlJc w:val="left"/>
      <w:pPr>
        <w:ind w:left="3957" w:hanging="360"/>
      </w:pPr>
    </w:lvl>
    <w:lvl w:ilvl="5" w:tentative="1">
      <w:start w:val="1"/>
      <w:numFmt w:val="lowerRoman"/>
      <w:lvlText w:val="%6."/>
      <w:lvlJc w:val="right"/>
      <w:pPr>
        <w:ind w:left="4677" w:hanging="180"/>
      </w:pPr>
    </w:lvl>
    <w:lvl w:ilvl="6" w:tentative="1">
      <w:start w:val="1"/>
      <w:numFmt w:val="decimal"/>
      <w:lvlText w:val="%7."/>
      <w:lvlJc w:val="left"/>
      <w:pPr>
        <w:ind w:left="5397" w:hanging="360"/>
      </w:pPr>
    </w:lvl>
    <w:lvl w:ilvl="7" w:tentative="1">
      <w:start w:val="1"/>
      <w:numFmt w:val="lowerLetter"/>
      <w:lvlText w:val="%8."/>
      <w:lvlJc w:val="left"/>
      <w:pPr>
        <w:ind w:left="6117" w:hanging="360"/>
      </w:pPr>
    </w:lvl>
    <w:lvl w:ilvl="8" w:tentative="1">
      <w:start w:val="1"/>
      <w:numFmt w:val="lowerRoman"/>
      <w:lvlText w:val="%9."/>
      <w:lvlJc w:val="right"/>
      <w:pPr>
        <w:ind w:left="6837" w:hanging="180"/>
      </w:pPr>
    </w:lvl>
  </w:abstractNum>
  <w:abstractNum w:abstractNumId="35">
    <w:nsid w:val="693F5AE6"/>
    <w:multiLevelType w:val="multilevel"/>
    <w:tmpl w:val="A0E29820"/>
    <w:lvl w:ilvl="0">
      <w:start w:val="1"/>
      <w:numFmt w:val="decimal"/>
      <w:lvlText w:val="%1"/>
      <w:lvlJc w:val="left"/>
      <w:pPr>
        <w:tabs>
          <w:tab w:val="num" w:pos="432"/>
        </w:tabs>
        <w:ind w:left="432" w:hanging="432"/>
      </w:pPr>
      <w:rPr>
        <w:rFonts w:ascii="Arial" w:hAnsi="Arial" w:hint="default"/>
        <w:b/>
        <w:i w:val="0"/>
        <w:sz w:val="28"/>
      </w:rPr>
    </w:lvl>
    <w:lvl w:ilvl="1">
      <w:start w:val="1"/>
      <w:numFmt w:val="decimal"/>
      <w:lvlText w:val="%1.%2"/>
      <w:lvlJc w:val="left"/>
      <w:pPr>
        <w:tabs>
          <w:tab w:val="num" w:pos="576"/>
        </w:tabs>
        <w:ind w:left="576" w:hanging="576"/>
      </w:pPr>
      <w:rPr>
        <w:rFonts w:ascii="Arial" w:hAnsi="Arial" w:hint="default"/>
        <w:b/>
        <w:i w:val="0"/>
        <w:sz w:val="24"/>
      </w:rPr>
    </w:lvl>
    <w:lvl w:ilvl="2">
      <w:start w:val="1"/>
      <w:numFmt w:val="decimal"/>
      <w:lvlText w:val="%1.%2.%3"/>
      <w:lvlJc w:val="left"/>
      <w:pPr>
        <w:tabs>
          <w:tab w:val="num" w:pos="720"/>
        </w:tabs>
        <w:ind w:left="720" w:hanging="720"/>
      </w:pPr>
      <w:rPr>
        <w:rFonts w:ascii="Arial" w:hAnsi="Arial" w:hint="default"/>
        <w:b/>
        <w:i w:val="0"/>
        <w:sz w:val="22"/>
      </w:rPr>
    </w:lvl>
    <w:lvl w:ilvl="3">
      <w:start w:val="1"/>
      <w:numFmt w:val="decimal"/>
      <w:lvlText w:val="%1.%2.%3.%4"/>
      <w:lvlJc w:val="left"/>
      <w:pPr>
        <w:tabs>
          <w:tab w:val="num" w:pos="864"/>
        </w:tabs>
        <w:ind w:left="864" w:hanging="864"/>
      </w:pPr>
      <w:rPr>
        <w:rFonts w:ascii="Arial" w:hAnsi="Arial" w:hint="default"/>
        <w:b/>
        <w:i w:val="0"/>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788B361D"/>
    <w:multiLevelType w:val="hybridMultilevel"/>
    <w:tmpl w:val="B0121B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7020" w:hanging="360"/>
      </w:pPr>
      <w:rPr>
        <w:rFonts w:ascii="Courier New" w:hAnsi="Courier New" w:cs="Courier New" w:hint="default"/>
      </w:rPr>
    </w:lvl>
    <w:lvl w:ilvl="2" w:tentative="1">
      <w:start w:val="1"/>
      <w:numFmt w:val="bullet"/>
      <w:lvlText w:val=""/>
      <w:lvlJc w:val="left"/>
      <w:pPr>
        <w:ind w:left="7740" w:hanging="360"/>
      </w:pPr>
      <w:rPr>
        <w:rFonts w:ascii="Wingdings" w:hAnsi="Wingdings" w:hint="default"/>
      </w:rPr>
    </w:lvl>
    <w:lvl w:ilvl="3" w:tentative="1">
      <w:start w:val="1"/>
      <w:numFmt w:val="bullet"/>
      <w:lvlText w:val=""/>
      <w:lvlJc w:val="left"/>
      <w:pPr>
        <w:ind w:left="8460" w:hanging="360"/>
      </w:pPr>
      <w:rPr>
        <w:rFonts w:ascii="Symbol" w:hAnsi="Symbol" w:hint="default"/>
      </w:rPr>
    </w:lvl>
    <w:lvl w:ilvl="4" w:tentative="1">
      <w:start w:val="1"/>
      <w:numFmt w:val="bullet"/>
      <w:lvlText w:val="o"/>
      <w:lvlJc w:val="left"/>
      <w:pPr>
        <w:ind w:left="9180" w:hanging="360"/>
      </w:pPr>
      <w:rPr>
        <w:rFonts w:ascii="Courier New" w:hAnsi="Courier New" w:cs="Courier New" w:hint="default"/>
      </w:rPr>
    </w:lvl>
    <w:lvl w:ilvl="5" w:tentative="1">
      <w:start w:val="1"/>
      <w:numFmt w:val="bullet"/>
      <w:lvlText w:val=""/>
      <w:lvlJc w:val="left"/>
      <w:pPr>
        <w:ind w:left="9900" w:hanging="360"/>
      </w:pPr>
      <w:rPr>
        <w:rFonts w:ascii="Wingdings" w:hAnsi="Wingdings" w:hint="default"/>
      </w:rPr>
    </w:lvl>
    <w:lvl w:ilvl="6" w:tentative="1">
      <w:start w:val="1"/>
      <w:numFmt w:val="bullet"/>
      <w:lvlText w:val=""/>
      <w:lvlJc w:val="left"/>
      <w:pPr>
        <w:ind w:left="10620" w:hanging="360"/>
      </w:pPr>
      <w:rPr>
        <w:rFonts w:ascii="Symbol" w:hAnsi="Symbol" w:hint="default"/>
      </w:rPr>
    </w:lvl>
    <w:lvl w:ilvl="7" w:tentative="1">
      <w:start w:val="1"/>
      <w:numFmt w:val="bullet"/>
      <w:lvlText w:val="o"/>
      <w:lvlJc w:val="left"/>
      <w:pPr>
        <w:ind w:left="11340" w:hanging="360"/>
      </w:pPr>
      <w:rPr>
        <w:rFonts w:ascii="Courier New" w:hAnsi="Courier New" w:cs="Courier New" w:hint="default"/>
      </w:rPr>
    </w:lvl>
    <w:lvl w:ilvl="8" w:tentative="1">
      <w:start w:val="1"/>
      <w:numFmt w:val="bullet"/>
      <w:lvlText w:val=""/>
      <w:lvlJc w:val="left"/>
      <w:pPr>
        <w:ind w:left="12060" w:hanging="360"/>
      </w:pPr>
      <w:rPr>
        <w:rFonts w:ascii="Wingdings" w:hAnsi="Wingdings" w:hint="default"/>
      </w:rPr>
    </w:lvl>
  </w:abstractNum>
  <w:abstractNum w:abstractNumId="37">
    <w:nsid w:val="7A7B2494"/>
    <w:multiLevelType w:val="singleLevel"/>
    <w:tmpl w:val="0414000B"/>
    <w:lvl w:ilvl="0">
      <w:start w:val="1"/>
      <w:numFmt w:val="bullet"/>
      <w:lvlText w:val=""/>
      <w:lvlJc w:val="left"/>
      <w:pPr>
        <w:tabs>
          <w:tab w:val="num" w:pos="360"/>
        </w:tabs>
        <w:ind w:left="360" w:hanging="360"/>
      </w:pPr>
      <w:rPr>
        <w:rFonts w:ascii="Wingdings" w:hAnsi="Wingdings" w:hint="default"/>
      </w:rPr>
    </w:lvl>
  </w:abstractNum>
  <w:num w:numId="1" w16cid:durableId="1563172863">
    <w:abstractNumId w:val="17"/>
  </w:num>
  <w:num w:numId="2" w16cid:durableId="427585102">
    <w:abstractNumId w:val="8"/>
  </w:num>
  <w:num w:numId="3" w16cid:durableId="127674232">
    <w:abstractNumId w:val="3"/>
  </w:num>
  <w:num w:numId="4" w16cid:durableId="2098402443">
    <w:abstractNumId w:val="2"/>
  </w:num>
  <w:num w:numId="5" w16cid:durableId="249701812">
    <w:abstractNumId w:val="1"/>
  </w:num>
  <w:num w:numId="6" w16cid:durableId="1721974544">
    <w:abstractNumId w:val="0"/>
  </w:num>
  <w:num w:numId="7" w16cid:durableId="1559126202">
    <w:abstractNumId w:val="9"/>
  </w:num>
  <w:num w:numId="8" w16cid:durableId="506024420">
    <w:abstractNumId w:val="7"/>
  </w:num>
  <w:num w:numId="9" w16cid:durableId="786000134">
    <w:abstractNumId w:val="6"/>
  </w:num>
  <w:num w:numId="10" w16cid:durableId="233441475">
    <w:abstractNumId w:val="5"/>
  </w:num>
  <w:num w:numId="11" w16cid:durableId="1698698213">
    <w:abstractNumId w:val="4"/>
  </w:num>
  <w:num w:numId="12" w16cid:durableId="100297067">
    <w:abstractNumId w:val="21"/>
  </w:num>
  <w:num w:numId="13" w16cid:durableId="1729761668">
    <w:abstractNumId w:val="28"/>
  </w:num>
  <w:num w:numId="14" w16cid:durableId="1949655627">
    <w:abstractNumId w:val="19"/>
  </w:num>
  <w:num w:numId="15" w16cid:durableId="1135683051">
    <w:abstractNumId w:val="11"/>
  </w:num>
  <w:num w:numId="16" w16cid:durableId="1226526841">
    <w:abstractNumId w:val="35"/>
  </w:num>
  <w:num w:numId="17" w16cid:durableId="2056656953">
    <w:abstractNumId w:val="23"/>
  </w:num>
  <w:num w:numId="18" w16cid:durableId="1101340414">
    <w:abstractNumId w:val="22"/>
  </w:num>
  <w:num w:numId="19" w16cid:durableId="1321032600">
    <w:abstractNumId w:val="27"/>
  </w:num>
  <w:num w:numId="20" w16cid:durableId="93593634">
    <w:abstractNumId w:val="25"/>
  </w:num>
  <w:num w:numId="21" w16cid:durableId="187108547">
    <w:abstractNumId w:val="20"/>
  </w:num>
  <w:num w:numId="22" w16cid:durableId="2146579497">
    <w:abstractNumId w:val="29"/>
  </w:num>
  <w:num w:numId="23" w16cid:durableId="1727946758">
    <w:abstractNumId w:val="12"/>
  </w:num>
  <w:num w:numId="24" w16cid:durableId="1260260369">
    <w:abstractNumId w:val="15"/>
  </w:num>
  <w:num w:numId="25" w16cid:durableId="1691949986">
    <w:abstractNumId w:val="34"/>
  </w:num>
  <w:num w:numId="26" w16cid:durableId="1344890882">
    <w:abstractNumId w:val="31"/>
  </w:num>
  <w:num w:numId="27" w16cid:durableId="202602782">
    <w:abstractNumId w:val="25"/>
    <w:lvlOverride w:ilvl="0">
      <w:startOverride w:val="1"/>
    </w:lvlOverride>
  </w:num>
  <w:num w:numId="28" w16cid:durableId="452017216">
    <w:abstractNumId w:val="25"/>
    <w:lvlOverride w:ilvl="0">
      <w:startOverride w:val="1"/>
    </w:lvlOverride>
  </w:num>
  <w:num w:numId="29" w16cid:durableId="2137092942">
    <w:abstractNumId w:val="25"/>
    <w:lvlOverride w:ilvl="0">
      <w:startOverride w:val="1"/>
    </w:lvlOverride>
  </w:num>
  <w:num w:numId="30" w16cid:durableId="180584376">
    <w:abstractNumId w:val="16"/>
  </w:num>
  <w:num w:numId="31" w16cid:durableId="912423272">
    <w:abstractNumId w:val="26"/>
  </w:num>
  <w:num w:numId="32" w16cid:durableId="2084644974">
    <w:abstractNumId w:val="13"/>
  </w:num>
  <w:num w:numId="33" w16cid:durableId="66847724">
    <w:abstractNumId w:val="32"/>
  </w:num>
  <w:num w:numId="34" w16cid:durableId="1828588365">
    <w:abstractNumId w:val="10"/>
  </w:num>
  <w:num w:numId="35" w16cid:durableId="1646160547">
    <w:abstractNumId w:val="24"/>
  </w:num>
  <w:num w:numId="36" w16cid:durableId="605888547">
    <w:abstractNumId w:val="18"/>
  </w:num>
  <w:num w:numId="37" w16cid:durableId="410126017">
    <w:abstractNumId w:val="14"/>
  </w:num>
  <w:num w:numId="38" w16cid:durableId="353266306">
    <w:abstractNumId w:val="16"/>
    <w:lvlOverride w:ilvl="0">
      <w:startOverride w:val="1"/>
    </w:lvlOverride>
  </w:num>
  <w:num w:numId="39" w16cid:durableId="1310481301">
    <w:abstractNumId w:val="25"/>
    <w:lvlOverride w:ilvl="0">
      <w:startOverride w:val="1"/>
    </w:lvlOverride>
  </w:num>
  <w:num w:numId="40" w16cid:durableId="795948037">
    <w:abstractNumId w:val="25"/>
    <w:lvlOverride w:ilvl="0">
      <w:startOverride w:val="1"/>
    </w:lvlOverride>
  </w:num>
  <w:num w:numId="41" w16cid:durableId="506141126">
    <w:abstractNumId w:val="37"/>
  </w:num>
  <w:num w:numId="42" w16cid:durableId="1863938502">
    <w:abstractNumId w:val="30"/>
  </w:num>
  <w:num w:numId="43" w16cid:durableId="486941661">
    <w:abstractNumId w:val="36"/>
  </w:num>
  <w:num w:numId="44" w16cid:durableId="48374521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ttachedTemplate r:id="rId1"/>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1E0"/>
    <w:rsid w:val="00001971"/>
    <w:rsid w:val="000021A9"/>
    <w:rsid w:val="00003216"/>
    <w:rsid w:val="00003423"/>
    <w:rsid w:val="00005BAC"/>
    <w:rsid w:val="00007007"/>
    <w:rsid w:val="0001133D"/>
    <w:rsid w:val="000113E0"/>
    <w:rsid w:val="0001473D"/>
    <w:rsid w:val="00017209"/>
    <w:rsid w:val="00017AAC"/>
    <w:rsid w:val="00025082"/>
    <w:rsid w:val="0003240D"/>
    <w:rsid w:val="000328CF"/>
    <w:rsid w:val="00033582"/>
    <w:rsid w:val="00036129"/>
    <w:rsid w:val="00036AC2"/>
    <w:rsid w:val="00041379"/>
    <w:rsid w:val="00042B94"/>
    <w:rsid w:val="00042FA5"/>
    <w:rsid w:val="00044036"/>
    <w:rsid w:val="0004594A"/>
    <w:rsid w:val="00050B15"/>
    <w:rsid w:val="00052E6B"/>
    <w:rsid w:val="00060D72"/>
    <w:rsid w:val="0006485E"/>
    <w:rsid w:val="00072A02"/>
    <w:rsid w:val="00084986"/>
    <w:rsid w:val="00084DC4"/>
    <w:rsid w:val="00091A81"/>
    <w:rsid w:val="00093516"/>
    <w:rsid w:val="0009563D"/>
    <w:rsid w:val="000A1FA6"/>
    <w:rsid w:val="000B1580"/>
    <w:rsid w:val="000B37BA"/>
    <w:rsid w:val="000B68AF"/>
    <w:rsid w:val="000B6AEE"/>
    <w:rsid w:val="000B7DED"/>
    <w:rsid w:val="000C28A7"/>
    <w:rsid w:val="000C5FC7"/>
    <w:rsid w:val="000C6B7E"/>
    <w:rsid w:val="000D2AD5"/>
    <w:rsid w:val="000D52A5"/>
    <w:rsid w:val="000D672E"/>
    <w:rsid w:val="000D679D"/>
    <w:rsid w:val="000D796B"/>
    <w:rsid w:val="000E0324"/>
    <w:rsid w:val="000E3AB8"/>
    <w:rsid w:val="000F2BB4"/>
    <w:rsid w:val="00100826"/>
    <w:rsid w:val="00105791"/>
    <w:rsid w:val="00106F24"/>
    <w:rsid w:val="0010714B"/>
    <w:rsid w:val="00116983"/>
    <w:rsid w:val="00117B44"/>
    <w:rsid w:val="0012262D"/>
    <w:rsid w:val="00125A33"/>
    <w:rsid w:val="00126CA7"/>
    <w:rsid w:val="001301E8"/>
    <w:rsid w:val="0013385D"/>
    <w:rsid w:val="001364CB"/>
    <w:rsid w:val="001428CB"/>
    <w:rsid w:val="00154ABC"/>
    <w:rsid w:val="0015620E"/>
    <w:rsid w:val="00172E7A"/>
    <w:rsid w:val="001758C9"/>
    <w:rsid w:val="00177FC8"/>
    <w:rsid w:val="00183119"/>
    <w:rsid w:val="001837FD"/>
    <w:rsid w:val="00183915"/>
    <w:rsid w:val="0018509F"/>
    <w:rsid w:val="001919A6"/>
    <w:rsid w:val="001933B0"/>
    <w:rsid w:val="00193788"/>
    <w:rsid w:val="001A15F3"/>
    <w:rsid w:val="001A17B5"/>
    <w:rsid w:val="001A3E28"/>
    <w:rsid w:val="001B07AB"/>
    <w:rsid w:val="001C22DD"/>
    <w:rsid w:val="001C5719"/>
    <w:rsid w:val="001C751C"/>
    <w:rsid w:val="001D20D6"/>
    <w:rsid w:val="001E1C22"/>
    <w:rsid w:val="001E2406"/>
    <w:rsid w:val="001E3C15"/>
    <w:rsid w:val="00201847"/>
    <w:rsid w:val="0020650C"/>
    <w:rsid w:val="0021165F"/>
    <w:rsid w:val="00212F15"/>
    <w:rsid w:val="00215CBF"/>
    <w:rsid w:val="00220042"/>
    <w:rsid w:val="00226A6C"/>
    <w:rsid w:val="00227D4A"/>
    <w:rsid w:val="002348BC"/>
    <w:rsid w:val="00235CF7"/>
    <w:rsid w:val="0024441B"/>
    <w:rsid w:val="00244F41"/>
    <w:rsid w:val="00246EBB"/>
    <w:rsid w:val="002528CC"/>
    <w:rsid w:val="00252CE2"/>
    <w:rsid w:val="0025542A"/>
    <w:rsid w:val="00255E06"/>
    <w:rsid w:val="00256D80"/>
    <w:rsid w:val="0026036B"/>
    <w:rsid w:val="00262247"/>
    <w:rsid w:val="00265299"/>
    <w:rsid w:val="00272E3D"/>
    <w:rsid w:val="00274268"/>
    <w:rsid w:val="00274F92"/>
    <w:rsid w:val="00277C60"/>
    <w:rsid w:val="00277C7E"/>
    <w:rsid w:val="00282BED"/>
    <w:rsid w:val="002A76F1"/>
    <w:rsid w:val="002A7B26"/>
    <w:rsid w:val="002B2D1D"/>
    <w:rsid w:val="002B310F"/>
    <w:rsid w:val="002B4B9B"/>
    <w:rsid w:val="002B4BAE"/>
    <w:rsid w:val="002C3DA8"/>
    <w:rsid w:val="002C51BE"/>
    <w:rsid w:val="002D485F"/>
    <w:rsid w:val="002D6972"/>
    <w:rsid w:val="002E10DC"/>
    <w:rsid w:val="002E443E"/>
    <w:rsid w:val="002F2528"/>
    <w:rsid w:val="002F56F8"/>
    <w:rsid w:val="002F7A60"/>
    <w:rsid w:val="00303218"/>
    <w:rsid w:val="00304E32"/>
    <w:rsid w:val="00310E72"/>
    <w:rsid w:val="003154CE"/>
    <w:rsid w:val="003174CA"/>
    <w:rsid w:val="00317733"/>
    <w:rsid w:val="003254ED"/>
    <w:rsid w:val="00327CF8"/>
    <w:rsid w:val="00333BC4"/>
    <w:rsid w:val="00334C24"/>
    <w:rsid w:val="00343D2A"/>
    <w:rsid w:val="0034505C"/>
    <w:rsid w:val="00356D8B"/>
    <w:rsid w:val="0036099B"/>
    <w:rsid w:val="0036111B"/>
    <w:rsid w:val="00363E71"/>
    <w:rsid w:val="003657AC"/>
    <w:rsid w:val="00371E42"/>
    <w:rsid w:val="00375DF7"/>
    <w:rsid w:val="00382C43"/>
    <w:rsid w:val="00382EA6"/>
    <w:rsid w:val="003847A3"/>
    <w:rsid w:val="003857A0"/>
    <w:rsid w:val="00385CA6"/>
    <w:rsid w:val="00387928"/>
    <w:rsid w:val="003952AC"/>
    <w:rsid w:val="0039685D"/>
    <w:rsid w:val="00397531"/>
    <w:rsid w:val="003A0EB0"/>
    <w:rsid w:val="003A4193"/>
    <w:rsid w:val="003B4EC2"/>
    <w:rsid w:val="003B526A"/>
    <w:rsid w:val="003C587E"/>
    <w:rsid w:val="003C5E4C"/>
    <w:rsid w:val="003C788A"/>
    <w:rsid w:val="003D77FD"/>
    <w:rsid w:val="003D7FDA"/>
    <w:rsid w:val="003E0DD1"/>
    <w:rsid w:val="003E2851"/>
    <w:rsid w:val="003E3D09"/>
    <w:rsid w:val="003E3F36"/>
    <w:rsid w:val="003F42AD"/>
    <w:rsid w:val="003F4F39"/>
    <w:rsid w:val="003F5CDC"/>
    <w:rsid w:val="00400E18"/>
    <w:rsid w:val="00404D08"/>
    <w:rsid w:val="00410381"/>
    <w:rsid w:val="0041330F"/>
    <w:rsid w:val="0041758F"/>
    <w:rsid w:val="0042023E"/>
    <w:rsid w:val="00420C44"/>
    <w:rsid w:val="004214F2"/>
    <w:rsid w:val="00422AF7"/>
    <w:rsid w:val="00425541"/>
    <w:rsid w:val="0042678A"/>
    <w:rsid w:val="00431E03"/>
    <w:rsid w:val="0043297A"/>
    <w:rsid w:val="00441002"/>
    <w:rsid w:val="004412D7"/>
    <w:rsid w:val="00444B43"/>
    <w:rsid w:val="00456044"/>
    <w:rsid w:val="004560BA"/>
    <w:rsid w:val="0045662F"/>
    <w:rsid w:val="00460BCB"/>
    <w:rsid w:val="00461062"/>
    <w:rsid w:val="004645B2"/>
    <w:rsid w:val="004674E9"/>
    <w:rsid w:val="0047393C"/>
    <w:rsid w:val="00473E64"/>
    <w:rsid w:val="0048021B"/>
    <w:rsid w:val="00481875"/>
    <w:rsid w:val="00482BB0"/>
    <w:rsid w:val="00483878"/>
    <w:rsid w:val="00484215"/>
    <w:rsid w:val="004A032D"/>
    <w:rsid w:val="004A4DC6"/>
    <w:rsid w:val="004A65E3"/>
    <w:rsid w:val="004B1768"/>
    <w:rsid w:val="004B19E9"/>
    <w:rsid w:val="004B68AC"/>
    <w:rsid w:val="004B69E8"/>
    <w:rsid w:val="004C481E"/>
    <w:rsid w:val="004D22EC"/>
    <w:rsid w:val="004D6E5D"/>
    <w:rsid w:val="004E59C8"/>
    <w:rsid w:val="004F038C"/>
    <w:rsid w:val="004F08D3"/>
    <w:rsid w:val="004F38D7"/>
    <w:rsid w:val="00502211"/>
    <w:rsid w:val="00502CE6"/>
    <w:rsid w:val="0051609E"/>
    <w:rsid w:val="00524791"/>
    <w:rsid w:val="005256D1"/>
    <w:rsid w:val="00526377"/>
    <w:rsid w:val="00534413"/>
    <w:rsid w:val="00536AD3"/>
    <w:rsid w:val="0054428B"/>
    <w:rsid w:val="005479BE"/>
    <w:rsid w:val="00551417"/>
    <w:rsid w:val="00554E20"/>
    <w:rsid w:val="00556A61"/>
    <w:rsid w:val="00561365"/>
    <w:rsid w:val="00574245"/>
    <w:rsid w:val="00576A96"/>
    <w:rsid w:val="00580448"/>
    <w:rsid w:val="005821F3"/>
    <w:rsid w:val="005847D7"/>
    <w:rsid w:val="00590401"/>
    <w:rsid w:val="005938F5"/>
    <w:rsid w:val="00594A04"/>
    <w:rsid w:val="005961F6"/>
    <w:rsid w:val="005A142E"/>
    <w:rsid w:val="005A6D97"/>
    <w:rsid w:val="005B0EDD"/>
    <w:rsid w:val="005B1605"/>
    <w:rsid w:val="005B2498"/>
    <w:rsid w:val="005B4754"/>
    <w:rsid w:val="005B48E0"/>
    <w:rsid w:val="005C0709"/>
    <w:rsid w:val="005C2CDF"/>
    <w:rsid w:val="005D5C0A"/>
    <w:rsid w:val="005D6C4C"/>
    <w:rsid w:val="005E70D8"/>
    <w:rsid w:val="005F1067"/>
    <w:rsid w:val="005F19BF"/>
    <w:rsid w:val="005F2ABD"/>
    <w:rsid w:val="00602494"/>
    <w:rsid w:val="006061A5"/>
    <w:rsid w:val="0060795B"/>
    <w:rsid w:val="00607F89"/>
    <w:rsid w:val="00621455"/>
    <w:rsid w:val="00625847"/>
    <w:rsid w:val="00633B83"/>
    <w:rsid w:val="0064324E"/>
    <w:rsid w:val="00652FEE"/>
    <w:rsid w:val="00653330"/>
    <w:rsid w:val="0065782D"/>
    <w:rsid w:val="0066145E"/>
    <w:rsid w:val="0066465F"/>
    <w:rsid w:val="00665538"/>
    <w:rsid w:val="006677F3"/>
    <w:rsid w:val="006722EF"/>
    <w:rsid w:val="00677E2A"/>
    <w:rsid w:val="006805DF"/>
    <w:rsid w:val="006925EA"/>
    <w:rsid w:val="006942CD"/>
    <w:rsid w:val="00695DA1"/>
    <w:rsid w:val="006A2176"/>
    <w:rsid w:val="006B17AE"/>
    <w:rsid w:val="006B7158"/>
    <w:rsid w:val="006C201A"/>
    <w:rsid w:val="006C250F"/>
    <w:rsid w:val="006C5A4D"/>
    <w:rsid w:val="006C6471"/>
    <w:rsid w:val="006D1685"/>
    <w:rsid w:val="006E3929"/>
    <w:rsid w:val="006F1C45"/>
    <w:rsid w:val="006F2924"/>
    <w:rsid w:val="007042B4"/>
    <w:rsid w:val="007072E4"/>
    <w:rsid w:val="00717E1F"/>
    <w:rsid w:val="0072068F"/>
    <w:rsid w:val="007213CD"/>
    <w:rsid w:val="00732F47"/>
    <w:rsid w:val="007346A9"/>
    <w:rsid w:val="007366F8"/>
    <w:rsid w:val="00772B35"/>
    <w:rsid w:val="007749BC"/>
    <w:rsid w:val="00787853"/>
    <w:rsid w:val="00794485"/>
    <w:rsid w:val="00795055"/>
    <w:rsid w:val="00795C96"/>
    <w:rsid w:val="0079754E"/>
    <w:rsid w:val="007A5B6B"/>
    <w:rsid w:val="007A7B7C"/>
    <w:rsid w:val="007B1AE8"/>
    <w:rsid w:val="007B5105"/>
    <w:rsid w:val="007B6CC4"/>
    <w:rsid w:val="007C0E06"/>
    <w:rsid w:val="007C3C56"/>
    <w:rsid w:val="007D05F0"/>
    <w:rsid w:val="007D060F"/>
    <w:rsid w:val="007D0BE2"/>
    <w:rsid w:val="007E0B29"/>
    <w:rsid w:val="007E0F81"/>
    <w:rsid w:val="007E50C3"/>
    <w:rsid w:val="007F09E6"/>
    <w:rsid w:val="007F21B1"/>
    <w:rsid w:val="007F2788"/>
    <w:rsid w:val="007F39F3"/>
    <w:rsid w:val="007F7639"/>
    <w:rsid w:val="00800E7C"/>
    <w:rsid w:val="00812C53"/>
    <w:rsid w:val="00813CB6"/>
    <w:rsid w:val="00817A63"/>
    <w:rsid w:val="0082426B"/>
    <w:rsid w:val="0083043F"/>
    <w:rsid w:val="00841CF9"/>
    <w:rsid w:val="008447B8"/>
    <w:rsid w:val="00850562"/>
    <w:rsid w:val="008505DC"/>
    <w:rsid w:val="008561A8"/>
    <w:rsid w:val="008675F6"/>
    <w:rsid w:val="00874672"/>
    <w:rsid w:val="008838FD"/>
    <w:rsid w:val="00886916"/>
    <w:rsid w:val="008921D3"/>
    <w:rsid w:val="008926C1"/>
    <w:rsid w:val="00893405"/>
    <w:rsid w:val="00893FF9"/>
    <w:rsid w:val="008A23C2"/>
    <w:rsid w:val="008A24F5"/>
    <w:rsid w:val="008A25FF"/>
    <w:rsid w:val="008A2DCB"/>
    <w:rsid w:val="008A6CA9"/>
    <w:rsid w:val="008B1B4E"/>
    <w:rsid w:val="008B56BA"/>
    <w:rsid w:val="008C3120"/>
    <w:rsid w:val="008D0F9C"/>
    <w:rsid w:val="008D456F"/>
    <w:rsid w:val="008D4938"/>
    <w:rsid w:val="008F48A5"/>
    <w:rsid w:val="008F4A3C"/>
    <w:rsid w:val="008F6405"/>
    <w:rsid w:val="008F76A9"/>
    <w:rsid w:val="00900734"/>
    <w:rsid w:val="00902F00"/>
    <w:rsid w:val="00907349"/>
    <w:rsid w:val="00910F62"/>
    <w:rsid w:val="009112FC"/>
    <w:rsid w:val="009233EC"/>
    <w:rsid w:val="00924E2D"/>
    <w:rsid w:val="009363BC"/>
    <w:rsid w:val="0093694C"/>
    <w:rsid w:val="00941380"/>
    <w:rsid w:val="00943587"/>
    <w:rsid w:val="00945006"/>
    <w:rsid w:val="009451E0"/>
    <w:rsid w:val="00952756"/>
    <w:rsid w:val="00954E4C"/>
    <w:rsid w:val="00957953"/>
    <w:rsid w:val="009656F2"/>
    <w:rsid w:val="00965E9F"/>
    <w:rsid w:val="009664E1"/>
    <w:rsid w:val="009668B3"/>
    <w:rsid w:val="00967907"/>
    <w:rsid w:val="00970FC0"/>
    <w:rsid w:val="0098022A"/>
    <w:rsid w:val="009867D7"/>
    <w:rsid w:val="00990B9B"/>
    <w:rsid w:val="00993C6A"/>
    <w:rsid w:val="0099656D"/>
    <w:rsid w:val="00996F80"/>
    <w:rsid w:val="009A2767"/>
    <w:rsid w:val="009A528E"/>
    <w:rsid w:val="009A6252"/>
    <w:rsid w:val="009A67FF"/>
    <w:rsid w:val="009A7B1B"/>
    <w:rsid w:val="009A7DDA"/>
    <w:rsid w:val="009B0DA1"/>
    <w:rsid w:val="009B3871"/>
    <w:rsid w:val="009C280C"/>
    <w:rsid w:val="009C643F"/>
    <w:rsid w:val="009D1C51"/>
    <w:rsid w:val="009D2F4F"/>
    <w:rsid w:val="009D4B1C"/>
    <w:rsid w:val="009D4DFC"/>
    <w:rsid w:val="009D7B27"/>
    <w:rsid w:val="009E1E77"/>
    <w:rsid w:val="009E6A71"/>
    <w:rsid w:val="009F131F"/>
    <w:rsid w:val="009F4777"/>
    <w:rsid w:val="009F60C0"/>
    <w:rsid w:val="00A01717"/>
    <w:rsid w:val="00A05859"/>
    <w:rsid w:val="00A149B9"/>
    <w:rsid w:val="00A306BD"/>
    <w:rsid w:val="00A313E2"/>
    <w:rsid w:val="00A31941"/>
    <w:rsid w:val="00A3539D"/>
    <w:rsid w:val="00A43942"/>
    <w:rsid w:val="00A55965"/>
    <w:rsid w:val="00A61D3E"/>
    <w:rsid w:val="00A66DDB"/>
    <w:rsid w:val="00A71896"/>
    <w:rsid w:val="00A75D10"/>
    <w:rsid w:val="00A83FDE"/>
    <w:rsid w:val="00A90BA6"/>
    <w:rsid w:val="00A91D22"/>
    <w:rsid w:val="00A956ED"/>
    <w:rsid w:val="00A96903"/>
    <w:rsid w:val="00AA0B2F"/>
    <w:rsid w:val="00AA0D23"/>
    <w:rsid w:val="00AA25C4"/>
    <w:rsid w:val="00AA31EE"/>
    <w:rsid w:val="00AB1993"/>
    <w:rsid w:val="00AB635A"/>
    <w:rsid w:val="00AB7A30"/>
    <w:rsid w:val="00AC0219"/>
    <w:rsid w:val="00AC16B7"/>
    <w:rsid w:val="00AC59A3"/>
    <w:rsid w:val="00AD02F3"/>
    <w:rsid w:val="00AD511E"/>
    <w:rsid w:val="00AE0C04"/>
    <w:rsid w:val="00AE5B33"/>
    <w:rsid w:val="00AE6A98"/>
    <w:rsid w:val="00AF31E4"/>
    <w:rsid w:val="00AF3CF5"/>
    <w:rsid w:val="00AF5761"/>
    <w:rsid w:val="00B01F14"/>
    <w:rsid w:val="00B03E2E"/>
    <w:rsid w:val="00B04BD4"/>
    <w:rsid w:val="00B058C6"/>
    <w:rsid w:val="00B05D80"/>
    <w:rsid w:val="00B14EEC"/>
    <w:rsid w:val="00B15F28"/>
    <w:rsid w:val="00B16663"/>
    <w:rsid w:val="00B173B0"/>
    <w:rsid w:val="00B204AC"/>
    <w:rsid w:val="00B21A0A"/>
    <w:rsid w:val="00B21E2C"/>
    <w:rsid w:val="00B23E1A"/>
    <w:rsid w:val="00B26C71"/>
    <w:rsid w:val="00B27798"/>
    <w:rsid w:val="00B27A16"/>
    <w:rsid w:val="00B4044C"/>
    <w:rsid w:val="00B41858"/>
    <w:rsid w:val="00B44F24"/>
    <w:rsid w:val="00B50C35"/>
    <w:rsid w:val="00B554DE"/>
    <w:rsid w:val="00B57FB4"/>
    <w:rsid w:val="00B6082B"/>
    <w:rsid w:val="00B61B8B"/>
    <w:rsid w:val="00B63A2D"/>
    <w:rsid w:val="00B66F6E"/>
    <w:rsid w:val="00B73C03"/>
    <w:rsid w:val="00B744FD"/>
    <w:rsid w:val="00B80C60"/>
    <w:rsid w:val="00B82317"/>
    <w:rsid w:val="00B85A09"/>
    <w:rsid w:val="00B92426"/>
    <w:rsid w:val="00B964FC"/>
    <w:rsid w:val="00B97059"/>
    <w:rsid w:val="00BA35EE"/>
    <w:rsid w:val="00BA4D21"/>
    <w:rsid w:val="00BB0F02"/>
    <w:rsid w:val="00BB544B"/>
    <w:rsid w:val="00BB640F"/>
    <w:rsid w:val="00BB7505"/>
    <w:rsid w:val="00BB7A61"/>
    <w:rsid w:val="00BC009F"/>
    <w:rsid w:val="00BC2144"/>
    <w:rsid w:val="00BC7A78"/>
    <w:rsid w:val="00BD097B"/>
    <w:rsid w:val="00BD1304"/>
    <w:rsid w:val="00BD7799"/>
    <w:rsid w:val="00BE2836"/>
    <w:rsid w:val="00BE2E19"/>
    <w:rsid w:val="00BE4E2E"/>
    <w:rsid w:val="00BE7038"/>
    <w:rsid w:val="00BF1362"/>
    <w:rsid w:val="00C01255"/>
    <w:rsid w:val="00C01599"/>
    <w:rsid w:val="00C03B41"/>
    <w:rsid w:val="00C0403F"/>
    <w:rsid w:val="00C04558"/>
    <w:rsid w:val="00C13402"/>
    <w:rsid w:val="00C14D00"/>
    <w:rsid w:val="00C17B50"/>
    <w:rsid w:val="00C236D6"/>
    <w:rsid w:val="00C247FA"/>
    <w:rsid w:val="00C257FA"/>
    <w:rsid w:val="00C279D8"/>
    <w:rsid w:val="00C32E75"/>
    <w:rsid w:val="00C35B94"/>
    <w:rsid w:val="00C36E67"/>
    <w:rsid w:val="00C41357"/>
    <w:rsid w:val="00C45A6B"/>
    <w:rsid w:val="00C464D6"/>
    <w:rsid w:val="00C47606"/>
    <w:rsid w:val="00C4760F"/>
    <w:rsid w:val="00C47E1E"/>
    <w:rsid w:val="00C55230"/>
    <w:rsid w:val="00C56269"/>
    <w:rsid w:val="00C6024E"/>
    <w:rsid w:val="00C632B4"/>
    <w:rsid w:val="00C67CEE"/>
    <w:rsid w:val="00C8479A"/>
    <w:rsid w:val="00CA236C"/>
    <w:rsid w:val="00CA350C"/>
    <w:rsid w:val="00CB7BE3"/>
    <w:rsid w:val="00CC081E"/>
    <w:rsid w:val="00CD114B"/>
    <w:rsid w:val="00CD2828"/>
    <w:rsid w:val="00CD5728"/>
    <w:rsid w:val="00CE29AC"/>
    <w:rsid w:val="00CE2F50"/>
    <w:rsid w:val="00CE6899"/>
    <w:rsid w:val="00CF0812"/>
    <w:rsid w:val="00CF2E23"/>
    <w:rsid w:val="00CF4D22"/>
    <w:rsid w:val="00CF77EE"/>
    <w:rsid w:val="00D02261"/>
    <w:rsid w:val="00D05855"/>
    <w:rsid w:val="00D064C8"/>
    <w:rsid w:val="00D10FA4"/>
    <w:rsid w:val="00D17B16"/>
    <w:rsid w:val="00D235BF"/>
    <w:rsid w:val="00D30B4D"/>
    <w:rsid w:val="00D34484"/>
    <w:rsid w:val="00D45AB4"/>
    <w:rsid w:val="00D50A58"/>
    <w:rsid w:val="00D61A86"/>
    <w:rsid w:val="00D61EA9"/>
    <w:rsid w:val="00D6204F"/>
    <w:rsid w:val="00D6638A"/>
    <w:rsid w:val="00D6697C"/>
    <w:rsid w:val="00D66D99"/>
    <w:rsid w:val="00D70023"/>
    <w:rsid w:val="00D72340"/>
    <w:rsid w:val="00D75331"/>
    <w:rsid w:val="00D90118"/>
    <w:rsid w:val="00D918E4"/>
    <w:rsid w:val="00D94079"/>
    <w:rsid w:val="00DA0E5F"/>
    <w:rsid w:val="00DA7002"/>
    <w:rsid w:val="00DA704E"/>
    <w:rsid w:val="00DB00AA"/>
    <w:rsid w:val="00DB0EF2"/>
    <w:rsid w:val="00DB2014"/>
    <w:rsid w:val="00DB3110"/>
    <w:rsid w:val="00DB7063"/>
    <w:rsid w:val="00DC11B3"/>
    <w:rsid w:val="00DC2094"/>
    <w:rsid w:val="00DC2759"/>
    <w:rsid w:val="00DC5D7A"/>
    <w:rsid w:val="00DD0485"/>
    <w:rsid w:val="00DD47C7"/>
    <w:rsid w:val="00DE28F6"/>
    <w:rsid w:val="00DE32CB"/>
    <w:rsid w:val="00DE417E"/>
    <w:rsid w:val="00DE489C"/>
    <w:rsid w:val="00DE6F3C"/>
    <w:rsid w:val="00DF1C08"/>
    <w:rsid w:val="00DF2A36"/>
    <w:rsid w:val="00DF2AA8"/>
    <w:rsid w:val="00DF5965"/>
    <w:rsid w:val="00DF76D0"/>
    <w:rsid w:val="00E00916"/>
    <w:rsid w:val="00E04831"/>
    <w:rsid w:val="00E058F2"/>
    <w:rsid w:val="00E16845"/>
    <w:rsid w:val="00E22AB3"/>
    <w:rsid w:val="00E2401A"/>
    <w:rsid w:val="00E24605"/>
    <w:rsid w:val="00E26AB9"/>
    <w:rsid w:val="00E4254C"/>
    <w:rsid w:val="00E43CAC"/>
    <w:rsid w:val="00E5103C"/>
    <w:rsid w:val="00E5202C"/>
    <w:rsid w:val="00E53875"/>
    <w:rsid w:val="00E5484E"/>
    <w:rsid w:val="00E575B1"/>
    <w:rsid w:val="00E60F4B"/>
    <w:rsid w:val="00E61194"/>
    <w:rsid w:val="00E671C4"/>
    <w:rsid w:val="00E755D8"/>
    <w:rsid w:val="00E767F7"/>
    <w:rsid w:val="00E810BA"/>
    <w:rsid w:val="00E87EFE"/>
    <w:rsid w:val="00E91F23"/>
    <w:rsid w:val="00E92EA8"/>
    <w:rsid w:val="00E9542F"/>
    <w:rsid w:val="00E95E49"/>
    <w:rsid w:val="00E96F20"/>
    <w:rsid w:val="00E970E5"/>
    <w:rsid w:val="00EB0173"/>
    <w:rsid w:val="00EB197D"/>
    <w:rsid w:val="00EB2527"/>
    <w:rsid w:val="00EB2EC7"/>
    <w:rsid w:val="00EB354D"/>
    <w:rsid w:val="00EC0FC9"/>
    <w:rsid w:val="00EC4BDD"/>
    <w:rsid w:val="00EC4E51"/>
    <w:rsid w:val="00EC50B4"/>
    <w:rsid w:val="00ED1F08"/>
    <w:rsid w:val="00ED2300"/>
    <w:rsid w:val="00ED556A"/>
    <w:rsid w:val="00ED5CE1"/>
    <w:rsid w:val="00ED61B2"/>
    <w:rsid w:val="00ED6CDC"/>
    <w:rsid w:val="00EE2616"/>
    <w:rsid w:val="00EE34F8"/>
    <w:rsid w:val="00EE36D1"/>
    <w:rsid w:val="00EE65B4"/>
    <w:rsid w:val="00EE7828"/>
    <w:rsid w:val="00EF4DD0"/>
    <w:rsid w:val="00EF6D25"/>
    <w:rsid w:val="00EF7B55"/>
    <w:rsid w:val="00F021D8"/>
    <w:rsid w:val="00F058DA"/>
    <w:rsid w:val="00F06D65"/>
    <w:rsid w:val="00F15450"/>
    <w:rsid w:val="00F16942"/>
    <w:rsid w:val="00F16D44"/>
    <w:rsid w:val="00F238D5"/>
    <w:rsid w:val="00F24813"/>
    <w:rsid w:val="00F24B01"/>
    <w:rsid w:val="00F2632C"/>
    <w:rsid w:val="00F3481E"/>
    <w:rsid w:val="00F37BD8"/>
    <w:rsid w:val="00F37F0D"/>
    <w:rsid w:val="00F4128C"/>
    <w:rsid w:val="00F50904"/>
    <w:rsid w:val="00F514B8"/>
    <w:rsid w:val="00F531E2"/>
    <w:rsid w:val="00F5715E"/>
    <w:rsid w:val="00F676B1"/>
    <w:rsid w:val="00F716A0"/>
    <w:rsid w:val="00F72B21"/>
    <w:rsid w:val="00F72EC9"/>
    <w:rsid w:val="00F82231"/>
    <w:rsid w:val="00F87CA5"/>
    <w:rsid w:val="00F92110"/>
    <w:rsid w:val="00F94687"/>
    <w:rsid w:val="00F95353"/>
    <w:rsid w:val="00F97D66"/>
    <w:rsid w:val="00FA262E"/>
    <w:rsid w:val="00FA296E"/>
    <w:rsid w:val="00FA58A9"/>
    <w:rsid w:val="00FB1538"/>
    <w:rsid w:val="00FB2CCF"/>
    <w:rsid w:val="00FB7BCD"/>
    <w:rsid w:val="00FC26D5"/>
    <w:rsid w:val="00FC7152"/>
    <w:rsid w:val="00FC7AA5"/>
    <w:rsid w:val="00FD6858"/>
    <w:rsid w:val="00FD6DF4"/>
    <w:rsid w:val="00FD71DA"/>
    <w:rsid w:val="00FD7AAE"/>
    <w:rsid w:val="00FE0162"/>
    <w:rsid w:val="00FE0BE0"/>
    <w:rsid w:val="00FE2C00"/>
    <w:rsid w:val="00FE5FFA"/>
    <w:rsid w:val="00FF192F"/>
    <w:rsid w:val="00FF1965"/>
    <w:rsid w:val="00FF1C98"/>
    <w:rsid w:val="00FF427B"/>
  </w:rsids>
  <w:docVars>
    <w:docVar w:name="beskyttet" w:val="nei"/>
    <w:docVar w:name="docver" w:val="2.20"/>
    <w:docVar w:name="ekr_dokeier" w:val="[ResEier]"/>
    <w:docVar w:name="ekr_doktittel" w:val="[ResTittel]"/>
    <w:docVar w:name="ekr_doktype" w:val="[ResType]"/>
    <w:docVar w:name="ekr_dokumentid" w:val="[ResId]"/>
    <w:docVar w:name="ekr_endret" w:val="[ResEndret]"/>
    <w:docVar w:name="ekr_gradering" w:val="[ResGrad]"/>
    <w:docVar w:name="ekr_hørt" w:val="[Hørt av]"/>
    <w:docVar w:name="ekr_ibruk" w:val="[ResIBruk]"/>
    <w:docVar w:name="ekr_opprettet" w:val="[ResOppr]"/>
    <w:docVar w:name="ekr_rapport" w:val="[Tilknyttet rapport]"/>
    <w:docVar w:name="ekr_refnr" w:val="[ResRefNr]"/>
    <w:docVar w:name="ekr_signatur" w:val="[ResSign]"/>
    <w:docVar w:name="ekr_skrevetav" w:val="[Utfylt av]"/>
    <w:docVar w:name="ekr_status" w:val="[ResStat]"/>
    <w:docVar w:name="ekr_utext1" w:val="[]"/>
    <w:docVar w:name="ekr_utext2" w:val="[]"/>
    <w:docVar w:name="ekr_utext3" w:val="[RESUText3]"/>
    <w:docVar w:name="ekr_utext4" w:val="[RESUText4]"/>
    <w:docVar w:name="ekr_utgitt" w:val="[ResUtfylt]"/>
    <w:docVar w:name="ekr_verifisert" w:val="[Verifisert av]"/>
    <w:docVar w:name="ek_ansvarlig" w:val="[EK-Ansvarlig]"/>
    <w:docVar w:name="ek_dbfields" w:val="EK_Avdeling¤2#4¤2#[Avdeling]¤3#EK_Avsnitt¤2#4¤2#[Avsnitt]¤3#EK_Bedriftsnavn¤2#1¤2#Helse Bergen¤3#EK_GjelderFra¤2#0¤2#[GjelderFra]¤3#EK_KlGjelderFra¤2#0¤2#[KlGjelderFra]¤3#EK_Opprettet¤2#0¤2#[Opprettet]¤3#EK_Utgitt¤2#0¤2#[Utgitt]¤3#EK_IBrukDato¤2#0¤2#[Endret]¤3#EK_DokumentID¤2#0¤2#[ID]¤3#EK_DokTittel¤2#0¤2#MBF Skjemamal, LOGO, uten offisiell¤3#EK_DokType¤2#0¤2#[DokType]¤3#EK_DocLvlShort¤2#0¤2#[DokNivåKort]¤3#EK_DocLevel¤2#0¤2#[DokNivå]¤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Dok.ansvarlig]¤3#EK_UText2¤2#0¤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0003021304¤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3#EKR_UText2¤2#0¤2#[]¤3#EKR_UText3¤2#0¤2#[RESUText3]¤3#EKR_UText4¤2#0¤2#[RESUText4]¤3#EKR_DokRefnr¤2#4¤2#¤3#EKR_Gradnr¤2#4¤2#¤3#EKR_Strukt00¤2#5¤2#[ ]¤3#"/>
    <w:docVar w:name="ek_dl" w:val="[dl]"/>
    <w:docVar w:name="ek_doclevel" w:val="[DokNivå]"/>
    <w:docVar w:name="ek_doclvlshort" w:val="[DokNivåKort]"/>
    <w:docVar w:name="ek_doktittel" w:val="MBF Skjemamal, LOGO, uten offisiell"/>
    <w:docVar w:name="ek_doktype" w:val="[DokType]"/>
    <w:docVar w:name="ek_dokumentid" w:val="[ID]"/>
    <w:docVar w:name="ek_endrfields" w:val="EK_UText2¤1#EK_Rapport¤1#EKR_UText1¤1#EKR_UText2¤1#"/>
    <w:docVar w:name="ek_erstatter" w:val="[Erstatter]"/>
    <w:docVar w:name="ek_erstatterd" w:val="[ErstatterD]"/>
    <w:docVar w:name="ek_format" w:val="-10"/>
    <w:docVar w:name="ek_gjelderfra" w:val="[GjelderFra]"/>
    <w:docVar w:name="ek_gjeldertil" w:val="[GyldigTil]"/>
    <w:docVar w:name="ek_gradering" w:val="[Gradering]"/>
    <w:docVar w:name="ek_hbnavn" w:val="[HbNavn]"/>
    <w:docVar w:name="ek_hrefnr" w:val="[HRefnr]"/>
    <w:docVar w:name="ek_hørt" w:val="[Hørt av]"/>
    <w:docVar w:name="ek_ibrukdato" w:val="[Endret]"/>
    <w:docVar w:name="ek_klgjelderfra" w:val="[KlGjelderFra]"/>
    <w:docVar w:name="ek_merknad" w:val="[Merknad]"/>
    <w:docVar w:name="ek_opprettet" w:val="[Opprettet]"/>
    <w:docVar w:name="ek_protection" w:val="0"/>
    <w:docVar w:name="ek_rapport" w:val="[Tilknyttet rapport]"/>
    <w:docVar w:name="ek_revisjon" w:val="[Rev]"/>
    <w:docVar w:name="ek_s00mt10400" w:val="[ ]"/>
    <w:docVar w:name="ek_s01mt3" w:val="[ ]"/>
    <w:docVar w:name="ek_status" w:val="[Status]"/>
    <w:docVar w:name="ek_stikkord" w:val="[Stikkord]"/>
    <w:docVar w:name="ek_superstikkord" w:val="[SuperStikkord]"/>
    <w:docVar w:name="ek_type" w:val="MAL"/>
    <w:docVar w:name="ek_utext1" w:val="[Dok.ansvarlig]"/>
    <w:docVar w:name="ek_utext2" w:val="[]"/>
    <w:docVar w:name="ek_utext3" w:val="[UText3]"/>
    <w:docVar w:name="ek_utext4" w:val="[UText4]"/>
    <w:docVar w:name="ek_utgitt" w:val="[Utgitt]"/>
    <w:docVar w:name="ek_verifisert" w:val="[Verifisert av]"/>
    <w:docVar w:name="khb" w:val="nei"/>
    <w:docVar w:name="skitten" w:val="0"/>
    <w:docVar w:name="tidek_eksref" w:val="--"/>
    <w:docVar w:name="tidek_referanse" w:val="--"/>
    <w:docVar w:name="tidek_vedlegg" w:val="--"/>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52098F46"/>
  <w15:docId w15:val="{F107ECDB-115C-4DE5-AF78-FD7973905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0EF2"/>
    <w:pPr>
      <w:spacing w:before="120" w:after="120"/>
    </w:pPr>
    <w:rPr>
      <w:rFonts w:asciiTheme="minorHAnsi" w:hAnsiTheme="minorHAnsi" w:cs="Arial"/>
      <w:sz w:val="24"/>
      <w:szCs w:val="24"/>
    </w:rPr>
  </w:style>
  <w:style w:type="paragraph" w:styleId="Heading1">
    <w:name w:val="heading 1"/>
    <w:basedOn w:val="Normal"/>
    <w:next w:val="Normal"/>
    <w:autoRedefine/>
    <w:qFormat/>
    <w:rsid w:val="008A23C2"/>
    <w:pPr>
      <w:numPr>
        <w:numId w:val="30"/>
      </w:numPr>
      <w:tabs>
        <w:tab w:val="left" w:pos="567"/>
      </w:tabs>
      <w:spacing w:before="240"/>
      <w:ind w:left="0" w:firstLine="0"/>
      <w:outlineLvl w:val="0"/>
    </w:pPr>
    <w:rPr>
      <w:b/>
      <w:color w:val="00529C"/>
      <w:sz w:val="44"/>
    </w:rPr>
  </w:style>
  <w:style w:type="paragraph" w:styleId="Heading2">
    <w:name w:val="heading 2"/>
    <w:basedOn w:val="Normal"/>
    <w:next w:val="Normal"/>
    <w:autoRedefine/>
    <w:qFormat/>
    <w:rsid w:val="00A90BA6"/>
    <w:pPr>
      <w:numPr>
        <w:ilvl w:val="1"/>
        <w:numId w:val="30"/>
      </w:numPr>
      <w:ind w:left="578" w:hanging="578"/>
      <w:outlineLvl w:val="1"/>
    </w:pPr>
    <w:rPr>
      <w:b/>
      <w:color w:val="00529C"/>
      <w:sz w:val="30"/>
    </w:rPr>
  </w:style>
  <w:style w:type="paragraph" w:styleId="Heading3">
    <w:name w:val="heading 3"/>
    <w:basedOn w:val="Normal"/>
    <w:next w:val="Normal"/>
    <w:autoRedefine/>
    <w:qFormat/>
    <w:rsid w:val="00A90BA6"/>
    <w:pPr>
      <w:numPr>
        <w:ilvl w:val="2"/>
        <w:numId w:val="30"/>
      </w:numPr>
      <w:outlineLvl w:val="2"/>
    </w:pPr>
    <w:rPr>
      <w:b/>
      <w:color w:val="00529C"/>
    </w:rPr>
  </w:style>
  <w:style w:type="paragraph" w:styleId="Heading4">
    <w:name w:val="heading 4"/>
    <w:basedOn w:val="Normal"/>
    <w:next w:val="Normal"/>
    <w:qFormat/>
    <w:rsid w:val="00C67CEE"/>
    <w:pPr>
      <w:numPr>
        <w:ilvl w:val="3"/>
        <w:numId w:val="30"/>
      </w:numPr>
      <w:tabs>
        <w:tab w:val="left" w:pos="851"/>
      </w:tabs>
      <w:ind w:left="851" w:hanging="851"/>
      <w:outlineLvl w:val="3"/>
    </w:pPr>
    <w:rPr>
      <w:b/>
    </w:rPr>
  </w:style>
  <w:style w:type="paragraph" w:styleId="Heading5">
    <w:name w:val="heading 5"/>
    <w:basedOn w:val="Normal"/>
    <w:next w:val="Normal"/>
    <w:qFormat/>
    <w:rsid w:val="00C67CEE"/>
    <w:pPr>
      <w:numPr>
        <w:ilvl w:val="4"/>
        <w:numId w:val="30"/>
      </w:numPr>
      <w:ind w:left="1009" w:hanging="1009"/>
      <w:outlineLvl w:val="4"/>
    </w:pPr>
    <w:rPr>
      <w:b/>
      <w:bCs/>
      <w:iCs/>
      <w:szCs w:val="26"/>
    </w:rPr>
  </w:style>
  <w:style w:type="paragraph" w:styleId="Heading6">
    <w:name w:val="heading 6"/>
    <w:basedOn w:val="Normal"/>
    <w:next w:val="Normal"/>
    <w:qFormat/>
    <w:rsid w:val="00C67CEE"/>
    <w:pPr>
      <w:numPr>
        <w:ilvl w:val="5"/>
        <w:numId w:val="30"/>
      </w:numPr>
      <w:ind w:left="1151" w:hanging="1151"/>
      <w:outlineLvl w:val="5"/>
    </w:pPr>
    <w:rPr>
      <w:b/>
    </w:rPr>
  </w:style>
  <w:style w:type="paragraph" w:styleId="Heading7">
    <w:name w:val="heading 7"/>
    <w:aliases w:val="Vedlegg"/>
    <w:basedOn w:val="Normal"/>
    <w:next w:val="Normal"/>
    <w:qFormat/>
    <w:rsid w:val="003C5E4C"/>
    <w:pPr>
      <w:outlineLvl w:val="6"/>
    </w:pPr>
    <w:rPr>
      <w:b/>
      <w:caps/>
    </w:rPr>
  </w:style>
  <w:style w:type="paragraph" w:styleId="Heading8">
    <w:name w:val="heading 8"/>
    <w:basedOn w:val="Normal"/>
    <w:next w:val="Normal"/>
    <w:link w:val="Overskrift8Tegn"/>
    <w:semiHidden/>
    <w:unhideWhenUsed/>
    <w:qFormat/>
    <w:rsid w:val="001C22DD"/>
    <w:pPr>
      <w:numPr>
        <w:ilvl w:val="7"/>
        <w:numId w:val="30"/>
      </w:numPr>
      <w:spacing w:before="240" w:after="60"/>
      <w:outlineLvl w:val="7"/>
    </w:pPr>
    <w:rPr>
      <w:rFonts w:ascii="Calibri" w:hAnsi="Calibri" w:cs="Times New Roman"/>
      <w:i/>
      <w:iCs/>
    </w:rPr>
  </w:style>
  <w:style w:type="paragraph" w:styleId="Heading9">
    <w:name w:val="heading 9"/>
    <w:basedOn w:val="Normal"/>
    <w:next w:val="Normal"/>
    <w:link w:val="Overskrift9Tegn"/>
    <w:semiHidden/>
    <w:unhideWhenUsed/>
    <w:qFormat/>
    <w:rsid w:val="001C22DD"/>
    <w:pPr>
      <w:numPr>
        <w:ilvl w:val="8"/>
        <w:numId w:val="30"/>
      </w:numPr>
      <w:spacing w:before="240" w:after="60"/>
      <w:outlineLvl w:val="8"/>
    </w:pPr>
    <w:rPr>
      <w:rFonts w:ascii="Cambria" w:hAnsi="Cambria" w:cs="Times New Roman"/>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next w:val="Normal"/>
    <w:link w:val="TopptekstTegn"/>
    <w:pPr>
      <w:jc w:val="right"/>
    </w:p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style>
  <w:style w:type="paragraph" w:customStyle="1" w:styleId="DBFelt">
    <w:name w:val="DBFelt"/>
    <w:basedOn w:val="Normal"/>
    <w:rPr>
      <w:color w:val="808080"/>
    </w:rPr>
  </w:style>
  <w:style w:type="character" w:styleId="PageNumber">
    <w:name w:val="page number"/>
    <w:basedOn w:val="DefaultParagraphFont"/>
  </w:style>
  <w:style w:type="character" w:styleId="Hyperlink">
    <w:name w:val="Hyperlink"/>
    <w:uiPriority w:val="99"/>
    <w:rsid w:val="0083043F"/>
    <w:rPr>
      <w:color w:val="0000FF"/>
      <w:u w:val="single"/>
    </w:rPr>
  </w:style>
  <w:style w:type="character" w:styleId="FollowedHyperlink">
    <w:name w:val="FollowedHyperlink"/>
    <w:rPr>
      <w:rFonts w:ascii="Verdana" w:hAnsi="Verdana"/>
      <w:color w:val="800080"/>
      <w:sz w:val="14"/>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rsid w:val="00387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8A24F5"/>
    <w:pPr>
      <w:tabs>
        <w:tab w:val="left" w:pos="680"/>
      </w:tabs>
      <w:ind w:left="284"/>
    </w:pPr>
    <w:rPr>
      <w:rFonts w:cstheme="minorHAnsi"/>
      <w:b/>
      <w:bCs/>
      <w:szCs w:val="20"/>
    </w:rPr>
  </w:style>
  <w:style w:type="paragraph" w:styleId="TOC2">
    <w:name w:val="toc 2"/>
    <w:basedOn w:val="Normal"/>
    <w:next w:val="Normal"/>
    <w:autoRedefine/>
    <w:uiPriority w:val="39"/>
    <w:rsid w:val="00E00916"/>
    <w:pPr>
      <w:tabs>
        <w:tab w:val="left" w:pos="1219"/>
      </w:tabs>
      <w:spacing w:before="40" w:after="0"/>
      <w:ind w:left="737"/>
    </w:pPr>
    <w:rPr>
      <w:rFonts w:cstheme="minorHAnsi"/>
      <w:iCs/>
      <w:szCs w:val="20"/>
    </w:rPr>
  </w:style>
  <w:style w:type="paragraph" w:styleId="TOC3">
    <w:name w:val="toc 3"/>
    <w:basedOn w:val="Normal"/>
    <w:next w:val="Normal"/>
    <w:autoRedefine/>
    <w:uiPriority w:val="39"/>
    <w:rsid w:val="00E00916"/>
    <w:pPr>
      <w:tabs>
        <w:tab w:val="left" w:pos="1701"/>
      </w:tabs>
      <w:spacing w:before="40" w:after="0"/>
      <w:ind w:left="1219"/>
    </w:pPr>
    <w:rPr>
      <w:rFonts w:cstheme="minorHAnsi"/>
      <w:szCs w:val="20"/>
    </w:rPr>
  </w:style>
  <w:style w:type="character" w:styleId="SubtleEmphasis">
    <w:name w:val="Subtle Emphasis"/>
    <w:uiPriority w:val="19"/>
    <w:rsid w:val="005961F6"/>
    <w:rPr>
      <w:i/>
      <w:iCs/>
      <w:color w:val="808080"/>
    </w:rPr>
  </w:style>
  <w:style w:type="character" w:styleId="IntenseEmphasis">
    <w:name w:val="Intense Emphasis"/>
    <w:uiPriority w:val="21"/>
    <w:rsid w:val="005961F6"/>
    <w:rPr>
      <w:b/>
      <w:bCs/>
      <w:i/>
      <w:iCs/>
      <w:color w:val="4F81BD"/>
    </w:rPr>
  </w:style>
  <w:style w:type="paragraph" w:styleId="Quote">
    <w:name w:val="Quote"/>
    <w:basedOn w:val="Normal"/>
    <w:next w:val="Normal"/>
    <w:link w:val="SitatTegn"/>
    <w:uiPriority w:val="29"/>
    <w:rsid w:val="005961F6"/>
    <w:rPr>
      <w:i/>
      <w:iCs/>
      <w:color w:val="000000"/>
    </w:rPr>
  </w:style>
  <w:style w:type="character" w:customStyle="1" w:styleId="SitatTegn">
    <w:name w:val="Sitat Tegn"/>
    <w:link w:val="Quote"/>
    <w:uiPriority w:val="29"/>
    <w:rsid w:val="005961F6"/>
    <w:rPr>
      <w:rFonts w:ascii="Arial" w:hAnsi="Arial" w:cs="Arial"/>
      <w:i/>
      <w:iCs/>
      <w:color w:val="000000"/>
      <w:sz w:val="22"/>
      <w:szCs w:val="24"/>
    </w:rPr>
  </w:style>
  <w:style w:type="character" w:styleId="SubtleReference">
    <w:name w:val="Subtle Reference"/>
    <w:uiPriority w:val="31"/>
    <w:rsid w:val="005961F6"/>
    <w:rPr>
      <w:smallCaps/>
      <w:color w:val="C0504D"/>
      <w:u w:val="single"/>
    </w:rPr>
  </w:style>
  <w:style w:type="paragraph" w:styleId="ListBullet">
    <w:name w:val="List Bullet"/>
    <w:basedOn w:val="Normal"/>
    <w:qFormat/>
    <w:rsid w:val="007072E4"/>
    <w:pPr>
      <w:numPr>
        <w:numId w:val="20"/>
      </w:numPr>
      <w:ind w:left="426" w:hanging="426"/>
    </w:pPr>
  </w:style>
  <w:style w:type="paragraph" w:styleId="ListBullet2">
    <w:name w:val="List Bullet 2"/>
    <w:basedOn w:val="ListBullet"/>
    <w:qFormat/>
    <w:rsid w:val="002528CC"/>
    <w:pPr>
      <w:numPr>
        <w:numId w:val="24"/>
      </w:numPr>
    </w:pPr>
  </w:style>
  <w:style w:type="paragraph" w:styleId="TOC4">
    <w:name w:val="toc 4"/>
    <w:basedOn w:val="Normal"/>
    <w:next w:val="Normal"/>
    <w:uiPriority w:val="39"/>
    <w:rsid w:val="0083043F"/>
    <w:pPr>
      <w:ind w:left="720"/>
    </w:pPr>
    <w:rPr>
      <w:rFonts w:cstheme="minorHAnsi"/>
      <w:sz w:val="20"/>
      <w:szCs w:val="20"/>
    </w:rPr>
  </w:style>
  <w:style w:type="paragraph" w:styleId="TOC5">
    <w:name w:val="toc 5"/>
    <w:basedOn w:val="Normal"/>
    <w:next w:val="Normal"/>
    <w:autoRedefine/>
    <w:uiPriority w:val="39"/>
    <w:rsid w:val="0083043F"/>
    <w:pPr>
      <w:ind w:left="960"/>
    </w:pPr>
    <w:rPr>
      <w:rFonts w:cstheme="minorHAnsi"/>
      <w:sz w:val="20"/>
      <w:szCs w:val="20"/>
    </w:rPr>
  </w:style>
  <w:style w:type="paragraph" w:styleId="TOC6">
    <w:name w:val="toc 6"/>
    <w:basedOn w:val="Normal"/>
    <w:next w:val="Normal"/>
    <w:autoRedefine/>
    <w:uiPriority w:val="39"/>
    <w:rsid w:val="0083043F"/>
    <w:pPr>
      <w:ind w:left="1200"/>
    </w:pPr>
    <w:rPr>
      <w:rFonts w:cstheme="minorHAnsi"/>
      <w:sz w:val="20"/>
      <w:szCs w:val="20"/>
    </w:rPr>
  </w:style>
  <w:style w:type="character" w:customStyle="1" w:styleId="Overskrift8Tegn">
    <w:name w:val="Overskrift 8 Tegn"/>
    <w:link w:val="Heading8"/>
    <w:semiHidden/>
    <w:rsid w:val="001C22DD"/>
    <w:rPr>
      <w:rFonts w:ascii="Calibri" w:eastAsia="Times New Roman" w:hAnsi="Calibri" w:cs="Times New Roman"/>
      <w:i/>
      <w:iCs/>
      <w:sz w:val="24"/>
      <w:szCs w:val="24"/>
    </w:rPr>
  </w:style>
  <w:style w:type="character" w:customStyle="1" w:styleId="Overskrift9Tegn">
    <w:name w:val="Overskrift 9 Tegn"/>
    <w:link w:val="Heading9"/>
    <w:semiHidden/>
    <w:rsid w:val="001C22DD"/>
    <w:rPr>
      <w:rFonts w:ascii="Cambria" w:eastAsia="Times New Roman" w:hAnsi="Cambria" w:cs="Times New Roman"/>
      <w:sz w:val="22"/>
      <w:szCs w:val="22"/>
    </w:rPr>
  </w:style>
  <w:style w:type="paragraph" w:styleId="Index1">
    <w:name w:val="index 1"/>
    <w:basedOn w:val="Normal"/>
    <w:next w:val="Normal"/>
    <w:autoRedefine/>
    <w:rsid w:val="00C14D00"/>
    <w:pPr>
      <w:ind w:left="220" w:hanging="220"/>
    </w:pPr>
  </w:style>
  <w:style w:type="paragraph" w:styleId="TOC7">
    <w:name w:val="toc 7"/>
    <w:basedOn w:val="Normal"/>
    <w:next w:val="Normal"/>
    <w:autoRedefine/>
    <w:uiPriority w:val="39"/>
    <w:rsid w:val="000C28A7"/>
    <w:pPr>
      <w:ind w:left="1440"/>
    </w:pPr>
    <w:rPr>
      <w:rFonts w:cstheme="minorHAnsi"/>
      <w:sz w:val="20"/>
      <w:szCs w:val="20"/>
    </w:rPr>
  </w:style>
  <w:style w:type="character" w:styleId="BookTitle">
    <w:name w:val="Book Title"/>
    <w:uiPriority w:val="33"/>
    <w:rsid w:val="002528CC"/>
    <w:rPr>
      <w:b/>
      <w:bCs/>
      <w:smallCaps/>
      <w:spacing w:val="5"/>
    </w:rPr>
  </w:style>
  <w:style w:type="paragraph" w:styleId="ListParagraph">
    <w:name w:val="List Paragraph"/>
    <w:basedOn w:val="Normal"/>
    <w:uiPriority w:val="34"/>
    <w:rsid w:val="002528CC"/>
    <w:pPr>
      <w:ind w:left="708"/>
    </w:pPr>
  </w:style>
  <w:style w:type="character" w:customStyle="1" w:styleId="TopptekstTegn">
    <w:name w:val="Topptekst Tegn"/>
    <w:basedOn w:val="DefaultParagraphFont"/>
    <w:link w:val="Header"/>
    <w:rsid w:val="00893FF9"/>
    <w:rPr>
      <w:rFonts w:ascii="Arial" w:hAnsi="Arial" w:cs="Arial"/>
      <w:szCs w:val="24"/>
    </w:rPr>
  </w:style>
  <w:style w:type="table" w:styleId="TableGrid2">
    <w:name w:val="Table Grid 2"/>
    <w:basedOn w:val="TableNormal"/>
    <w:unhideWhenUsed/>
    <w:rsid w:val="0004594A"/>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A90BA6"/>
    <w:pPr>
      <w:keepNext/>
      <w:keepLines/>
      <w:numPr>
        <w:numId w:val="0"/>
      </w:numPr>
      <w:spacing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8">
    <w:name w:val="toc 8"/>
    <w:basedOn w:val="Normal"/>
    <w:next w:val="Normal"/>
    <w:autoRedefine/>
    <w:unhideWhenUsed/>
    <w:rsid w:val="00A90BA6"/>
    <w:pPr>
      <w:ind w:left="1680"/>
    </w:pPr>
    <w:rPr>
      <w:rFonts w:cstheme="minorHAnsi"/>
      <w:sz w:val="20"/>
      <w:szCs w:val="20"/>
    </w:rPr>
  </w:style>
  <w:style w:type="paragraph" w:styleId="TOC9">
    <w:name w:val="toc 9"/>
    <w:basedOn w:val="Normal"/>
    <w:next w:val="Normal"/>
    <w:autoRedefine/>
    <w:unhideWhenUsed/>
    <w:rsid w:val="00A90BA6"/>
    <w:pPr>
      <w:ind w:left="1920"/>
    </w:pPr>
    <w:rPr>
      <w:rFonts w:cstheme="minorHAnsi"/>
      <w:sz w:val="20"/>
      <w:szCs w:val="20"/>
    </w:rPr>
  </w:style>
  <w:style w:type="paragraph" w:styleId="Subtitle">
    <w:name w:val="Subtitle"/>
    <w:basedOn w:val="Normal"/>
    <w:link w:val="UndertittelTegn"/>
    <w:qFormat/>
    <w:rsid w:val="00DE417E"/>
    <w:pPr>
      <w:spacing w:before="0" w:after="0"/>
    </w:pPr>
    <w:rPr>
      <w:rFonts w:ascii="Times New Roman" w:hAnsi="Times New Roman" w:cs="Times New Roman"/>
      <w:b/>
      <w:sz w:val="28"/>
      <w:szCs w:val="20"/>
    </w:rPr>
  </w:style>
  <w:style w:type="character" w:customStyle="1" w:styleId="UndertittelTegn">
    <w:name w:val="Undertittel Tegn"/>
    <w:basedOn w:val="DefaultParagraphFont"/>
    <w:link w:val="Subtitle"/>
    <w:rsid w:val="00DE417E"/>
    <w:rPr>
      <w:b/>
      <w:sz w:val="28"/>
    </w:rPr>
  </w:style>
  <w:style w:type="paragraph" w:styleId="BodyText2">
    <w:name w:val="Body Text 2"/>
    <w:basedOn w:val="Normal"/>
    <w:link w:val="Brdtekst2Tegn"/>
    <w:rsid w:val="00DE417E"/>
    <w:pPr>
      <w:spacing w:before="0" w:after="0"/>
    </w:pPr>
    <w:rPr>
      <w:rFonts w:ascii="Arial" w:hAnsi="Arial" w:cs="Times New Roman"/>
      <w:b/>
      <w:sz w:val="28"/>
      <w:szCs w:val="20"/>
    </w:rPr>
  </w:style>
  <w:style w:type="character" w:customStyle="1" w:styleId="Brdtekst2Tegn">
    <w:name w:val="Brødtekst 2 Tegn"/>
    <w:basedOn w:val="DefaultParagraphFont"/>
    <w:link w:val="BodyText2"/>
    <w:rsid w:val="00DE417E"/>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www.drugs-porphyria.org/" TargetMode="External" /><Relationship Id="rId8" Type="http://schemas.openxmlformats.org/officeDocument/2006/relationships/hyperlink" Target="https://helse-bergen.no/nasjonalt-kompetansesenter-for-porfyrisykdommer-napos/provetaking-og-innsending" TargetMode="External" /><Relationship Id="rId9" Type="http://schemas.openxmlformats.org/officeDocument/2006/relationships/hyperlink" Target="https://www.helse-bergen.no/49c8f3/siteassets/seksjon/napos/pdfer-som-kan-brukes-flere-steder/rutiner-for-sykehusbehandling-av-akutt-porfyrianfall.pdf" TargetMode="External" /></Relationships>
</file>

<file path=word/_rels/footer3.xml.rels><?xml version="1.0" encoding="utf-8" standalone="yes"?><Relationships xmlns="http://schemas.openxmlformats.org/package/2006/relationships"><Relationship Id="rId1" Type="http://schemas.openxmlformats.org/officeDocument/2006/relationships/hyperlink" Target="https://www.helse-bergen.no/nasjonalt-kompetansesenter-for-porfyrisykdommer-napos" TargetMode="External" /><Relationship Id="rId2" Type="http://schemas.openxmlformats.org/officeDocument/2006/relationships/hyperlink" Target="mailto:porfyri@helse-bergen.no"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IDTOR\APPDATA\ROAMING\MICROSOFT\TEMPLATES\OPERATIV.DOTM" TargetMode="External" /></Relationships>
</file>

<file path=word/theme/theme1.xml><?xml version="1.0" encoding="utf-8"?>
<a:theme xmlns:a="http://schemas.openxmlformats.org/drawingml/2006/main" name="Napos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B2CAE9">
            <a:alpha val="40000"/>
          </a:srgbClr>
        </a:solidFill>
        <a:ln w="25400">
          <a:no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607F66-EF0C-4CA5-84BB-2452EA9C3D4F}">
  <we:reference id="1fc441d0-c012-4ded-878a-44e68ea26eb9" version="3.5.0.0" store="EXCatalog" storeType="excatalog"/>
  <we:alternateReferences>
    <we:reference id="WA200003024" version="3.5.0.0" store="nb-NO" storeType="omex"/>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75802-D14D-4CCD-BDFC-CE98187FB587}">
  <ds:schemaRefs>
    <ds:schemaRef ds:uri="http://schemas.openxmlformats.org/officeDocument/2006/bibliography"/>
  </ds:schemaRefs>
</ds:datastoreItem>
</file>

<file path=docMetadata/LabelInfo.xml><?xml version="1.0" encoding="utf-8"?>
<clbl:labelList xmlns:clbl="http://schemas.microsoft.com/office/2020/mipLabelMetadata">
  <clbl:label id="{0c3ffc1c-ef00-4620-9c2f-7d9c1597774b}" enabled="1" method="Standard" siteId="{bdcbe535-f3cf-49f5-8a6a-fb6d98dc7837}" contentBits="2" removed="0"/>
</clbl:labelList>
</file>

<file path=docProps/app.xml><?xml version="1.0" encoding="utf-8"?>
<Properties xmlns="http://schemas.openxmlformats.org/officeDocument/2006/extended-properties" xmlns:vt="http://schemas.openxmlformats.org/officeDocument/2006/docPropsVTypes">
  <Template>OPERATIV_EK3TEMPDISABLED</Template>
  <TotalTime>317</TotalTime>
  <Pages>5</Pages>
  <Words>1198</Words>
  <Characters>8332</Characters>
  <Application>Microsoft Office Word</Application>
  <DocSecurity>0</DocSecurity>
  <Lines>69</Lines>
  <Paragraphs>19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Retningslinje for anestesi, pre-, per- og postoperativ  oppfølging for pasienter som har eller er genetisk disponert  for akutte porfyrisykdommer</vt:lpstr>
      <vt:lpstr>MIA - Mal for prosedyrer, generell</vt:lpstr>
    </vt:vector>
  </TitlesOfParts>
  <Company>Datakvalitet</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Retningslinje for anestesi, pre-, per- og postoperativ oppfølging for pasienter som har eller er genetisk disponert for akutte porfyrisykdommer</dc:title>
  <dc:subject>0003021304|[RefNr]|</dc:subject>
  <dc:creator>Handbok</dc:creator>
  <cp:lastModifiedBy>Duinker, Irene Karin Lillestøl</cp:lastModifiedBy>
  <cp:revision>49</cp:revision>
  <cp:lastPrinted>2010-11-18T08:34:00Z</cp:lastPrinted>
  <dcterms:created xsi:type="dcterms:W3CDTF">2022-07-22T08:20:00Z</dcterms:created>
  <dcterms:modified xsi:type="dcterms:W3CDTF">2026-06-12T12:35:00Z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250c026f,74b17ca7,1827029d</vt:lpwstr>
  </property>
  <property fmtid="{D5CDD505-2E9C-101B-9397-08002B2CF9AE}" pid="4" name="ClassificationContentMarkingFooterText">
    <vt:lpwstr>Følsomhet Intern (gul)</vt:lpwstr>
  </property>
  <property fmtid="{D5CDD505-2E9C-101B-9397-08002B2CF9AE}" pid="5" name="EK_Bedriftsnavn">
    <vt:lpwstr>Helse Bergen</vt:lpwstr>
  </property>
  <property fmtid="{D5CDD505-2E9C-101B-9397-08002B2CF9AE}" pid="6" name="EK_DokTittel">
    <vt:lpwstr>Retningslinje for anestesi, pre-, per- og postoperativ oppfølging for pasienter som har eller er genetisk disponert for akutte porfyrisykdommer</vt:lpwstr>
  </property>
  <property fmtid="{D5CDD505-2E9C-101B-9397-08002B2CF9AE}" pid="7" name="EK_DokumentID">
    <vt:lpwstr>D84863</vt:lpwstr>
  </property>
  <property fmtid="{D5CDD505-2E9C-101B-9397-08002B2CF9AE}" pid="8" name="EK_EKPrintMerke">
    <vt:lpwstr>Uoffisiell utskrift er kun gyldig på utskriftsdato</vt:lpwstr>
  </property>
  <property fmtid="{D5CDD505-2E9C-101B-9397-08002B2CF9AE}" pid="9" name="EK_GjelderFra">
    <vt:lpwstr>17.06.2026</vt:lpwstr>
  </property>
  <property fmtid="{D5CDD505-2E9C-101B-9397-08002B2CF9AE}" pid="10" name="EK_RefNr">
    <vt:lpwstr>13.4.24.8-11</vt:lpwstr>
  </property>
  <property fmtid="{D5CDD505-2E9C-101B-9397-08002B2CF9AE}" pid="11" name="EK_S00MT10400">
    <vt:lpwstr>[ ]</vt:lpwstr>
  </property>
  <property fmtid="{D5CDD505-2E9C-101B-9397-08002B2CF9AE}" pid="12" name="EK_Signatur">
    <vt:lpwstr>[Signatur]</vt:lpwstr>
  </property>
  <property fmtid="{D5CDD505-2E9C-101B-9397-08002B2CF9AE}" pid="13" name="EK_Utgave">
    <vt:lpwstr>1.00</vt:lpwstr>
  </property>
  <property fmtid="{D5CDD505-2E9C-101B-9397-08002B2CF9AE}" pid="14" name="EK_Watermark">
    <vt:lpwstr>Vannmerke</vt:lpwstr>
  </property>
  <property fmtid="{D5CDD505-2E9C-101B-9397-08002B2CF9AE}" pid="15" name="MSIP_Label_0c3ffc1c-ef00-4620-9c2f-7d9c1597774b_ActionId">
    <vt:lpwstr>1ca5a0ea-326f-4cbe-b8db-e5eb605c759f</vt:lpwstr>
  </property>
  <property fmtid="{D5CDD505-2E9C-101B-9397-08002B2CF9AE}" pid="16" name="MSIP_Label_0c3ffc1c-ef00-4620-9c2f-7d9c1597774b_ContentBits">
    <vt:lpwstr>2</vt:lpwstr>
  </property>
  <property fmtid="{D5CDD505-2E9C-101B-9397-08002B2CF9AE}" pid="17" name="MSIP_Label_0c3ffc1c-ef00-4620-9c2f-7d9c1597774b_Enabled">
    <vt:lpwstr>true</vt:lpwstr>
  </property>
  <property fmtid="{D5CDD505-2E9C-101B-9397-08002B2CF9AE}" pid="18" name="MSIP_Label_0c3ffc1c-ef00-4620-9c2f-7d9c1597774b_Method">
    <vt:lpwstr>Standard</vt:lpwstr>
  </property>
  <property fmtid="{D5CDD505-2E9C-101B-9397-08002B2CF9AE}" pid="19" name="MSIP_Label_0c3ffc1c-ef00-4620-9c2f-7d9c1597774b_Name">
    <vt:lpwstr>Intern</vt:lpwstr>
  </property>
  <property fmtid="{D5CDD505-2E9C-101B-9397-08002B2CF9AE}" pid="20" name="MSIP_Label_0c3ffc1c-ef00-4620-9c2f-7d9c1597774b_SetDate">
    <vt:lpwstr>2025-10-28T10:15:27Z</vt:lpwstr>
  </property>
  <property fmtid="{D5CDD505-2E9C-101B-9397-08002B2CF9AE}" pid="21" name="MSIP_Label_0c3ffc1c-ef00-4620-9c2f-7d9c1597774b_SiteId">
    <vt:lpwstr>bdcbe535-f3cf-49f5-8a6a-fb6d98dc7837</vt:lpwstr>
  </property>
  <property fmtid="{D5CDD505-2E9C-101B-9397-08002B2CF9AE}" pid="22" name="MSIP_Label_0c3ffc1c-ef00-4620-9c2f-7d9c1597774b_Tag">
    <vt:lpwstr>10, 3, 0, 1</vt:lpwstr>
  </property>
  <property fmtid="{D5CDD505-2E9C-101B-9397-08002B2CF9AE}" pid="23" name="XRT11777">
    <vt:lpwstr>Rutiner for sykehusbehandling av akutte porfyrianfall (pdf)</vt:lpwstr>
  </property>
</Properties>
</file>