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sz w:val="22"/>
        </w:rPr>
      </w:sdtEndPr>
      <w:sdtContent>
        <w:p w:rsidR="00A55D47" w:rsidRPr="00066A58" w:rsidP="00066A58" w14:paraId="4B3E9AD0" w14:textId="77777777">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Ansvar og roller</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Und</w:t>
            </w:r>
            <w:r w:rsidR="00642296">
              <w:rPr>
                <w:rStyle w:val="Hyperlink"/>
              </w:rPr>
              <w:t>e</w:t>
            </w:r>
            <w:r>
              <w:rPr>
                <w:rStyle w:val="Hyperlink"/>
              </w:rPr>
              <w:t>rsøkelser ved mistanke om svinn, og kontakt med Svinngruppen</w:t>
            </w:r>
            <w:r>
              <w:tab/>
            </w:r>
            <w:r>
              <w:fldChar w:fldCharType="begin"/>
            </w:r>
            <w:r>
              <w:instrText xml:space="preserve"> PAGEREF _Toc256000002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3" w:history="1">
            <w:r>
              <w:rPr>
                <w:rStyle w:val="Hyperlink"/>
              </w:rPr>
              <w:t>3.1</w:t>
            </w:r>
            <w:r>
              <w:rPr>
                <w:rFonts w:asciiTheme="minorHAnsi" w:hAnsiTheme="minorHAnsi"/>
                <w:noProof/>
                <w:sz w:val="22"/>
              </w:rPr>
              <w:tab/>
            </w:r>
            <w:r w:rsidRPr="00A24618">
              <w:rPr>
                <w:rStyle w:val="Hyperlink"/>
              </w:rPr>
              <w:t>Innledende fase</w:t>
            </w:r>
            <w:r>
              <w:tab/>
            </w:r>
            <w:r>
              <w:fldChar w:fldCharType="begin"/>
            </w:r>
            <w:r>
              <w:instrText xml:space="preserve"> PAGEREF _Toc256000003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3.2</w:t>
            </w:r>
            <w:r>
              <w:rPr>
                <w:rFonts w:asciiTheme="minorHAnsi" w:hAnsiTheme="minorHAnsi"/>
                <w:noProof/>
                <w:sz w:val="22"/>
              </w:rPr>
              <w:tab/>
            </w:r>
            <w:r w:rsidRPr="00C71CE6">
              <w:rPr>
                <w:rStyle w:val="Hyperlink"/>
              </w:rPr>
              <w:t>Kartleggingsfasen</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3.3</w:t>
            </w:r>
            <w:r>
              <w:rPr>
                <w:rFonts w:asciiTheme="minorHAnsi" w:hAnsiTheme="minorHAnsi"/>
                <w:noProof/>
                <w:sz w:val="22"/>
              </w:rPr>
              <w:tab/>
            </w:r>
            <w:r w:rsidRPr="00C71CE6">
              <w:rPr>
                <w:rStyle w:val="Hyperlink"/>
              </w:rPr>
              <w:t>Konklusjoner og veien videre</w:t>
            </w:r>
            <w:r>
              <w:tab/>
            </w:r>
            <w:r>
              <w:fldChar w:fldCharType="begin"/>
            </w:r>
            <w:r>
              <w:instrText xml:space="preserve"> PAGEREF _Toc256000005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6" w:history="1">
            <w:r>
              <w:rPr>
                <w:rStyle w:val="Hyperlink"/>
              </w:rPr>
              <w:t>4</w:t>
            </w:r>
            <w:r>
              <w:rPr>
                <w:rFonts w:asciiTheme="minorHAnsi" w:hAnsiTheme="minorHAnsi"/>
                <w:noProof/>
                <w:sz w:val="22"/>
              </w:rPr>
              <w:tab/>
            </w:r>
            <w:r>
              <w:rPr>
                <w:rStyle w:val="Hyperlink"/>
              </w:rPr>
              <w:t>Referanser</w:t>
            </w:r>
            <w:r>
              <w:tab/>
            </w:r>
            <w:r>
              <w:fldChar w:fldCharType="begin"/>
            </w:r>
            <w:r>
              <w:instrText xml:space="preserve"> PAGEREF _Toc256000006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07" w:history="1">
            <w:r>
              <w:rPr>
                <w:rStyle w:val="Hyperlink"/>
              </w:rPr>
              <w:t>5</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_Toc256000007 \h </w:instrText>
            </w:r>
            <w:r>
              <w:fldChar w:fldCharType="separate"/>
            </w:r>
            <w:r>
              <w:t>4</w:t>
            </w:r>
            <w:r>
              <w:fldChar w:fldCharType="end"/>
            </w:r>
          </w:hyperlink>
        </w:p>
        <w:p w:rsidR="00A55D47" w:rsidP="00066A58">
          <w:pPr>
            <w:spacing w:line="259" w:lineRule="auto"/>
          </w:pPr>
          <w:r w:rsidRPr="00066A58">
            <w:rPr>
              <w:rFonts w:cstheme="minorHAnsi"/>
              <w:sz w:val="20"/>
            </w:rPr>
            <w:fldChar w:fldCharType="end"/>
          </w:r>
        </w:p>
      </w:sdtContent>
    </w:sdt>
    <w:p w:rsidR="00CB3EB0" w:rsidP="00066A58" w14:paraId="4B3E9ADA" w14:textId="77777777">
      <w:pPr>
        <w:pStyle w:val="Heading1"/>
        <w:spacing w:line="259" w:lineRule="auto"/>
      </w:pPr>
      <w:bookmarkStart w:id="1" w:name="_Toc256000000"/>
      <w:r>
        <w:t>Hensikt</w:t>
      </w:r>
      <w:bookmarkEnd w:id="1"/>
    </w:p>
    <w:p w:rsidR="00C71CE6" w:rsidP="00C71CE6" w14:paraId="7AC0F48C" w14:textId="77777777"/>
    <w:p w:rsidR="00C71CE6" w:rsidRPr="00C71CE6" w:rsidP="00C71CE6" w14:paraId="1F37DFFD" w14:textId="7BF17FCE">
      <w:r w:rsidRPr="00C71CE6">
        <w:t xml:space="preserve">Retningslinjen beskriver oppfølging ved mistanke om svinn eller tyveri av A- og B-preparater. Målet er at ledere som mistenker, får informasjon om, eller avdekker svinn i enheten, skal få støtte til å håndtere svinnsaker. Større svinn i en enhet utfordrer ledere, er krevende for arbeidsmiljøet, og kan utgjøre en risiko for pasientsikkerheten. Det er derfor viktig at man har gode rutiner og at stabsavdelingene støtter ledere som står i disse situasjonene. </w:t>
      </w:r>
    </w:p>
    <w:p w:rsidR="00C71CE6" w:rsidRPr="00C71CE6" w:rsidP="00C71CE6" w14:paraId="3D98BF08" w14:textId="77777777">
      <w:r w:rsidRPr="00C71CE6">
        <w:t xml:space="preserve"> </w:t>
      </w:r>
    </w:p>
    <w:p w:rsidR="00DF7BA8" w:rsidP="00C71CE6" w14:paraId="4B3E9ADB" w14:textId="310E4C73">
      <w:r w:rsidRPr="00C71CE6">
        <w:t xml:space="preserve">Det foreligger en egen retningslinje for </w:t>
      </w:r>
      <w:hyperlink r:id="rId5" w:history="1">
        <w:r w:rsidRPr="00C71CE6">
          <w:rPr>
            <w:rStyle w:val="Hyperlink"/>
            <w:sz w:val="22"/>
          </w:rPr>
          <w:t>A- og B-preparate</w:t>
        </w:r>
        <w:r>
          <w:rPr>
            <w:rStyle w:val="Hyperlink"/>
            <w:sz w:val="22"/>
          </w:rPr>
          <w:t>r - kontroll med innkjøp og forbruk</w:t>
        </w:r>
      </w:hyperlink>
      <w:r w:rsidRPr="00C71CE6">
        <w:t xml:space="preserve"> for å forebygge svinn.</w:t>
      </w:r>
    </w:p>
    <w:p w:rsidR="00C71CE6" w:rsidRPr="00DF7BA8" w:rsidP="00C71CE6" w14:paraId="61FAD877" w14:textId="77777777">
      <w:pPr>
        <w:spacing w:line="259" w:lineRule="auto"/>
        <w:rPr>
          <w:rFonts w:cstheme="minorHAnsi"/>
          <w:color w:val="808080" w:themeColor="background1" w:themeShade="80"/>
        </w:rPr>
      </w:pPr>
    </w:p>
    <w:p w:rsidR="002744C3" w:rsidP="00066A58" w14:paraId="4B3E9ADC" w14:textId="4D8440BC">
      <w:pPr>
        <w:pStyle w:val="Heading1"/>
        <w:spacing w:line="259" w:lineRule="auto"/>
      </w:pPr>
      <w:bookmarkStart w:id="2" w:name="_Toc256000001"/>
      <w:r>
        <w:t>Ansvar og roller</w:t>
      </w:r>
      <w:bookmarkEnd w:id="2"/>
    </w:p>
    <w:p w:rsidR="00C71CE6" w:rsidP="00C71CE6" w14:paraId="63D6F45A" w14:textId="77777777"/>
    <w:p w:rsidR="00C71CE6" w:rsidP="00C71CE6" w14:paraId="431EC6DE" w14:textId="5772A2A8">
      <w:r w:rsidRPr="00C71CE6">
        <w:rPr>
          <w:b/>
          <w:bCs/>
        </w:rPr>
        <w:t>Nivå 3-leder</w:t>
      </w:r>
      <w:r>
        <w:t xml:space="preserve"> som mistenker, får informasjon om, eller avdekker større svinn ved interne kontroller i enheten, har hovedansvar for oppfølging av saken. Nivå 3-leder informerer aktuelle ledere på nivå 2.1 eller nivå 2, personalrådgiver og farmasøyt tilknyttet enheten. Eventuell informasjon om svinnet til vernetjeneste, tillitsvalgte og medarbeidere i enheten, bør avklares med Svinngruppen. </w:t>
      </w:r>
    </w:p>
    <w:p w:rsidR="00C71CE6" w:rsidP="00C71CE6" w14:paraId="0EC0005A" w14:textId="77777777"/>
    <w:p w:rsidR="00C71CE6" w:rsidP="00C71CE6" w14:paraId="76DA3E08" w14:textId="77777777">
      <w:r w:rsidRPr="00C71CE6">
        <w:rPr>
          <w:b/>
          <w:bCs/>
        </w:rPr>
        <w:t>Personalrådgiver tilknyttet enheten</w:t>
      </w:r>
      <w:r>
        <w:t xml:space="preserve"> skal bidra til saksbehandling og eventuell personaloppfølging gjennom prosessen, og delta i møter med medarbeidere ved behov.  </w:t>
      </w:r>
    </w:p>
    <w:p w:rsidR="00C71CE6" w:rsidP="00C71CE6" w14:paraId="2D8AA1BB" w14:textId="77777777"/>
    <w:p w:rsidR="00C71CE6" w:rsidP="00C71CE6" w14:paraId="3A6B6145" w14:textId="77777777">
      <w:r w:rsidRPr="00C71CE6">
        <w:rPr>
          <w:b/>
          <w:bCs/>
        </w:rPr>
        <w:t>Farmasøyt tilknyttet enheten</w:t>
      </w:r>
      <w:r>
        <w:t xml:space="preserve"> kan på forespørsel fra Nivå 3-leder eller Svinngruppen eksempelvis bistå med praktiske råd, tolkning av rapporter, gjennomgang av enhetens rutiner knyttet til kontroll med A- og B-preparater, og relevant undervisning i enheten. </w:t>
      </w:r>
    </w:p>
    <w:p w:rsidR="00C71CE6" w:rsidP="00C71CE6" w14:paraId="447F61D8" w14:textId="77777777"/>
    <w:p w:rsidR="00C71CE6" w:rsidP="00C71CE6" w14:paraId="65D963C6" w14:textId="3C326FD1">
      <w:r w:rsidRPr="00C71CE6">
        <w:rPr>
          <w:b/>
          <w:bCs/>
        </w:rPr>
        <w:t xml:space="preserve">Nivå </w:t>
      </w:r>
      <w:r w:rsidRPr="00C71CE6">
        <w:rPr>
          <w:b/>
          <w:bCs/>
        </w:rPr>
        <w:t>2-leder</w:t>
      </w:r>
      <w:r>
        <w:t xml:space="preserve"> har ansvar for å bistå leder ved aktuell enhet ved mistanke om tyveri eller underslag av A- og/eller B-preparater, samt signere eventuell politianmeldelse av tyveri uten kjent gjerningsperson, og melding til tilsynsmyndighetene, jamfør </w:t>
      </w:r>
      <w:hyperlink r:id="rId6" w:history="1">
        <w:r w:rsidRPr="00E1032B">
          <w:rPr>
            <w:rStyle w:val="Hyperlink"/>
            <w:sz w:val="22"/>
          </w:rPr>
          <w:t xml:space="preserve">Mal for </w:t>
        </w:r>
        <w:r w:rsidRPr="00E1032B">
          <w:rPr>
            <w:rStyle w:val="Hyperlink"/>
            <w:sz w:val="22"/>
          </w:rPr>
          <w:t>full</w:t>
        </w:r>
        <w:r w:rsidRPr="00E1032B">
          <w:rPr>
            <w:rStyle w:val="Hyperlink"/>
            <w:sz w:val="22"/>
          </w:rPr>
          <w:t>m</w:t>
        </w:r>
        <w:r w:rsidRPr="00E1032B">
          <w:rPr>
            <w:rStyle w:val="Hyperlink"/>
            <w:sz w:val="22"/>
          </w:rPr>
          <w:t>aktsmatrise</w:t>
        </w:r>
      </w:hyperlink>
      <w:r>
        <w:t xml:space="preserve">. Fullmakten til å anmelde egne ansatte er </w:t>
      </w:r>
      <w:hyperlink r:id="rId7" w:history="1">
        <w:r w:rsidRPr="00B51F9B">
          <w:rPr>
            <w:rStyle w:val="Hyperlink"/>
            <w:sz w:val="22"/>
          </w:rPr>
          <w:t>delegert til P</w:t>
        </w:r>
        <w:r w:rsidRPr="00B51F9B">
          <w:rPr>
            <w:rStyle w:val="Hyperlink"/>
            <w:sz w:val="22"/>
          </w:rPr>
          <w:t>e</w:t>
        </w:r>
        <w:r w:rsidRPr="00B51F9B">
          <w:rPr>
            <w:rStyle w:val="Hyperlink"/>
            <w:sz w:val="22"/>
          </w:rPr>
          <w:t>rsonal- og organisasjonsdirektør</w:t>
        </w:r>
      </w:hyperlink>
      <w:r>
        <w:t>.</w:t>
      </w:r>
    </w:p>
    <w:p w:rsidR="00C71CE6" w:rsidP="00C71CE6" w14:paraId="5FD587A2" w14:textId="77777777"/>
    <w:p w:rsidR="00C71CE6" w:rsidP="00C71CE6" w14:paraId="1DC1307D" w14:textId="77777777">
      <w:r>
        <w:t>Nivå 2-leder skal sikre at nivå 3-leder eller nivå 2.1-leder ivaretas og får bistand gjennom hele prosessen. Dette kan skje i samarbeid med personalrådgiver tilknyttet enheten.</w:t>
      </w:r>
    </w:p>
    <w:p w:rsidR="00C71CE6" w:rsidP="00C71CE6" w14:paraId="176DEEB3" w14:textId="77777777"/>
    <w:p w:rsidR="00C450FE" w:rsidP="00C71CE6" w14:paraId="4B3E9ADD" w14:textId="12CFAFB3">
      <w:r w:rsidRPr="00C71CE6">
        <w:rPr>
          <w:b/>
          <w:bCs/>
        </w:rPr>
        <w:t>Svinngruppen</w:t>
      </w:r>
      <w:r>
        <w:t xml:space="preserve"> kan bistå ledere med vurderinger, veiledning og råd ved mistanke om, eller bekreftet svinn av A- og B-preparater, se </w:t>
      </w:r>
      <w:hyperlink r:id="rId8" w:history="1">
        <w:r w:rsidRPr="00C71CE6">
          <w:rPr>
            <w:rStyle w:val="Hyperlink"/>
            <w:sz w:val="22"/>
          </w:rPr>
          <w:t>Mandat Svinngruppen</w:t>
        </w:r>
      </w:hyperlink>
      <w:r>
        <w:t>.</w:t>
      </w:r>
    </w:p>
    <w:p w:rsidR="00C71CE6" w:rsidRPr="00C450FE" w:rsidP="00C71CE6" w14:paraId="7F0DEDC4" w14:textId="77777777"/>
    <w:p w:rsidR="00DF7BA8" w:rsidP="00066A58" w14:paraId="4B3E9ADE" w14:textId="4698C2C1">
      <w:pPr>
        <w:pStyle w:val="Heading1"/>
        <w:spacing w:line="259" w:lineRule="auto"/>
      </w:pPr>
      <w:bookmarkStart w:id="3" w:name="_Toc256000002"/>
      <w:r>
        <w:t>Und</w:t>
      </w:r>
      <w:r w:rsidR="00642296">
        <w:t>e</w:t>
      </w:r>
      <w:r>
        <w:t>rsøkelser ved mistanke om svinn, og kontakt med Svinngruppen</w:t>
      </w:r>
      <w:bookmarkEnd w:id="3"/>
    </w:p>
    <w:p w:rsidR="00C71CE6" w:rsidP="00C71CE6" w14:paraId="00B31CDD" w14:textId="77777777"/>
    <w:p w:rsidR="00C71CE6" w:rsidP="00C71CE6" w14:paraId="2FADF037" w14:textId="39568EBA">
      <w:r w:rsidRPr="00C71CE6">
        <w:t xml:space="preserve">Dersom differansen mellom faktisk beholdning og teoretisk beholdning, som fremkommer ved periodisk oppgjør, overstiger veiledende akseptgrenser, må det forsøkes å finne en </w:t>
      </w:r>
      <w:r w:rsidRPr="00C71CE6">
        <w:t>forklaring på avviket.</w:t>
      </w:r>
    </w:p>
    <w:p w:rsidR="00A24618" w:rsidRPr="00C71CE6" w:rsidP="00C71CE6" w14:paraId="5EBC8842" w14:textId="77777777"/>
    <w:p w:rsidR="00C71CE6" w:rsidRPr="00C71CE6" w:rsidP="00C71CE6" w14:paraId="3EE535E9" w14:textId="77777777">
      <w:r w:rsidRPr="00C71CE6">
        <w:t xml:space="preserve">Akseptgrensene er inntil; </w:t>
      </w:r>
    </w:p>
    <w:p w:rsidR="00A24618" w:rsidP="00A71B03" w14:paraId="6BA9D539" w14:textId="77777777">
      <w:pPr>
        <w:pStyle w:val="ListParagraph"/>
        <w:numPr>
          <w:ilvl w:val="0"/>
          <w:numId w:val="31"/>
        </w:numPr>
      </w:pPr>
      <w:r>
        <w:t xml:space="preserve">1 % for avdelte doser som tabletter, ampuller og liknende </w:t>
      </w:r>
    </w:p>
    <w:p w:rsidR="00A24618" w:rsidP="00A71B03" w14:paraId="7591AF6F" w14:textId="77777777">
      <w:pPr>
        <w:pStyle w:val="ListParagraph"/>
        <w:numPr>
          <w:ilvl w:val="0"/>
          <w:numId w:val="31"/>
        </w:numPr>
      </w:pPr>
      <w:r>
        <w:t xml:space="preserve">5 % volumavvik for hetteglass </w:t>
      </w:r>
    </w:p>
    <w:p w:rsidR="00C71CE6" w:rsidP="00A71B03" w14:paraId="1C861DB2" w14:textId="6D65CDB6">
      <w:pPr>
        <w:pStyle w:val="ListParagraph"/>
        <w:numPr>
          <w:ilvl w:val="0"/>
          <w:numId w:val="31"/>
        </w:numPr>
      </w:pPr>
      <w:r>
        <w:t>10 % volumavvik for miksturer</w:t>
      </w:r>
    </w:p>
    <w:p w:rsidR="00A24618" w:rsidRPr="00C71CE6" w:rsidP="00A24618" w14:paraId="7CF2FCB7" w14:textId="77777777"/>
    <w:p w:rsidR="00C71CE6" w:rsidRPr="00C71CE6" w:rsidP="00C71CE6" w14:paraId="602E078F" w14:textId="77777777">
      <w:r w:rsidRPr="00C71CE6">
        <w:t xml:space="preserve">Dersom det ikke er en opplagt forklaring på differansen, må det gjøres ytterligere kartlegginger/undersøkelser. </w:t>
      </w:r>
    </w:p>
    <w:p w:rsidR="00C71CE6" w:rsidRPr="00C71CE6" w:rsidP="00C71CE6" w14:paraId="60E4E73E" w14:textId="77777777"/>
    <w:p w:rsidR="00C71CE6" w:rsidRPr="00A24618" w:rsidP="00A24618" w14:paraId="48881DC0" w14:textId="52EE521A">
      <w:pPr>
        <w:pStyle w:val="Heading2"/>
      </w:pPr>
      <w:bookmarkStart w:id="4" w:name="_Toc256000003"/>
      <w:r w:rsidRPr="00A24618">
        <w:t>Innledende fase</w:t>
      </w:r>
      <w:bookmarkEnd w:id="4"/>
    </w:p>
    <w:p w:rsidR="00A24618" w:rsidP="00C71CE6" w14:paraId="22696228" w14:textId="77777777"/>
    <w:p w:rsidR="00C71CE6" w:rsidRPr="00A24618" w:rsidP="00C71CE6" w14:paraId="28EA1BA1" w14:textId="3D9F46BC">
      <w:pPr>
        <w:rPr>
          <w:u w:val="single"/>
        </w:rPr>
      </w:pPr>
      <w:r w:rsidRPr="00A24618">
        <w:rPr>
          <w:u w:val="single"/>
        </w:rPr>
        <w:t>Aktuelle innledende undersøkelser i enheten:</w:t>
      </w:r>
    </w:p>
    <w:p w:rsidR="00C71CE6" w:rsidRPr="00C71CE6" w:rsidP="00A71B03" w14:paraId="3832B0E7" w14:textId="7266F12C">
      <w:pPr>
        <w:pStyle w:val="ListParagraph"/>
        <w:numPr>
          <w:ilvl w:val="0"/>
          <w:numId w:val="31"/>
        </w:numPr>
      </w:pPr>
      <w:r w:rsidRPr="00C71CE6">
        <w:t>Er kontrolltellinger gjennomført og dokumentert i regnskapet?</w:t>
      </w:r>
    </w:p>
    <w:p w:rsidR="00C71CE6" w:rsidRPr="00C71CE6" w:rsidP="00A71B03" w14:paraId="0BB9575A" w14:textId="7B9F32E3">
      <w:pPr>
        <w:pStyle w:val="ListParagraph"/>
        <w:numPr>
          <w:ilvl w:val="0"/>
          <w:numId w:val="31"/>
        </w:numPr>
      </w:pPr>
      <w:r w:rsidRPr="00C71CE6">
        <w:t>Har det vært samsvar mellom faktisk og teoretisk beholdning ved kontrolltellingene?</w:t>
      </w:r>
    </w:p>
    <w:p w:rsidR="00C71CE6" w:rsidRPr="00C71CE6" w:rsidP="00A71B03" w14:paraId="6058CB78" w14:textId="5C4AE166">
      <w:pPr>
        <w:pStyle w:val="ListParagraph"/>
        <w:numPr>
          <w:ilvl w:val="0"/>
          <w:numId w:val="31"/>
        </w:numPr>
      </w:pPr>
      <w:r w:rsidRPr="00C71CE6">
        <w:t>Har det vært unormalt mange uttak av legemidlet i aktuell tidsperiode?</w:t>
      </w:r>
    </w:p>
    <w:p w:rsidR="00C71CE6" w:rsidRPr="00C71CE6" w:rsidP="00A71B03" w14:paraId="4982A823" w14:textId="43F2D0F8">
      <w:pPr>
        <w:pStyle w:val="ListParagraph"/>
        <w:numPr>
          <w:ilvl w:val="0"/>
          <w:numId w:val="31"/>
        </w:numPr>
      </w:pPr>
      <w:r w:rsidRPr="00C71CE6">
        <w:t>Er alle mottak og uttak av legemidlet dobbeltkontrollert?</w:t>
      </w:r>
    </w:p>
    <w:p w:rsidR="00C71CE6" w:rsidRPr="00C71CE6" w:rsidP="00A71B03" w14:paraId="347935FC" w14:textId="3650A601">
      <w:pPr>
        <w:pStyle w:val="ListParagraph"/>
        <w:numPr>
          <w:ilvl w:val="0"/>
          <w:numId w:val="31"/>
        </w:numPr>
      </w:pPr>
      <w:r w:rsidRPr="00C71CE6">
        <w:t>Er det mange endringer/overstrykninger i regnskapsskjemaet?</w:t>
      </w:r>
    </w:p>
    <w:p w:rsidR="00C71CE6" w:rsidRPr="00C71CE6" w:rsidP="00A71B03" w14:paraId="2918D446" w14:textId="672F4CBE">
      <w:pPr>
        <w:pStyle w:val="ListParagraph"/>
        <w:numPr>
          <w:ilvl w:val="0"/>
          <w:numId w:val="31"/>
        </w:numPr>
      </w:pPr>
      <w:r w:rsidRPr="00C71CE6">
        <w:t>Har det vært avvik mellom faktisk og teoretisk beholdning for samme legemiddel (inkludert andre styrker og pakninger) ved tidligere oppgjør?</w:t>
      </w:r>
    </w:p>
    <w:p w:rsidR="00C71CE6" w:rsidRPr="00C71CE6" w:rsidP="00A71B03" w14:paraId="38943F19" w14:textId="3F7E7BBE">
      <w:pPr>
        <w:pStyle w:val="ListParagraph"/>
        <w:numPr>
          <w:ilvl w:val="0"/>
          <w:numId w:val="31"/>
        </w:numPr>
      </w:pPr>
      <w:r w:rsidRPr="00C71CE6">
        <w:t>Er det tilsvarende avvik også for andre A- eller B-preparater i dette oppgjøret?</w:t>
      </w:r>
    </w:p>
    <w:p w:rsidR="00C71CE6" w:rsidRPr="00C71CE6" w:rsidP="00A71B03" w14:paraId="2A45685E" w14:textId="189D4DF0">
      <w:pPr>
        <w:pStyle w:val="ListParagraph"/>
        <w:numPr>
          <w:ilvl w:val="0"/>
          <w:numId w:val="31"/>
        </w:numPr>
      </w:pPr>
      <w:r w:rsidRPr="00C71CE6">
        <w:t xml:space="preserve">Dokumenteres generisk bytte som det skal i Meona, slik at det er samsvar mellom ordinert og utdelt </w:t>
      </w:r>
      <w:r w:rsidRPr="00C71CE6">
        <w:t>legemiddel?</w:t>
      </w:r>
    </w:p>
    <w:p w:rsidR="00C71CE6" w:rsidRPr="00C71CE6" w:rsidP="00C71CE6" w14:paraId="43C1A029" w14:textId="77777777"/>
    <w:p w:rsidR="00C71CE6" w:rsidRPr="00C71CE6" w:rsidP="00C71CE6" w14:paraId="762A1FB4" w14:textId="55A23A08">
      <w:r w:rsidRPr="00C71CE6">
        <w:t xml:space="preserve">Se også </w:t>
      </w:r>
      <w:hyperlink r:id="rId9" w:history="1">
        <w:r w:rsidRPr="00A24618">
          <w:rPr>
            <w:rStyle w:val="Hyperlink"/>
            <w:sz w:val="22"/>
          </w:rPr>
          <w:t>Praktiske tips og råd for kontroll med A- og B-preparater</w:t>
        </w:r>
      </w:hyperlink>
      <w:r w:rsidRPr="00C71CE6">
        <w:t>.</w:t>
      </w:r>
    </w:p>
    <w:p w:rsidR="00C71CE6" w:rsidRPr="00C71CE6" w:rsidP="00C71CE6" w14:paraId="490F424A" w14:textId="77777777"/>
    <w:p w:rsidR="00C71CE6" w:rsidP="00C71CE6" w14:paraId="5CD9A7C7" w14:textId="2A13D706">
      <w:r w:rsidRPr="00C71CE6">
        <w:t xml:space="preserve">Dersom det fortsatt er mistanke om svinn etter innledende undersøkelser er gjennomført, skal leder kontakte </w:t>
      </w:r>
      <w:hyperlink r:id="rId8" w:history="1">
        <w:r w:rsidRPr="00A24618">
          <w:rPr>
            <w:rStyle w:val="Hyperlink"/>
            <w:sz w:val="22"/>
          </w:rPr>
          <w:t>Svinngruppen</w:t>
        </w:r>
      </w:hyperlink>
      <w:r w:rsidRPr="00C71CE6">
        <w:t xml:space="preserve"> for råd.</w:t>
      </w:r>
    </w:p>
    <w:p w:rsidR="00A24618" w:rsidRPr="00C71CE6" w:rsidP="00C71CE6" w14:paraId="101D9489" w14:textId="77777777"/>
    <w:p w:rsidR="00C71CE6" w:rsidRPr="00C71CE6" w:rsidP="00C71CE6" w14:paraId="250663DF" w14:textId="77777777">
      <w:r w:rsidRPr="00C71CE6">
        <w:t xml:space="preserve">Svinngruppen skal gjennomføre et innledende møte med leder ved aktuell enhet så raskt som mulig etter første kontakt. </w:t>
      </w:r>
    </w:p>
    <w:p w:rsidR="00C71CE6" w:rsidRPr="00C71CE6" w:rsidP="00C71CE6" w14:paraId="01322F0B" w14:textId="77777777"/>
    <w:p w:rsidR="00C71CE6" w:rsidRPr="00C71CE6" w:rsidP="00C71CE6" w14:paraId="7D4361FA" w14:textId="77777777">
      <w:r w:rsidRPr="00C71CE6">
        <w:t>Svinngruppen har utarbeidet en utvidet sjekkliste som tilgjengeliggjøres for leder dersom det ikke finnes en forklaring på svinnet i innledende fase. Sjekklisten skal ikke distribueres videre, og eventuelle papirkopier skal makuleres når saken er avklart.</w:t>
      </w:r>
    </w:p>
    <w:p w:rsidR="00C71CE6" w:rsidRPr="00C71CE6" w:rsidP="00C71CE6" w14:paraId="1D12C1BD" w14:textId="77777777"/>
    <w:p w:rsidR="00C71CE6" w:rsidRPr="00C71CE6" w:rsidP="00A24618" w14:paraId="739F2FB9" w14:textId="483123CB">
      <w:pPr>
        <w:pStyle w:val="Heading2"/>
      </w:pPr>
      <w:bookmarkStart w:id="5" w:name="_Toc256000004"/>
      <w:r w:rsidRPr="00C71CE6">
        <w:t>Kartleggingsfasen</w:t>
      </w:r>
      <w:bookmarkEnd w:id="5"/>
    </w:p>
    <w:p w:rsidR="00A24618" w:rsidP="00C71CE6" w14:paraId="2D59DE14" w14:textId="77777777"/>
    <w:p w:rsidR="00C71CE6" w:rsidRPr="00C71CE6" w:rsidP="00C71CE6" w14:paraId="5F0A7822" w14:textId="5FE2C776">
      <w:r w:rsidRPr="00C71CE6">
        <w:t>Leder vil i dialog med Svinngruppen kunne få tilpassede råd, eksempelvis hvilke ytterligere kontroller og kartlegginger som kan og bør gjennomføres. I denne fasen er det også viktig å få kartlagt om det er noen risiko for pasienter i enheten knyttet til svinnsaken, f.eks</w:t>
      </w:r>
      <w:r w:rsidR="00A24618">
        <w:t>.</w:t>
      </w:r>
      <w:r w:rsidRPr="00C71CE6">
        <w:t xml:space="preserve"> risiko for fortynning av A- og B-preparater/at pasienter ikke mottar A- og B-preparater i henhold til ordinasjon.</w:t>
      </w:r>
    </w:p>
    <w:p w:rsidR="00C71CE6" w:rsidRPr="00C71CE6" w:rsidP="00C71CE6" w14:paraId="2FAFA517" w14:textId="77777777"/>
    <w:p w:rsidR="00C71CE6" w:rsidRPr="00C71CE6" w:rsidP="00C71CE6" w14:paraId="005D3D0D" w14:textId="77777777">
      <w:r w:rsidRPr="00C71CE6">
        <w:t>Svinngruppen oversender skjema for kartlegging av ansattes tilstedeværelse ved tilfeller av svinn til leder i saker hvor dette er aktuelt. Skjemaet skal ikke distribueres videre, og eventuelle papirkopier skal makuleres når saken er avklart.</w:t>
      </w:r>
    </w:p>
    <w:p w:rsidR="00C71CE6" w:rsidRPr="00C71CE6" w:rsidP="00C71CE6" w14:paraId="13FBB919" w14:textId="77777777"/>
    <w:p w:rsidR="00C71CE6" w:rsidRPr="00C71CE6" w:rsidP="00C71CE6" w14:paraId="3AF8AF5A" w14:textId="77777777">
      <w:r w:rsidRPr="00C71CE6">
        <w:t>Hospitaldrift Sikkerhet kan på forespørsel, etter godkjenning fra direktør i Personal- og organisasjonsavdelinga, hente ut rapporter over innlogginger i skap for oppbevaring av A- og B-preparater og for åpning av dør til medisinrom.</w:t>
      </w:r>
    </w:p>
    <w:p w:rsidR="00C71CE6" w:rsidRPr="00C71CE6" w:rsidP="00C71CE6" w14:paraId="716BEB89" w14:textId="77777777"/>
    <w:p w:rsidR="00C71CE6" w:rsidRPr="00C71CE6" w:rsidP="00C71CE6" w14:paraId="5437E300" w14:textId="77777777">
      <w:r w:rsidRPr="00C71CE6">
        <w:t>Sykehusapotekets sykehusekspedisjon kan på forespørsel bistå med å hente ut oversikter over enhetens bestillinger av A- og B-preparater, samt oversikt over eventuelle A- og B-preparater returnert til apoteket.</w:t>
      </w:r>
    </w:p>
    <w:p w:rsidR="00C71CE6" w:rsidRPr="00C71CE6" w:rsidP="00C71CE6" w14:paraId="7F0C5721" w14:textId="77777777"/>
    <w:p w:rsidR="00C71CE6" w:rsidRPr="00C71CE6" w:rsidP="00C71CE6" w14:paraId="17778EEB" w14:textId="2CED5EDC">
      <w:r w:rsidRPr="00C71CE6">
        <w:t xml:space="preserve">Ved mistanke om at helsepersonell er ruspåvirket i arbeidstiden, skal det gjennomføres rustesting, se </w:t>
      </w:r>
      <w:hyperlink r:id="rId10" w:history="1">
        <w:r w:rsidRPr="00A71B03">
          <w:rPr>
            <w:rStyle w:val="Hyperlink"/>
            <w:sz w:val="22"/>
          </w:rPr>
          <w:t>Rutine ved mistanke om ruspåvirkning i arbeidstiden eller rusmiddelavhengighet hos arbeidstaker</w:t>
        </w:r>
      </w:hyperlink>
      <w:r w:rsidRPr="00C71CE6">
        <w:t xml:space="preserve"> og </w:t>
      </w:r>
      <w:hyperlink r:id="rId11" w:history="1">
        <w:r w:rsidRPr="00A71B03">
          <w:rPr>
            <w:rStyle w:val="Hyperlink"/>
            <w:sz w:val="22"/>
          </w:rPr>
          <w:t>Rusmiddeltesting av medarbeidere i Helse Bergen</w:t>
        </w:r>
      </w:hyperlink>
      <w:r w:rsidRPr="00C71CE6">
        <w:t>.</w:t>
      </w:r>
    </w:p>
    <w:p w:rsidR="00C71CE6" w:rsidRPr="00C71CE6" w:rsidP="00C71CE6" w14:paraId="60B27FA5" w14:textId="77777777"/>
    <w:p w:rsidR="00C71CE6" w:rsidRPr="00C71CE6" w:rsidP="00A71B03" w14:paraId="3AD7D893" w14:textId="7632C86A">
      <w:pPr>
        <w:pStyle w:val="Heading2"/>
      </w:pPr>
      <w:bookmarkStart w:id="6" w:name="_Toc256000005"/>
      <w:r w:rsidRPr="00C71CE6">
        <w:t>Konklusjoner og veien videre</w:t>
      </w:r>
      <w:bookmarkEnd w:id="6"/>
    </w:p>
    <w:p w:rsidR="00A71B03" w:rsidP="00C71CE6" w14:paraId="194B64CE" w14:textId="77777777"/>
    <w:p w:rsidR="00C71CE6" w:rsidRPr="00C71CE6" w:rsidP="00C71CE6" w14:paraId="059C4E02" w14:textId="0DC9FF14">
      <w:r w:rsidRPr="00C71CE6">
        <w:t xml:space="preserve">Leder anbefales å sammenfatte resultater og konklusjoner fra kontroller og kartlegginger i et internt notat, eventuelt i samarbeid med Svinngruppen. Svinngruppen oversender mal for internt notat til leder i saker hvor det er aktuelt. </w:t>
      </w:r>
    </w:p>
    <w:p w:rsidR="00C71CE6" w:rsidRPr="00C71CE6" w:rsidP="00C71CE6" w14:paraId="58694498" w14:textId="77777777"/>
    <w:p w:rsidR="00C71CE6" w:rsidRPr="00C71CE6" w:rsidP="00C71CE6" w14:paraId="597958F4" w14:textId="77777777">
      <w:r w:rsidRPr="00C71CE6">
        <w:t>Ulike alternativer for svinnsaker etter oppsummeringer fra kartleggingsfasen:</w:t>
      </w:r>
    </w:p>
    <w:p w:rsidR="00C71CE6" w:rsidRPr="00C71CE6" w:rsidP="00A71B03" w14:paraId="1F566B66" w14:textId="7162BC43">
      <w:pPr>
        <w:pStyle w:val="ListParagraph"/>
        <w:numPr>
          <w:ilvl w:val="0"/>
          <w:numId w:val="26"/>
        </w:numPr>
      </w:pPr>
      <w:r w:rsidRPr="00C71CE6">
        <w:t xml:space="preserve">avdekket tyveri av A- og B-preparater uten konkret mistenkt  </w:t>
      </w:r>
    </w:p>
    <w:p w:rsidR="00C71CE6" w:rsidRPr="00C71CE6" w:rsidP="00A71B03" w14:paraId="5162EAF7" w14:textId="70A8AEA3">
      <w:pPr>
        <w:pStyle w:val="ListParagraph"/>
        <w:numPr>
          <w:ilvl w:val="0"/>
          <w:numId w:val="26"/>
        </w:numPr>
      </w:pPr>
      <w:r w:rsidRPr="00C71CE6">
        <w:t>avdekket tyveri av A- og B-preparater med konkret mistenkt, men uten tilstrekkelig bevis</w:t>
      </w:r>
    </w:p>
    <w:p w:rsidR="00C71CE6" w:rsidRPr="00C71CE6" w:rsidP="00A71B03" w14:paraId="5ADCE770" w14:textId="32C6660B">
      <w:pPr>
        <w:pStyle w:val="ListParagraph"/>
        <w:numPr>
          <w:ilvl w:val="0"/>
          <w:numId w:val="26"/>
        </w:numPr>
      </w:pPr>
      <w:r w:rsidRPr="00C71CE6">
        <w:t>avdekket tyveri av A- og B-preparater med konkret mistenkt og konkrete bevis eller sterke indisier</w:t>
      </w:r>
    </w:p>
    <w:p w:rsidR="00C71CE6" w:rsidRPr="00C71CE6" w:rsidP="00C71CE6" w14:paraId="67A78821" w14:textId="77777777"/>
    <w:p w:rsidR="00C71CE6" w:rsidRPr="00C71CE6" w:rsidP="00C71CE6" w14:paraId="211E4F07" w14:textId="77777777">
      <w:r w:rsidRPr="00C71CE6">
        <w:t xml:space="preserve">I saker i kategori 1) og 2) vil Svinngruppen eventuelt gi råd til leder om videre kontrolltiltak og kartlegginger, og leder bør være ekstra årvåken med tanke på nye svinnhendelser. Om det skulle skje nye svinnhendelser, informerer Nivå 3-leder på nytt aktuelle ledere på nivå 2.1 eller nivå 2, personalrådgiver og farmasøyt tilknyttet enheten, og tidligere dokumentasjon bør hentes frem. </w:t>
      </w:r>
    </w:p>
    <w:p w:rsidR="00C71CE6" w:rsidRPr="00C71CE6" w:rsidP="00C71CE6" w14:paraId="22CA8EBF" w14:textId="77777777"/>
    <w:p w:rsidR="00C71CE6" w:rsidRPr="00C71CE6" w:rsidP="00C71CE6" w14:paraId="4FD2E8A3" w14:textId="5BA88282">
      <w:r w:rsidRPr="00C71CE6">
        <w:t>I saker i kategori 3) vil leder få bistand fra Personal- og org</w:t>
      </w:r>
      <w:r w:rsidR="00A71B03">
        <w:t>a</w:t>
      </w:r>
      <w:r w:rsidRPr="00C71CE6">
        <w:t>nis</w:t>
      </w:r>
      <w:r w:rsidR="00A71B03">
        <w:t>as</w:t>
      </w:r>
      <w:r w:rsidRPr="00C71CE6">
        <w:t>jonsavdelingen til oppfølging i saksbehandlingen, og vurdering av ev. politianmeldelse og arbeidsrettslige tiltak.</w:t>
      </w:r>
    </w:p>
    <w:p w:rsidR="00C71CE6" w:rsidRPr="00C71CE6" w:rsidP="00C71CE6" w14:paraId="69339858" w14:textId="77777777"/>
    <w:p w:rsidR="00C71CE6" w:rsidRPr="00C71CE6" w:rsidP="00C71CE6" w14:paraId="7B684DB8" w14:textId="77777777">
      <w:r w:rsidRPr="00C71CE6">
        <w:t>Erfaring viser at det kan være svært krevende å avdekke hvem som er ansvarlig for eventuelle tyveri av A- og B-preparater, og det skjer gjerne flere svinn-hendelser over tid før det eventuelt er mulig å avdekke hvem som er involvert. Enkel tilgang på dokumentasjon fra eventuelle tidligere hendelser i enheten er derfor viktig.</w:t>
      </w:r>
    </w:p>
    <w:p w:rsidR="00C71CE6" w:rsidRPr="00C71CE6" w:rsidP="00C71CE6" w14:paraId="6B7A7F4E" w14:textId="77777777"/>
    <w:p w:rsidR="00C71CE6" w:rsidRPr="00C71CE6" w:rsidP="00C71CE6" w14:paraId="5572D017" w14:textId="49EB428E">
      <w:r w:rsidRPr="00C71CE6">
        <w:t>Informasjon fra kartlegginger, samt vurderinger og konklusjoner, skal dokumenteres og arkiveres i Elements i tilgangsgruppen “Svinn” (består av Svinngruppens medlemmer) på følgende måte:</w:t>
      </w:r>
    </w:p>
    <w:p w:rsidR="00C71CE6" w:rsidRPr="00A71B03" w:rsidP="00A71B03" w14:paraId="30A5ECD4" w14:textId="5C61AF39">
      <w:pPr>
        <w:pStyle w:val="ListParagraph"/>
        <w:numPr>
          <w:ilvl w:val="0"/>
          <w:numId w:val="31"/>
        </w:numPr>
        <w:rPr>
          <w:i/>
          <w:iCs/>
        </w:rPr>
      </w:pPr>
      <w:r w:rsidRPr="00C71CE6">
        <w:t xml:space="preserve">Svinngruppen oppretter sak i Elements med tilgangskode P2 - tittelen på saken skal være: </w:t>
      </w:r>
      <w:r w:rsidRPr="00A71B03">
        <w:rPr>
          <w:i/>
          <w:iCs/>
        </w:rPr>
        <w:t>Svinn + årstall @aktuell nivå 2 enhet. (NB – legg nivå 2 enhet som skjermet)</w:t>
      </w:r>
    </w:p>
    <w:p w:rsidR="00C71CE6" w:rsidRPr="00C71CE6" w:rsidP="00A71B03" w14:paraId="687B5F20" w14:textId="7B3119F5">
      <w:pPr>
        <w:pStyle w:val="ListParagraph"/>
        <w:numPr>
          <w:ilvl w:val="0"/>
          <w:numId w:val="31"/>
        </w:numPr>
      </w:pPr>
      <w:r w:rsidRPr="00C71CE6">
        <w:t>Svinngruppen oppretter et kort internt notat med aktuell leder som mottaker, som inneholder en oppsummering av opplysninger som er fremlagt i saken</w:t>
      </w:r>
    </w:p>
    <w:p w:rsidR="00C71CE6" w:rsidRPr="00C71CE6" w:rsidP="00A71B03" w14:paraId="5FFD2DDB" w14:textId="79B1A026">
      <w:pPr>
        <w:pStyle w:val="ListParagraph"/>
        <w:numPr>
          <w:ilvl w:val="0"/>
          <w:numId w:val="31"/>
        </w:numPr>
      </w:pPr>
      <w:r w:rsidRPr="00C71CE6">
        <w:t>Sakbehandleransvaret overføres til den leder som håndterer saken, og Svinngruppen sender lenke til saken til vedkommende</w:t>
      </w:r>
    </w:p>
    <w:p w:rsidR="00C71CE6" w:rsidRPr="00C71CE6" w:rsidP="00A71B03" w14:paraId="0ED52598" w14:textId="421A5140">
      <w:pPr>
        <w:pStyle w:val="ListParagraph"/>
        <w:numPr>
          <w:ilvl w:val="0"/>
          <w:numId w:val="31"/>
        </w:numPr>
      </w:pPr>
      <w:r w:rsidRPr="00C71CE6">
        <w:t xml:space="preserve">Saksbehandler har etter dette ansvar for at aktuell dokumentasjon blir journalført på saken. Kontakt gjerne Arkivtjenesten for bistand: </w:t>
      </w:r>
      <w:hyperlink r:id="rId12" w:history="1">
        <w:r w:rsidRPr="001A2EB1" w:rsidR="00A71B03">
          <w:rPr>
            <w:rStyle w:val="Hyperlink"/>
            <w:sz w:val="22"/>
          </w:rPr>
          <w:t>saksarkiv@helse-bergen.no</w:t>
        </w:r>
      </w:hyperlink>
      <w:r w:rsidR="00A71B03">
        <w:t xml:space="preserve"> </w:t>
      </w:r>
      <w:r w:rsidRPr="00C71CE6">
        <w:t xml:space="preserve">eller </w:t>
      </w:r>
      <w:r w:rsidR="00A71B03">
        <w:br/>
      </w:r>
      <w:r w:rsidRPr="00C71CE6">
        <w:t>55</w:t>
      </w:r>
      <w:r w:rsidR="00A71B03">
        <w:t xml:space="preserve"> </w:t>
      </w:r>
      <w:r w:rsidRPr="00C71CE6">
        <w:t>97</w:t>
      </w:r>
      <w:r w:rsidR="00A71B03">
        <w:t xml:space="preserve"> </w:t>
      </w:r>
      <w:r w:rsidRPr="00C71CE6">
        <w:t>21</w:t>
      </w:r>
      <w:r w:rsidR="00A71B03">
        <w:t xml:space="preserve"> </w:t>
      </w:r>
      <w:r w:rsidRPr="00C71CE6">
        <w:t xml:space="preserve">00 </w:t>
      </w:r>
      <w:r w:rsidRPr="00C71CE6">
        <w:t>innvalg 3</w:t>
      </w:r>
    </w:p>
    <w:p w:rsidR="00C71CE6" w:rsidRPr="00C71CE6" w:rsidP="00A71B03" w14:paraId="220FF570" w14:textId="0D53DD46">
      <w:pPr>
        <w:pStyle w:val="ListParagraph"/>
        <w:numPr>
          <w:ilvl w:val="0"/>
          <w:numId w:val="31"/>
        </w:numPr>
      </w:pPr>
      <w:r w:rsidRPr="00C71CE6">
        <w:t>Dokumenter som inneholder oversikt over navn på ansatte, skal alltid journalføres med blank forside. Dette er for å sikre at man ikke får tilgang til navn på ansatte uten at oppslaget logges</w:t>
      </w:r>
    </w:p>
    <w:p w:rsidR="00C71CE6" w:rsidRPr="00C71CE6" w:rsidP="00C71CE6" w14:paraId="59478C86" w14:textId="77777777"/>
    <w:p w:rsidR="00C71CE6" w:rsidRPr="00C71CE6" w:rsidP="00C71CE6" w14:paraId="28E6CB6B" w14:textId="77777777">
      <w:r w:rsidRPr="00C71CE6">
        <w:t xml:space="preserve">Dersom undersøkelsene medfører konkret mistanke rettet mot medarbeider, avsluttes svinnsaken i Elements med følgende merknad: </w:t>
      </w:r>
      <w:r w:rsidRPr="00A71B03">
        <w:rPr>
          <w:i/>
          <w:iCs/>
        </w:rPr>
        <w:t>Sak avsluttet, og det er opprettet ny sak for oppfølging av konkret medarbeider</w:t>
      </w:r>
      <w:r w:rsidRPr="00C71CE6">
        <w:t>.</w:t>
      </w:r>
    </w:p>
    <w:p w:rsidR="00C71CE6" w:rsidRPr="00C71CE6" w:rsidP="00C71CE6" w14:paraId="3916A070" w14:textId="77777777"/>
    <w:p w:rsidR="00C71CE6" w:rsidRPr="00C71CE6" w:rsidP="00C71CE6" w14:paraId="3415B6FD" w14:textId="5949CC0D">
      <w:r w:rsidRPr="00C71CE6">
        <w:t>Dersom samme avdeling opplever nye svinn når man har avsluttet en eksisterende sak, opprettes ny Elements-sak med lenke til tidligere saker slik at man kan se hendelsene i sammenheng. Kontakt om nødvendig Arkivtjenesten på telefon 55</w:t>
      </w:r>
      <w:r w:rsidR="00A71B03">
        <w:t xml:space="preserve"> </w:t>
      </w:r>
      <w:r w:rsidRPr="00C71CE6">
        <w:t>97</w:t>
      </w:r>
      <w:r w:rsidR="00A71B03">
        <w:t xml:space="preserve"> </w:t>
      </w:r>
      <w:r w:rsidRPr="00C71CE6">
        <w:t>21</w:t>
      </w:r>
      <w:r w:rsidR="00A71B03">
        <w:t xml:space="preserve"> </w:t>
      </w:r>
      <w:r w:rsidRPr="00C71CE6">
        <w:t xml:space="preserve">00 innvalg 3 for bistand til å lage lenke mellom Elements-saker. </w:t>
      </w:r>
    </w:p>
    <w:p w:rsidR="00510BDF" w:rsidRPr="00642296" w:rsidP="00642296" w14:paraId="4B3E9AE5" w14:textId="2261BCA1"/>
    <w:p w:rsidR="00510BDF" w:rsidP="00066A58" w14:paraId="4B3E9AE6" w14:textId="77777777">
      <w:pPr>
        <w:pStyle w:val="Heading1"/>
        <w:spacing w:line="259" w:lineRule="auto"/>
      </w:pPr>
      <w:bookmarkStart w:id="7" w:name="_Toc256000006"/>
      <w:r>
        <w:t>Referanser</w:t>
      </w:r>
      <w:bookmarkEnd w:id="7"/>
      <w:r>
        <w:t xml:space="preserve"> </w:t>
      </w:r>
    </w:p>
    <w:p w:rsidR="00DF7BA8" w:rsidP="00066A58" w14:paraId="4B3E9AE7" w14:textId="77777777">
      <w:pPr>
        <w:spacing w:line="259" w:lineRule="auto"/>
        <w:rPr>
          <w:rFonts w:cstheme="minorHAnsi"/>
        </w:rPr>
      </w:pPr>
    </w:p>
    <w:p w:rsidR="00510BDF" w:rsidP="00066A58" w14:paraId="4B3E9AE8" w14:textId="77777777">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8" w:name="EK_Referanse"/>
            <w:hyperlink r:id="rId13" w:history="1">
              <w:r>
                <w:rPr>
                  <w:b w:val="0"/>
                  <w:color w:val="0000FF"/>
                  <w:u w:val="single"/>
                </w:rPr>
                <w:t>1.1.7.3-16</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Svinngruppen i Helse Bergen - mandat og sammensetning</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4" w:history="1">
              <w:r>
                <w:rPr>
                  <w:b w:val="0"/>
                  <w:color w:val="0000FF"/>
                  <w:u w:val="single"/>
                </w:rPr>
                <w:t>1.1.16.3.1-02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4" w:history="1">
              <w:r>
                <w:rPr>
                  <w:b w:val="0"/>
                  <w:color w:val="0000FF"/>
                  <w:u w:val="single"/>
                </w:rPr>
                <w:t>MAL for fullmaktsmatrise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5" w:history="1">
              <w:r>
                <w:rPr>
                  <w:b w:val="0"/>
                  <w:color w:val="0000FF"/>
                  <w:u w:val="single"/>
                </w:rPr>
                <w:t>1.1.16.7.4-02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5" w:history="1">
              <w:r>
                <w:rPr>
                  <w:b w:val="0"/>
                  <w:color w:val="0000FF"/>
                  <w:u w:val="single"/>
                </w:rPr>
                <w:t>Rusmiddelpolicy Helse Bergen</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6" w:history="1">
              <w:r>
                <w:rPr>
                  <w:b w:val="0"/>
                  <w:color w:val="0000FF"/>
                  <w:u w:val="single"/>
                </w:rPr>
                <w:t>1.1.16.7.4-03</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6" w:history="1">
              <w:r>
                <w:rPr>
                  <w:b w:val="0"/>
                  <w:color w:val="0000FF"/>
                  <w:u w:val="single"/>
                </w:rPr>
                <w:t>Rutine ved mistanke om ruspåvirkning i arbeidstiden eller rusmiddelavhengighet hos arbeidstaker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7" w:history="1">
              <w:r>
                <w:rPr>
                  <w:b w:val="0"/>
                  <w:color w:val="0000FF"/>
                  <w:u w:val="single"/>
                </w:rPr>
                <w:t>1.1.16.7.4-04</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7" w:history="1">
              <w:r>
                <w:rPr>
                  <w:b w:val="0"/>
                  <w:color w:val="0000FF"/>
                  <w:u w:val="single"/>
                </w:rPr>
                <w:t>Oppfølging av ansatte ved mistanke om tyveri eller underslag av medikamenter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8" w:history="1">
              <w:r>
                <w:rPr>
                  <w:b w:val="0"/>
                  <w:color w:val="0000FF"/>
                  <w:u w:val="single"/>
                </w:rPr>
                <w:t>1.1.16.7.4-05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8" w:history="1">
              <w:r>
                <w:rPr>
                  <w:b w:val="0"/>
                  <w:color w:val="0000FF"/>
                  <w:u w:val="single"/>
                </w:rPr>
                <w:t>Rusmiddeltesting av medarbeidere i Helse Bergen</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9" w:history="1">
              <w:r>
                <w:rPr>
                  <w:b w:val="0"/>
                  <w:color w:val="0000FF"/>
                  <w:u w:val="single"/>
                </w:rPr>
                <w:t>1.2.2.1-02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9" w:history="1">
              <w:r>
                <w:rPr>
                  <w:b w:val="0"/>
                  <w:color w:val="0000FF"/>
                  <w:u w:val="single"/>
                </w:rPr>
                <w:t>Definisjoner Legemidler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20" w:history="1">
              <w:r>
                <w:rPr>
                  <w:b w:val="0"/>
                  <w:color w:val="0000FF"/>
                  <w:u w:val="single"/>
                </w:rPr>
                <w:t>1.2.2.1-12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20" w:history="1">
              <w:r>
                <w:rPr>
                  <w:b w:val="0"/>
                  <w:color w:val="0000FF"/>
                  <w:u w:val="single"/>
                </w:rPr>
                <w:t>Forankring i lov og forskrift</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21" w:history="1">
              <w:r>
                <w:rPr>
                  <w:b w:val="0"/>
                  <w:color w:val="0000FF"/>
                  <w:u w:val="single"/>
                </w:rPr>
                <w:t>1.2.2.4-01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21" w:history="1">
              <w:r>
                <w:rPr>
                  <w:b w:val="0"/>
                  <w:color w:val="0000FF"/>
                  <w:u w:val="single"/>
                </w:rPr>
                <w:t>A- og B-preparater - kontroll med innkjøp og forbruk</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22" w:history="1">
              <w:r>
                <w:rPr>
                  <w:b w:val="0"/>
                  <w:color w:val="0000FF"/>
                  <w:u w:val="single"/>
                </w:rPr>
                <w:t>1.2.2.4-05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22" w:history="1">
              <w:r>
                <w:rPr>
                  <w:b w:val="0"/>
                  <w:color w:val="0000FF"/>
                  <w:u w:val="single"/>
                </w:rPr>
                <w:t>Praktiske tips og råd for kontroll med A- og B-preparater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23" w:history="1">
              <w:r>
                <w:rPr>
                  <w:b w:val="0"/>
                  <w:color w:val="0000FF"/>
                  <w:u w:val="single"/>
                </w:rPr>
                <w:t>1.4.2.2-01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23" w:history="1">
              <w:r>
                <w:rPr>
                  <w:b w:val="0"/>
                  <w:color w:val="0000FF"/>
                  <w:u w:val="single"/>
                </w:rPr>
                <w:t>Politianmeldelse i Helse Bergen</w:t>
              </w:r>
            </w:hyperlink>
          </w:p>
        </w:tc>
      </w:tr>
    </w:tbl>
    <w:p w:rsidR="009B041D" w:rsidP="00066A58" w14:paraId="4B3E9AEC" w14:textId="77777777">
      <w:pPr>
        <w:spacing w:line="259" w:lineRule="auto"/>
        <w:rPr>
          <w:rFonts w:cstheme="minorHAnsi"/>
        </w:rPr>
      </w:pPr>
      <w:bookmarkEnd w:id="8"/>
    </w:p>
    <w:p w:rsidR="00510BDF" w:rsidP="00066A58" w14:paraId="4B3E9AED" w14:textId="77777777">
      <w:pPr>
        <w:spacing w:line="259" w:lineRule="auto"/>
        <w:rPr>
          <w:rFonts w:cstheme="minorHAnsi"/>
        </w:rPr>
      </w:pPr>
    </w:p>
    <w:p w:rsidR="00510BDF" w:rsidP="00066A58" w14:paraId="4B3E9AEE" w14:textId="77777777">
      <w:pPr>
        <w:spacing w:line="259" w:lineRule="auto"/>
        <w:rPr>
          <w:rFonts w:cstheme="minorHAnsi"/>
        </w:rPr>
      </w:pPr>
      <w:r>
        <w:rPr>
          <w:rFonts w:cstheme="minorHAnsi"/>
        </w:rPr>
        <w:t xml:space="preserve">Eksterne referanser </w:t>
      </w:r>
    </w:p>
    <w:p w:rsidR="009D023B" w:rsidP="00066A58" w14:paraId="4B3E9AF3" w14:textId="573956E6">
      <w:pPr>
        <w:spacing w:line="259" w:lineRule="auto"/>
      </w:pPr>
      <w:hyperlink r:id="rId24" w:history="1">
        <w:r w:rsidRPr="00103404">
          <w:rPr>
            <w:rStyle w:val="Hyperlink"/>
            <w:sz w:val="22"/>
          </w:rPr>
          <w:t>Ansatte og rus – policy og rutiner (Personalhåndboken)</w:t>
        </w:r>
      </w:hyperlink>
    </w:p>
    <w:p w:rsidR="00103404" w:rsidP="00066A58" w14:paraId="7C28439C" w14:textId="5197EE23">
      <w:pPr>
        <w:spacing w:line="259" w:lineRule="auto"/>
      </w:pPr>
      <w:hyperlink r:id="rId25" w:history="1">
        <w:r w:rsidRPr="00103404">
          <w:rPr>
            <w:rStyle w:val="Hyperlink"/>
            <w:sz w:val="22"/>
          </w:rPr>
          <w:t>Ansatte og rus (Innsiden)</w:t>
        </w:r>
      </w:hyperlink>
    </w:p>
    <w:p w:rsidR="00103404" w:rsidP="00066A58" w14:paraId="579B878C" w14:textId="049094C7">
      <w:pPr>
        <w:spacing w:line="259" w:lineRule="auto"/>
      </w:pPr>
      <w:hyperlink r:id="rId26" w:history="1">
        <w:r w:rsidRPr="00103404">
          <w:rPr>
            <w:rStyle w:val="Hyperlink"/>
            <w:sz w:val="22"/>
          </w:rPr>
          <w:t>Forskrift om legemiddelhåndtering for virksomheter og helsepersonell som yter helsehjelp</w:t>
        </w:r>
      </w:hyperlink>
    </w:p>
    <w:p w:rsidR="00103404" w:rsidP="00066A58" w14:paraId="0A8FC04F" w14:textId="42866D3A">
      <w:pPr>
        <w:spacing w:line="259" w:lineRule="auto"/>
      </w:pPr>
      <w:hyperlink r:id="rId27" w:history="1">
        <w:r w:rsidRPr="00103404">
          <w:rPr>
            <w:rStyle w:val="Hyperlink"/>
            <w:sz w:val="22"/>
          </w:rPr>
          <w:t>Lov om helsepersonell m.v. (helsepersonelloven)</w:t>
        </w:r>
      </w:hyperlink>
    </w:p>
    <w:p w:rsidR="00103404" w:rsidP="00066A58" w14:paraId="6C3F1B06" w14:textId="18F70585">
      <w:pPr>
        <w:spacing w:line="259" w:lineRule="auto"/>
      </w:pPr>
      <w:hyperlink r:id="rId28" w:history="1">
        <w:r w:rsidRPr="00103404">
          <w:rPr>
            <w:rStyle w:val="Hyperlink"/>
            <w:sz w:val="22"/>
          </w:rPr>
          <w:t>Momentliste - melding til Statsforvalteren</w:t>
        </w:r>
      </w:hyperlink>
    </w:p>
    <w:p w:rsidR="00103404" w:rsidP="00066A58" w14:paraId="281A6DE7" w14:textId="77777777">
      <w:pPr>
        <w:spacing w:line="259" w:lineRule="auto"/>
      </w:pPr>
    </w:p>
    <w:p w:rsidR="00935DE6" w:rsidRPr="009D023B" w:rsidP="00066A58" w14:paraId="4B3E9AF6" w14:textId="77777777">
      <w:pPr>
        <w:spacing w:line="259" w:lineRule="auto"/>
      </w:pPr>
    </w:p>
    <w:p w:rsidR="009D023B" w:rsidRPr="005F0E8F" w:rsidP="00066A58" w14:paraId="4B3E9AF7" w14:textId="77777777">
      <w:pPr>
        <w:pStyle w:val="Heading1"/>
        <w:spacing w:line="259" w:lineRule="auto"/>
      </w:pPr>
      <w:bookmarkStart w:id="9" w:name="_Toc256000007"/>
      <w:r w:rsidRPr="005F0E8F">
        <w:t>Endringer siden forrige versjon</w:t>
      </w:r>
      <w:bookmarkEnd w:id="9"/>
    </w:p>
    <w:p w:rsidP="00066A58">
      <w:pPr>
        <w:spacing w:line="259" w:lineRule="auto"/>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Nytt dokument.</w:t>
      </w:r>
    </w:p>
    <w:p w:rsidP="00066A58">
      <w:pPr>
        <w:spacing w:line="259" w:lineRule="auto"/>
        <w:rPr>
          <w:rFonts w:cstheme="minorHAnsi"/>
          <w:color w:val="000080"/>
        </w:rPr>
      </w:pPr>
      <w:r>
        <w:rPr>
          <w:rFonts w:cstheme="minorHAnsi"/>
          <w:color w:val="000080"/>
        </w:rPr>
        <w:t>Deler av retningslinjen "A- og B-preparater - kontroll med innkjøp og forbruk" er flyttet til dette dokumentet, og budskap er tydeliggjort.</w:t>
      </w:r>
      <w:r>
        <w:rPr>
          <w:rFonts w:cstheme="minorHAnsi"/>
          <w:color w:val="000080"/>
        </w:rPr>
        <w:fldChar w:fldCharType="end"/>
      </w:r>
    </w:p>
    <w:p w:rsidR="009D023B" w:rsidRPr="00E754D7" w:rsidP="00066A58" w14:paraId="4B3E9AF9" w14:textId="77777777">
      <w:pPr>
        <w:spacing w:line="259" w:lineRule="auto"/>
        <w:rPr>
          <w:rFonts w:cstheme="minorHAnsi"/>
          <w:color w:val="000080"/>
        </w:rPr>
      </w:pPr>
    </w:p>
    <w:sectPr w:rsidSect="00D03EED">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paraId="43F36116"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209BCCEB"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1.2.2.4-13</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paraId="0E207EED"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37BBC3E3"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D83903</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1.2.2.4-13</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4</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1.2.2.4-13</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paraId="670C3767"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67BD73D3"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A- og B-preparater - oppfølging ved mistanke om svinn</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A- og B-preparater - oppfølging ved mistanke om svinn</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01.03.2026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01.03.2027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HF/Fellesdokumenter/Pasientbehandling</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Bjånes, Tormod Karlsen - legemiddelkomiteen</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Legemiddelkomiteen</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D83903</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E9B7C78"/>
    <w:multiLevelType w:val="hybridMultilevel"/>
    <w:tmpl w:val="D4E87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4F71AF"/>
    <w:multiLevelType w:val="hybridMultilevel"/>
    <w:tmpl w:val="D6DEBC20"/>
    <w:lvl w:ilvl="0">
      <w:start w:val="3"/>
      <w:numFmt w:val="bullet"/>
      <w:lvlText w:val="•"/>
      <w:lvlJc w:val="left"/>
      <w:pPr>
        <w:ind w:left="1070" w:hanging="71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5C22B61"/>
    <w:multiLevelType w:val="hybridMultilevel"/>
    <w:tmpl w:val="C0F87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276A90"/>
    <w:multiLevelType w:val="multilevel"/>
    <w:tmpl w:val="E95C2D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EB33A81"/>
    <w:multiLevelType w:val="hybridMultilevel"/>
    <w:tmpl w:val="F6081336"/>
    <w:lvl w:ilvl="0">
      <w:start w:val="1"/>
      <w:numFmt w:val="decimal"/>
      <w:lvlText w:val="%1)"/>
      <w:lvlJc w:val="left"/>
      <w:pPr>
        <w:ind w:left="1070" w:hanging="7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6652AE"/>
    <w:multiLevelType w:val="hybridMultilevel"/>
    <w:tmpl w:val="3C58903C"/>
    <w:lvl w:ilvl="0">
      <w:start w:val="0"/>
      <w:numFmt w:val="bullet"/>
      <w:lvlText w:val="•"/>
      <w:lvlJc w:val="left"/>
      <w:pPr>
        <w:ind w:left="1070" w:hanging="71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B76612"/>
    <w:multiLevelType w:val="hybridMultilevel"/>
    <w:tmpl w:val="F0A0AD80"/>
    <w:lvl w:ilvl="0">
      <w:start w:val="0"/>
      <w:numFmt w:val="bullet"/>
      <w:lvlText w:val="•"/>
      <w:lvlJc w:val="left"/>
      <w:pPr>
        <w:ind w:left="1070" w:hanging="71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6F3D72"/>
    <w:multiLevelType w:val="hybridMultilevel"/>
    <w:tmpl w:val="0CA43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004569"/>
    <w:multiLevelType w:val="hybridMultilevel"/>
    <w:tmpl w:val="1936A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2539B8"/>
    <w:multiLevelType w:val="hybridMultilevel"/>
    <w:tmpl w:val="16DA1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F87704"/>
    <w:multiLevelType w:val="hybridMultilevel"/>
    <w:tmpl w:val="6F4AFE0E"/>
    <w:lvl w:ilvl="0">
      <w:start w:val="0"/>
      <w:numFmt w:val="bullet"/>
      <w:lvlText w:val="•"/>
      <w:lvlJc w:val="left"/>
      <w:pPr>
        <w:ind w:left="1430" w:hanging="71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5">
    <w:nsid w:val="5D177B1A"/>
    <w:multiLevelType w:val="hybridMultilevel"/>
    <w:tmpl w:val="BC1C2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3A4D57"/>
    <w:multiLevelType w:val="hybridMultilevel"/>
    <w:tmpl w:val="A8D0D3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3C016C"/>
    <w:multiLevelType w:val="hybridMultilevel"/>
    <w:tmpl w:val="94F4CB5E"/>
    <w:lvl w:ilvl="0">
      <w:start w:val="0"/>
      <w:numFmt w:val="bullet"/>
      <w:lvlText w:val="•"/>
      <w:lvlJc w:val="left"/>
      <w:pPr>
        <w:ind w:left="1070" w:hanging="71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1"/>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3"/>
  </w:num>
  <w:num w:numId="13" w16cid:durableId="958947322">
    <w:abstractNumId w:val="24"/>
  </w:num>
  <w:num w:numId="14" w16cid:durableId="1240796667">
    <w:abstractNumId w:val="27"/>
  </w:num>
  <w:num w:numId="15" w16cid:durableId="1741707904">
    <w:abstractNumId w:val="28"/>
  </w:num>
  <w:num w:numId="16" w16cid:durableId="1214347900">
    <w:abstractNumId w:val="15"/>
  </w:num>
  <w:num w:numId="17" w16cid:durableId="1826556132">
    <w:abstractNumId w:val="1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23"/>
  </w:num>
  <w:num w:numId="19" w16cid:durableId="136847088">
    <w:abstractNumId w:val="14"/>
  </w:num>
  <w:num w:numId="20" w16cid:durableId="1854030975">
    <w:abstractNumId w:val="18"/>
  </w:num>
  <w:num w:numId="21" w16cid:durableId="616378339">
    <w:abstractNumId w:val="25"/>
  </w:num>
  <w:num w:numId="22" w16cid:durableId="1860267260">
    <w:abstractNumId w:val="19"/>
  </w:num>
  <w:num w:numId="23" w16cid:durableId="97602787">
    <w:abstractNumId w:val="16"/>
  </w:num>
  <w:num w:numId="24" w16cid:durableId="1527408395">
    <w:abstractNumId w:val="26"/>
  </w:num>
  <w:num w:numId="25" w16cid:durableId="998997686">
    <w:abstractNumId w:val="21"/>
  </w:num>
  <w:num w:numId="26" w16cid:durableId="1680934724">
    <w:abstractNumId w:val="10"/>
  </w:num>
  <w:num w:numId="27" w16cid:durableId="785344090">
    <w:abstractNumId w:val="20"/>
  </w:num>
  <w:num w:numId="28" w16cid:durableId="1746879928">
    <w:abstractNumId w:val="12"/>
  </w:num>
  <w:num w:numId="29" w16cid:durableId="1935745524">
    <w:abstractNumId w:val="22"/>
  </w:num>
  <w:num w:numId="30" w16cid:durableId="1054155100">
    <w:abstractNumId w:val="29"/>
  </w:num>
  <w:num w:numId="31" w16cid:durableId="17538205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E384D"/>
    <w:rsid w:val="000F32C5"/>
    <w:rsid w:val="000F5FC0"/>
    <w:rsid w:val="00101002"/>
    <w:rsid w:val="00103404"/>
    <w:rsid w:val="00115094"/>
    <w:rsid w:val="00117E18"/>
    <w:rsid w:val="00140619"/>
    <w:rsid w:val="00144BC1"/>
    <w:rsid w:val="00150F73"/>
    <w:rsid w:val="00151E16"/>
    <w:rsid w:val="00155765"/>
    <w:rsid w:val="00157C37"/>
    <w:rsid w:val="00157C9B"/>
    <w:rsid w:val="00161FD5"/>
    <w:rsid w:val="00176BA5"/>
    <w:rsid w:val="00187793"/>
    <w:rsid w:val="0019138B"/>
    <w:rsid w:val="0019290E"/>
    <w:rsid w:val="001A2EB1"/>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874A0"/>
    <w:rsid w:val="004B1EF5"/>
    <w:rsid w:val="004B40D7"/>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2296"/>
    <w:rsid w:val="006479E1"/>
    <w:rsid w:val="00650773"/>
    <w:rsid w:val="00652242"/>
    <w:rsid w:val="00660821"/>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725FF"/>
    <w:rsid w:val="0088008E"/>
    <w:rsid w:val="00885802"/>
    <w:rsid w:val="008A218A"/>
    <w:rsid w:val="008B41C0"/>
    <w:rsid w:val="008B5CBE"/>
    <w:rsid w:val="008B7340"/>
    <w:rsid w:val="008C3A13"/>
    <w:rsid w:val="008C41EB"/>
    <w:rsid w:val="008C797A"/>
    <w:rsid w:val="008D33F1"/>
    <w:rsid w:val="008E23F5"/>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A2EB0"/>
    <w:rsid w:val="009B041D"/>
    <w:rsid w:val="009B19A9"/>
    <w:rsid w:val="009B6D0C"/>
    <w:rsid w:val="009C6E05"/>
    <w:rsid w:val="009D023B"/>
    <w:rsid w:val="009D072D"/>
    <w:rsid w:val="009D4154"/>
    <w:rsid w:val="009D711A"/>
    <w:rsid w:val="009E0D59"/>
    <w:rsid w:val="009E1AE8"/>
    <w:rsid w:val="009F7668"/>
    <w:rsid w:val="00A17D23"/>
    <w:rsid w:val="00A24618"/>
    <w:rsid w:val="00A271A9"/>
    <w:rsid w:val="00A3019C"/>
    <w:rsid w:val="00A43AE5"/>
    <w:rsid w:val="00A55D47"/>
    <w:rsid w:val="00A577D4"/>
    <w:rsid w:val="00A71B03"/>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1F9B"/>
    <w:rsid w:val="00B55A8A"/>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1CE6"/>
    <w:rsid w:val="00C72834"/>
    <w:rsid w:val="00C81FA3"/>
    <w:rsid w:val="00C836EE"/>
    <w:rsid w:val="00C84942"/>
    <w:rsid w:val="00C962F9"/>
    <w:rsid w:val="00C97AFA"/>
    <w:rsid w:val="00CA0ECF"/>
    <w:rsid w:val="00CB3EB0"/>
    <w:rsid w:val="00CB523D"/>
    <w:rsid w:val="00CD6C43"/>
    <w:rsid w:val="00CE5024"/>
    <w:rsid w:val="00CF2E4A"/>
    <w:rsid w:val="00CF5B57"/>
    <w:rsid w:val="00D013CC"/>
    <w:rsid w:val="00D03EED"/>
    <w:rsid w:val="00D0649F"/>
    <w:rsid w:val="00D13046"/>
    <w:rsid w:val="00D26789"/>
    <w:rsid w:val="00D320CC"/>
    <w:rsid w:val="00D36983"/>
    <w:rsid w:val="00D36A2D"/>
    <w:rsid w:val="00D40E94"/>
    <w:rsid w:val="00D4374F"/>
    <w:rsid w:val="00D53A2C"/>
    <w:rsid w:val="00D62D5F"/>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1032B"/>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Nytt dokument.&#13;&#10;Deler av retningslinjen &quot;A- og B-preparater - kontroll med innkjøp og forbruk&quot; er flyttet til dette dokumentet, og budskap er tydeliggjort."/>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outlineLvl w:val="0"/>
    </w:pPr>
    <w:rPr>
      <w:b/>
      <w:sz w:val="28"/>
    </w:rPr>
  </w:style>
  <w:style w:type="paragraph" w:styleId="Heading2">
    <w:name w:val="heading 2"/>
    <w:basedOn w:val="Normal"/>
    <w:next w:val="Normal"/>
    <w:autoRedefine/>
    <w:qFormat/>
    <w:rsid w:val="00A24618"/>
    <w:pPr>
      <w:numPr>
        <w:ilvl w:val="1"/>
        <w:numId w:val="16"/>
      </w:numPr>
      <w:outlineLvl w:val="1"/>
    </w:pPr>
    <w:rPr>
      <w:b/>
      <w:bCs/>
    </w:rPr>
  </w:style>
  <w:style w:type="paragraph" w:styleId="Heading3">
    <w:name w:val="heading 3"/>
    <w:basedOn w:val="Normal"/>
    <w:next w:val="Normal"/>
    <w:autoRedefine/>
    <w:qFormat/>
    <w:rsid w:val="00066A58"/>
    <w:pPr>
      <w:numPr>
        <w:ilvl w:val="2"/>
        <w:numId w:val="16"/>
      </w:numPr>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ik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ik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ik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ik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ikn">
    <w:name w:val="Overskrift 5 Teik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ikn">
    <w:name w:val="Overskrift 7 Teik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ikn">
    <w:name w:val="Overskrift 8 Teik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ikn">
    <w:name w:val="Overskrift 9 Teik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C71CE6"/>
    <w:rPr>
      <w:color w:val="605E5C"/>
      <w:shd w:val="clear" w:color="auto" w:fill="E1DFDD"/>
    </w:rPr>
  </w:style>
  <w:style w:type="character" w:styleId="CommentReference">
    <w:name w:val="annotation reference"/>
    <w:basedOn w:val="DefaultParagraphFont"/>
    <w:semiHidden/>
    <w:unhideWhenUsed/>
    <w:rsid w:val="00C71CE6"/>
    <w:rPr>
      <w:sz w:val="16"/>
      <w:szCs w:val="16"/>
    </w:rPr>
  </w:style>
  <w:style w:type="paragraph" w:styleId="CommentText">
    <w:name w:val="annotation text"/>
    <w:basedOn w:val="Normal"/>
    <w:link w:val="KommentartekstTeikn"/>
    <w:unhideWhenUsed/>
    <w:rsid w:val="00C71CE6"/>
    <w:rPr>
      <w:sz w:val="20"/>
    </w:rPr>
  </w:style>
  <w:style w:type="character" w:customStyle="1" w:styleId="KommentartekstTeikn">
    <w:name w:val="Kommentartekst Teikn"/>
    <w:basedOn w:val="DefaultParagraphFont"/>
    <w:link w:val="CommentText"/>
    <w:rsid w:val="00C71CE6"/>
    <w:rPr>
      <w:rFonts w:asciiTheme="minorHAnsi" w:hAnsiTheme="minorHAnsi"/>
    </w:rPr>
  </w:style>
  <w:style w:type="paragraph" w:styleId="CommentSubject">
    <w:name w:val="annotation subject"/>
    <w:basedOn w:val="CommentText"/>
    <w:next w:val="CommentText"/>
    <w:link w:val="KommentaremneTeikn"/>
    <w:semiHidden/>
    <w:unhideWhenUsed/>
    <w:rsid w:val="00C71CE6"/>
    <w:rPr>
      <w:b/>
      <w:bCs/>
    </w:rPr>
  </w:style>
  <w:style w:type="character" w:customStyle="1" w:styleId="KommentaremneTeikn">
    <w:name w:val="Kommentaremne Teikn"/>
    <w:basedOn w:val="KommentartekstTeikn"/>
    <w:link w:val="CommentSubject"/>
    <w:semiHidden/>
    <w:rsid w:val="00C71CE6"/>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andbok.helse-bergen.no/docs/pub/DOK77449.htm" TargetMode="External" /><Relationship Id="rId11" Type="http://schemas.openxmlformats.org/officeDocument/2006/relationships/hyperlink" Target="https://handbok.helse-bergen.no/docs/pub/DOK77451.htm" TargetMode="External" /><Relationship Id="rId12" Type="http://schemas.openxmlformats.org/officeDocument/2006/relationships/hyperlink" Target="mailto:saksarkiv@helse-bergen.no" TargetMode="External" /><Relationship Id="rId13" Type="http://schemas.openxmlformats.org/officeDocument/2006/relationships/hyperlink" Target="https://kvalitet.helse-bergen.no/docs/pub/DOK81280.htm" TargetMode="External" /><Relationship Id="rId14" Type="http://schemas.openxmlformats.org/officeDocument/2006/relationships/hyperlink" Target="https://kvalitet.helse-bergen.no/docs/pub/DOK71477.xlsx" TargetMode="External" /><Relationship Id="rId15" Type="http://schemas.openxmlformats.org/officeDocument/2006/relationships/hyperlink" Target="https://kvalitet.helse-bergen.no/docs/pub/DOK77448.htm" TargetMode="External" /><Relationship Id="rId16" Type="http://schemas.openxmlformats.org/officeDocument/2006/relationships/hyperlink" Target="https://kvalitet.helse-bergen.no/docs/pub/DOK77449.htm" TargetMode="External" /><Relationship Id="rId17" Type="http://schemas.openxmlformats.org/officeDocument/2006/relationships/hyperlink" Target="https://kvalitet.helse-bergen.no/docs/pub/DOK77450.htm" TargetMode="External" /><Relationship Id="rId18" Type="http://schemas.openxmlformats.org/officeDocument/2006/relationships/hyperlink" Target="https://kvalitet.helse-bergen.no/docs/pub/DOK77451.htm" TargetMode="External" /><Relationship Id="rId19" Type="http://schemas.openxmlformats.org/officeDocument/2006/relationships/hyperlink" Target="https://kvalitet.helse-bergen.no/docs/pub/DOK14482.htm" TargetMode="External" /><Relationship Id="rId2" Type="http://schemas.openxmlformats.org/officeDocument/2006/relationships/webSettings" Target="webSettings.xml" /><Relationship Id="rId20" Type="http://schemas.openxmlformats.org/officeDocument/2006/relationships/hyperlink" Target="https://kvalitet.helse-bergen.no/docs/pub/DOK54944.htm" TargetMode="External" /><Relationship Id="rId21" Type="http://schemas.openxmlformats.org/officeDocument/2006/relationships/hyperlink" Target="https://kvalitet.helse-bergen.no/docs/pub/DOK14490.htm" TargetMode="External" /><Relationship Id="rId22" Type="http://schemas.openxmlformats.org/officeDocument/2006/relationships/hyperlink" Target="https://kvalitet.helse-bergen.no/docs/pub/DOK71868.htm" TargetMode="External" /><Relationship Id="rId23" Type="http://schemas.openxmlformats.org/officeDocument/2006/relationships/hyperlink" Target="https://kvalitet.helse-bergen.no/docs/pub/DOK31827.htm" TargetMode="External" /><Relationship Id="rId24" Type="http://schemas.openxmlformats.org/officeDocument/2006/relationships/hyperlink" Target="https://cp.compendia.no/helse-vest/helse-bergen-hf-personalhandbok/434101" TargetMode="External" /><Relationship Id="rId25" Type="http://schemas.openxmlformats.org/officeDocument/2006/relationships/hyperlink" Target="https://helsevest.sharepoint.com/sites/HBE-intranett-tema-hms/SitePages/Ansatte-og-rus.aspx" TargetMode="External" /><Relationship Id="rId26" Type="http://schemas.openxmlformats.org/officeDocument/2006/relationships/hyperlink" Target="https://lovdata.no/dokument/SF/forskrift/2008-04-03-320" TargetMode="External" /><Relationship Id="rId27" Type="http://schemas.openxmlformats.org/officeDocument/2006/relationships/hyperlink" Target="https://lovdata.no/dokument/NL/lov/1999-07-02-64?q=lov%20om%20helsepersonell" TargetMode="External" /><Relationship Id="rId28" Type="http://schemas.openxmlformats.org/officeDocument/2006/relationships/hyperlink" Target="https://helsevest.sharepoint.com/:w:/r/sites/HBE-intranett-Personal-og-organisasjonsavdelingen/_layouts/15/Doc.aspx?sourcedoc=%7B22FA6C0D-1BE0-4FB9-A571-ECD3DF1B18A1%7D&amp;file=Momentliste%20-%20melding%20til%20Statsforvalteren%20(1).docx&amp;action=default&amp;mobileredirect=true&amp;DefaultItemOpen=1%22%20%5Ct%20%22_blank&amp;wdLOR=c908913B2-7152-4A08-B9E1-D778D8A85127"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handbok.helse-bergen.no/docs/pub/dok14490.htm" TargetMode="External" /><Relationship Id="rId6" Type="http://schemas.openxmlformats.org/officeDocument/2006/relationships/hyperlink" Target="https://handbok.helse-bergen.no/docs/pub/dok71477.xlsx" TargetMode="External" /><Relationship Id="rId7" Type="http://schemas.openxmlformats.org/officeDocument/2006/relationships/hyperlink" Target="https://handbok.helse-bergen.no/docs/pub/DOK31827.htm" TargetMode="External" /><Relationship Id="rId8" Type="http://schemas.openxmlformats.org/officeDocument/2006/relationships/hyperlink" Target="https://handbok.helse-bergen.no/docs/pub/dok81280.htm" TargetMode="External" /><Relationship Id="rId9" Type="http://schemas.openxmlformats.org/officeDocument/2006/relationships/hyperlink" Target="https://handbok.helse-bergen.no/docs/pub/dok71868.ht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55</TotalTime>
  <Pages>4</Pages>
  <Words>1384</Words>
  <Characters>11576</Characters>
  <Application>Microsoft Office Word</Application>
  <DocSecurity>0</DocSecurity>
  <Lines>96</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 og B-preparater - oppfølging ved mistanke om svinn</vt:lpstr>
      <vt:lpstr>HBHF-mal - stående</vt:lpstr>
    </vt:vector>
  </TitlesOfParts>
  <Company>Datakvalitet</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og B-preparater - oppfølging ved mistanke om svinn</dc:title>
  <dc:subject>000302|[RefNr]|</dc:subject>
  <dc:creator>Handbok</dc:creator>
  <cp:lastModifiedBy>Rykken, Sidsel</cp:lastModifiedBy>
  <cp:revision>9</cp:revision>
  <cp:lastPrinted>2006-09-07T08:52:00Z</cp:lastPrinted>
  <dcterms:created xsi:type="dcterms:W3CDTF">2021-12-08T08:43:00Z</dcterms:created>
  <dcterms:modified xsi:type="dcterms:W3CDTF">2026-02-26T08:46:00Z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A- og B-preparater - oppfølging ved mistanke om svinn</vt:lpwstr>
  </property>
  <property fmtid="{D5CDD505-2E9C-101B-9397-08002B2CF9AE}" pid="7" name="EK_DokType">
    <vt:lpwstr>Retningslinje</vt:lpwstr>
  </property>
  <property fmtid="{D5CDD505-2E9C-101B-9397-08002B2CF9AE}" pid="8" name="EK_DokumentID">
    <vt:lpwstr>D83903</vt:lpwstr>
  </property>
  <property fmtid="{D5CDD505-2E9C-101B-9397-08002B2CF9AE}" pid="9" name="EK_EKPrintMerke">
    <vt:lpwstr>Uoffisiell utskrift er kun gyldig på utskriftsdato</vt:lpwstr>
  </property>
  <property fmtid="{D5CDD505-2E9C-101B-9397-08002B2CF9AE}" pid="10" name="EK_GjelderFra">
    <vt:lpwstr>01.03.2026</vt:lpwstr>
  </property>
  <property fmtid="{D5CDD505-2E9C-101B-9397-08002B2CF9AE}" pid="11" name="EK_GjelderTil">
    <vt:lpwstr>01.03.2027</vt:lpwstr>
  </property>
  <property fmtid="{D5CDD505-2E9C-101B-9397-08002B2CF9AE}" pid="12" name="EK_Merknad">
    <vt:lpwstr>[Merknad]</vt:lpwstr>
  </property>
  <property fmtid="{D5CDD505-2E9C-101B-9397-08002B2CF9AE}" pid="13" name="EK_RefNr">
    <vt:lpwstr>1.2.2.4-13</vt:lpwstr>
  </property>
  <property fmtid="{D5CDD505-2E9C-101B-9397-08002B2CF9AE}" pid="14" name="EK_S00MT1">
    <vt:lpwstr>Helse Bergen HF/Fellesdokumenter/Pasientbehandling</vt:lpwstr>
  </property>
  <property fmtid="{D5CDD505-2E9C-101B-9397-08002B2CF9AE}" pid="15" name="EK_S01MT3">
    <vt:lpwstr>[]</vt:lpwstr>
  </property>
  <property fmtid="{D5CDD505-2E9C-101B-9397-08002B2CF9AE}" pid="16" name="EK_Signatur">
    <vt:lpwstr>Bjånes, Tormod Karlsen - legemiddelkomiteen</vt:lpwstr>
  </property>
  <property fmtid="{D5CDD505-2E9C-101B-9397-08002B2CF9AE}" pid="17" name="EK_UText1">
    <vt:lpwstr>Legemiddelkomiteen</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y fmtid="{D5CDD505-2E9C-101B-9397-08002B2CF9AE}" pid="27" name="XD14482">
    <vt:lpwstr>1.2.2.1-02</vt:lpwstr>
  </property>
  <property fmtid="{D5CDD505-2E9C-101B-9397-08002B2CF9AE}" pid="28" name="XD14490">
    <vt:lpwstr>1.2.2.4-01</vt:lpwstr>
  </property>
  <property fmtid="{D5CDD505-2E9C-101B-9397-08002B2CF9AE}" pid="29" name="XD31827">
    <vt:lpwstr>1.4.2.2-01</vt:lpwstr>
  </property>
  <property fmtid="{D5CDD505-2E9C-101B-9397-08002B2CF9AE}" pid="30" name="XD54944">
    <vt:lpwstr>1.2.2.1-12</vt:lpwstr>
  </property>
  <property fmtid="{D5CDD505-2E9C-101B-9397-08002B2CF9AE}" pid="31" name="XD71477">
    <vt:lpwstr>1.1.16.3.1-02</vt:lpwstr>
  </property>
  <property fmtid="{D5CDD505-2E9C-101B-9397-08002B2CF9AE}" pid="32" name="XD71868">
    <vt:lpwstr>1.2.2.4-05</vt:lpwstr>
  </property>
  <property fmtid="{D5CDD505-2E9C-101B-9397-08002B2CF9AE}" pid="33" name="XD77448">
    <vt:lpwstr>1.1.16.7.4-02</vt:lpwstr>
  </property>
  <property fmtid="{D5CDD505-2E9C-101B-9397-08002B2CF9AE}" pid="34" name="XD77449">
    <vt:lpwstr>1.1.16.7.4-03</vt:lpwstr>
  </property>
  <property fmtid="{D5CDD505-2E9C-101B-9397-08002B2CF9AE}" pid="35" name="XD77450">
    <vt:lpwstr>1.1.16.7.4-04</vt:lpwstr>
  </property>
  <property fmtid="{D5CDD505-2E9C-101B-9397-08002B2CF9AE}" pid="36" name="XD77451">
    <vt:lpwstr>1.1.16.7.4-05</vt:lpwstr>
  </property>
  <property fmtid="{D5CDD505-2E9C-101B-9397-08002B2CF9AE}" pid="37" name="XD81280">
    <vt:lpwstr>1.1.7.3-16</vt:lpwstr>
  </property>
  <property fmtid="{D5CDD505-2E9C-101B-9397-08002B2CF9AE}" pid="38" name="XDF14482">
    <vt:lpwstr>Definisjoner Legemidler</vt:lpwstr>
  </property>
  <property fmtid="{D5CDD505-2E9C-101B-9397-08002B2CF9AE}" pid="39" name="XDF14490">
    <vt:lpwstr>A- og B-preparater - kontroll med innkjøp og forbruk</vt:lpwstr>
  </property>
  <property fmtid="{D5CDD505-2E9C-101B-9397-08002B2CF9AE}" pid="40" name="XDF31827">
    <vt:lpwstr>Politianmeldelse i Helse Bergen</vt:lpwstr>
  </property>
  <property fmtid="{D5CDD505-2E9C-101B-9397-08002B2CF9AE}" pid="41" name="XDF54944">
    <vt:lpwstr>Forankring i lov og forskrift</vt:lpwstr>
  </property>
  <property fmtid="{D5CDD505-2E9C-101B-9397-08002B2CF9AE}" pid="42" name="XDF71477">
    <vt:lpwstr>MAL for fullmaktsmatrise</vt:lpwstr>
  </property>
  <property fmtid="{D5CDD505-2E9C-101B-9397-08002B2CF9AE}" pid="43" name="XDF71868">
    <vt:lpwstr>Praktiske tips og råd for kontroll med A- og B-preparater</vt:lpwstr>
  </property>
  <property fmtid="{D5CDD505-2E9C-101B-9397-08002B2CF9AE}" pid="44" name="XDF77448">
    <vt:lpwstr>Rusmiddelpolicy Helse Bergen</vt:lpwstr>
  </property>
  <property fmtid="{D5CDD505-2E9C-101B-9397-08002B2CF9AE}" pid="45" name="XDF77449">
    <vt:lpwstr>Rutine ved mistanke om ruspåvirkning i arbeidstiden eller rusmiddelavhengighet hos arbeidstaker</vt:lpwstr>
  </property>
  <property fmtid="{D5CDD505-2E9C-101B-9397-08002B2CF9AE}" pid="46" name="XDF77450">
    <vt:lpwstr>Oppfølging av ansatte ved mistanke om tyveri eller underslag av medikamenter</vt:lpwstr>
  </property>
  <property fmtid="{D5CDD505-2E9C-101B-9397-08002B2CF9AE}" pid="47" name="XDF77451">
    <vt:lpwstr>Rusmiddeltesting av medarbeidere i Helse Bergen</vt:lpwstr>
  </property>
  <property fmtid="{D5CDD505-2E9C-101B-9397-08002B2CF9AE}" pid="48" name="XDF81280">
    <vt:lpwstr>Svinngruppen i Helse Bergen - mandat og sammensetning</vt:lpwstr>
  </property>
  <property fmtid="{D5CDD505-2E9C-101B-9397-08002B2CF9AE}" pid="49" name="XDL14482">
    <vt:lpwstr>1.2.2.1-02 Definisjoner Legemidler</vt:lpwstr>
  </property>
  <property fmtid="{D5CDD505-2E9C-101B-9397-08002B2CF9AE}" pid="50" name="XDL14490">
    <vt:lpwstr>1.2.2.4-01 A- og B-preparater - kontroll med innkjøp og forbruk</vt:lpwstr>
  </property>
  <property fmtid="{D5CDD505-2E9C-101B-9397-08002B2CF9AE}" pid="51" name="XDL31827">
    <vt:lpwstr>1.4.2.2-01 Politianmeldelse i Helse Bergen</vt:lpwstr>
  </property>
  <property fmtid="{D5CDD505-2E9C-101B-9397-08002B2CF9AE}" pid="52" name="XDL54944">
    <vt:lpwstr>1.2.2.1-12 Forankring i lov og forskrift</vt:lpwstr>
  </property>
  <property fmtid="{D5CDD505-2E9C-101B-9397-08002B2CF9AE}" pid="53" name="XDL71477">
    <vt:lpwstr>1.1.16.3.1-02 MAL for fullmaktsmatrise</vt:lpwstr>
  </property>
  <property fmtid="{D5CDD505-2E9C-101B-9397-08002B2CF9AE}" pid="54" name="XDL71868">
    <vt:lpwstr>1.2.2.4-05 Praktiske tips og råd for kontroll med A- og B-preparater</vt:lpwstr>
  </property>
  <property fmtid="{D5CDD505-2E9C-101B-9397-08002B2CF9AE}" pid="55" name="XDL77448">
    <vt:lpwstr>1.1.16.7.4-02 Rusmiddelpolicy Helse Bergen</vt:lpwstr>
  </property>
  <property fmtid="{D5CDD505-2E9C-101B-9397-08002B2CF9AE}" pid="56" name="XDL77449">
    <vt:lpwstr>1.1.16.7.4-03 Rutine ved mistanke om ruspåvirkning i arbeidstiden eller rusmiddelavhengighet hos arbeidstaker</vt:lpwstr>
  </property>
  <property fmtid="{D5CDD505-2E9C-101B-9397-08002B2CF9AE}" pid="57" name="XDL77450">
    <vt:lpwstr>1.1.16.7.4-04 Oppfølging av ansatte ved mistanke om tyveri eller underslag av medikamenter</vt:lpwstr>
  </property>
  <property fmtid="{D5CDD505-2E9C-101B-9397-08002B2CF9AE}" pid="58" name="XDL77451">
    <vt:lpwstr>1.1.16.7.4-05 Rusmiddeltesting av medarbeidere i Helse Bergen</vt:lpwstr>
  </property>
  <property fmtid="{D5CDD505-2E9C-101B-9397-08002B2CF9AE}" pid="59" name="XDL81280">
    <vt:lpwstr>1.1.7.3-16 Svinngruppen i Helse Bergen - mandat og sammensetning</vt:lpwstr>
  </property>
  <property fmtid="{D5CDD505-2E9C-101B-9397-08002B2CF9AE}" pid="60" name="XDT14482">
    <vt:lpwstr>Definisjoner Legemidler</vt:lpwstr>
  </property>
  <property fmtid="{D5CDD505-2E9C-101B-9397-08002B2CF9AE}" pid="61" name="XDT14490">
    <vt:lpwstr>A- og B-preparater - kontroll med innkjøp og forbruk</vt:lpwstr>
  </property>
  <property fmtid="{D5CDD505-2E9C-101B-9397-08002B2CF9AE}" pid="62" name="XDT31827">
    <vt:lpwstr>Politianmeldelse i Helse Bergen</vt:lpwstr>
  </property>
  <property fmtid="{D5CDD505-2E9C-101B-9397-08002B2CF9AE}" pid="63" name="XDT54944">
    <vt:lpwstr>Forankring i lov og forskrift</vt:lpwstr>
  </property>
  <property fmtid="{D5CDD505-2E9C-101B-9397-08002B2CF9AE}" pid="64" name="XDT71477">
    <vt:lpwstr>MAL for fullmaktsmatrise</vt:lpwstr>
  </property>
  <property fmtid="{D5CDD505-2E9C-101B-9397-08002B2CF9AE}" pid="65" name="XDT71868">
    <vt:lpwstr>Praktiske tips og råd for kontroll med A- og B-preparater</vt:lpwstr>
  </property>
  <property fmtid="{D5CDD505-2E9C-101B-9397-08002B2CF9AE}" pid="66" name="XDT77448">
    <vt:lpwstr>Rusmiddelpolicy Helse Bergen</vt:lpwstr>
  </property>
  <property fmtid="{D5CDD505-2E9C-101B-9397-08002B2CF9AE}" pid="67" name="XDT77449">
    <vt:lpwstr>Rutine ved mistanke om ruspåvirkning i arbeidstiden eller rusmiddelavhengighet hos arbeidstaker</vt:lpwstr>
  </property>
  <property fmtid="{D5CDD505-2E9C-101B-9397-08002B2CF9AE}" pid="68" name="XDT77450">
    <vt:lpwstr>Oppfølging av ansatte ved mistanke om tyveri eller underslag av medikamenter</vt:lpwstr>
  </property>
  <property fmtid="{D5CDD505-2E9C-101B-9397-08002B2CF9AE}" pid="69" name="XDT77451">
    <vt:lpwstr>Rusmiddeltesting av medarbeidere i Helse Bergen</vt:lpwstr>
  </property>
  <property fmtid="{D5CDD505-2E9C-101B-9397-08002B2CF9AE}" pid="70" name="XDT81280">
    <vt:lpwstr>Svinngruppen i Helse Bergen - mandat og sammensetning</vt:lpwstr>
  </property>
</Properties>
</file>