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 Generated by Aspose.Words for .NET 23.5.0 -->
  <w:body>
    <w:bookmarkStart w:id="0" w:name="tempHer" w:displacedByCustomXml="next"/>
    <w:bookmarkEnd w:id="0" w:displacedByCustomXml="next"/>
    <w:sdt>
      <w:sdtPr>
        <w:id w:val="684425175"/>
        <w:docPartObj>
          <w:docPartGallery w:val="Table of Contents"/>
          <w:docPartUnique/>
        </w:docPartObj>
      </w:sdtPr>
      <w:sdtContent>
        <w:p w:rsidR="00A55D47" w:rsidRPr="00066A58" w:rsidP="0E715B59" w14:paraId="4B3E9AD0" w14:textId="77777777">
          <w:pPr>
            <w:pStyle w:val="StilOverskriftforinnholdsfortegnelseLatinBrdtekstCali"/>
            <w:numPr>
              <w:ilvl w:val="0"/>
              <w:numId w:val="0"/>
            </w:numPr>
            <w:spacing w:line="360" w:lineRule="auto"/>
          </w:pPr>
          <w:r w:rsidR="107F0A2D">
            <w:t>Innhold</w:t>
          </w:r>
        </w:p>
        <w:p>
          <w:pPr>
            <w:pStyle w:val="TOC1"/>
            <w:tabs>
              <w:tab w:val="left" w:pos="480"/>
              <w:tab w:val="right" w:leader="dot" w:pos="9061"/>
            </w:tabs>
            <w:rPr>
              <w:rFonts w:asciiTheme="minorHAnsi" w:hAnsiTheme="minorHAnsi"/>
              <w:noProof/>
              <w:sz w:val="22"/>
            </w:rPr>
          </w:pPr>
          <w:r>
            <w:fldChar w:fldCharType="begin"/>
          </w:r>
          <w:r>
            <w:instrText>TOC \o "1-3" \z \u \h</w:instrText>
          </w:r>
          <w:r>
            <w:fldChar w:fldCharType="separate"/>
          </w:r>
          <w:hyperlink w:anchor="_Toc256000000" w:history="1">
            <w:r>
              <w:rPr>
                <w:rStyle w:val="Hyperlink"/>
              </w:rPr>
              <w:t>1</w:t>
            </w:r>
            <w:r>
              <w:rPr>
                <w:rFonts w:asciiTheme="minorHAnsi" w:hAnsiTheme="minorHAnsi"/>
                <w:noProof/>
                <w:sz w:val="22"/>
              </w:rPr>
              <w:tab/>
            </w:r>
            <w:r w:rsidR="107F0A2D">
              <w:rPr>
                <w:rStyle w:val="Hyperlink"/>
              </w:rPr>
              <w:t>Retningslinjens formål</w:t>
            </w:r>
            <w:r>
              <w:tab/>
            </w:r>
            <w:r>
              <w:fldChar w:fldCharType="begin"/>
            </w:r>
            <w:r>
              <w:instrText xml:space="preserve"> PAGEREF _Toc256000000 \h </w:instrText>
            </w:r>
            <w:r>
              <w:fldChar w:fldCharType="separate"/>
            </w:r>
            <w:r>
              <w:t>1</w:t>
            </w:r>
            <w:r>
              <w:fldChar w:fldCharType="end"/>
            </w:r>
          </w:hyperlink>
        </w:p>
        <w:p>
          <w:pPr>
            <w:pStyle w:val="TOC1"/>
            <w:tabs>
              <w:tab w:val="left" w:pos="480"/>
              <w:tab w:val="right" w:leader="dot" w:pos="9061"/>
            </w:tabs>
            <w:rPr>
              <w:rFonts w:asciiTheme="minorHAnsi" w:hAnsiTheme="minorHAnsi"/>
              <w:noProof/>
              <w:sz w:val="22"/>
            </w:rPr>
          </w:pPr>
          <w:hyperlink w:anchor="_Toc256000001" w:history="1">
            <w:r>
              <w:rPr>
                <w:rStyle w:val="Hyperlink"/>
              </w:rPr>
              <w:t>2</w:t>
            </w:r>
            <w:r>
              <w:rPr>
                <w:rFonts w:asciiTheme="minorHAnsi" w:hAnsiTheme="minorHAnsi"/>
                <w:noProof/>
                <w:sz w:val="22"/>
              </w:rPr>
              <w:tab/>
            </w:r>
            <w:r w:rsidR="107F0A2D">
              <w:rPr>
                <w:rStyle w:val="Hyperlink"/>
              </w:rPr>
              <w:t>Prosedyren gjelder for</w:t>
            </w:r>
            <w:r>
              <w:tab/>
            </w:r>
            <w:r>
              <w:fldChar w:fldCharType="begin"/>
            </w:r>
            <w:r>
              <w:instrText xml:space="preserve"> PAGEREF _Toc256000001 \h </w:instrText>
            </w:r>
            <w:r>
              <w:fldChar w:fldCharType="separate"/>
            </w:r>
            <w:r>
              <w:t>2</w:t>
            </w:r>
            <w:r>
              <w:fldChar w:fldCharType="end"/>
            </w:r>
          </w:hyperlink>
        </w:p>
        <w:p>
          <w:pPr>
            <w:pStyle w:val="TOC1"/>
            <w:tabs>
              <w:tab w:val="left" w:pos="480"/>
              <w:tab w:val="right" w:leader="dot" w:pos="9061"/>
            </w:tabs>
            <w:rPr>
              <w:rFonts w:asciiTheme="minorHAnsi" w:hAnsiTheme="minorHAnsi"/>
              <w:noProof/>
              <w:sz w:val="22"/>
            </w:rPr>
          </w:pPr>
          <w:hyperlink w:anchor="_Toc256000002" w:history="1">
            <w:r>
              <w:rPr>
                <w:rStyle w:val="Hyperlink"/>
              </w:rPr>
              <w:t>3</w:t>
            </w:r>
            <w:r>
              <w:rPr>
                <w:rFonts w:asciiTheme="minorHAnsi" w:hAnsiTheme="minorHAnsi"/>
                <w:noProof/>
                <w:sz w:val="22"/>
              </w:rPr>
              <w:tab/>
            </w:r>
            <w:r w:rsidR="107F0A2D">
              <w:rPr>
                <w:rStyle w:val="Hyperlink"/>
              </w:rPr>
              <w:t>Målgruppe</w:t>
            </w:r>
            <w:r>
              <w:tab/>
            </w:r>
            <w:r>
              <w:fldChar w:fldCharType="begin"/>
            </w:r>
            <w:r>
              <w:instrText xml:space="preserve"> PAGEREF _Toc256000002 \h </w:instrText>
            </w:r>
            <w:r>
              <w:fldChar w:fldCharType="separate"/>
            </w:r>
            <w:r>
              <w:t>2</w:t>
            </w:r>
            <w:r>
              <w:fldChar w:fldCharType="end"/>
            </w:r>
          </w:hyperlink>
        </w:p>
        <w:p>
          <w:pPr>
            <w:pStyle w:val="TOC1"/>
            <w:tabs>
              <w:tab w:val="left" w:pos="480"/>
              <w:tab w:val="right" w:leader="dot" w:pos="9061"/>
            </w:tabs>
            <w:rPr>
              <w:rFonts w:asciiTheme="minorHAnsi" w:hAnsiTheme="minorHAnsi"/>
              <w:noProof/>
              <w:sz w:val="22"/>
            </w:rPr>
          </w:pPr>
          <w:hyperlink w:anchor="_Toc256000003" w:history="1">
            <w:r>
              <w:rPr>
                <w:rStyle w:val="Hyperlink"/>
              </w:rPr>
              <w:t>4</w:t>
            </w:r>
            <w:r>
              <w:rPr>
                <w:rFonts w:asciiTheme="minorHAnsi" w:hAnsiTheme="minorHAnsi"/>
                <w:noProof/>
                <w:sz w:val="22"/>
              </w:rPr>
              <w:tab/>
            </w:r>
            <w:r w:rsidR="107F0A2D">
              <w:rPr>
                <w:rStyle w:val="Hyperlink"/>
              </w:rPr>
              <w:t>Ansvar</w:t>
            </w:r>
            <w:r>
              <w:tab/>
            </w:r>
            <w:r>
              <w:fldChar w:fldCharType="begin"/>
            </w:r>
            <w:r>
              <w:instrText xml:space="preserve"> PAGEREF _Toc256000003 \h </w:instrText>
            </w:r>
            <w:r>
              <w:fldChar w:fldCharType="separate"/>
            </w:r>
            <w:r>
              <w:t>2</w:t>
            </w:r>
            <w:r>
              <w:fldChar w:fldCharType="end"/>
            </w:r>
          </w:hyperlink>
        </w:p>
        <w:p>
          <w:pPr>
            <w:pStyle w:val="TOC1"/>
            <w:tabs>
              <w:tab w:val="left" w:pos="480"/>
              <w:tab w:val="right" w:leader="dot" w:pos="9061"/>
            </w:tabs>
            <w:rPr>
              <w:rFonts w:asciiTheme="minorHAnsi" w:hAnsiTheme="minorHAnsi"/>
              <w:noProof/>
              <w:sz w:val="22"/>
            </w:rPr>
          </w:pPr>
          <w:hyperlink w:anchor="_Toc256000004" w:history="1">
            <w:r>
              <w:rPr>
                <w:rStyle w:val="Hyperlink"/>
              </w:rPr>
              <w:t>5</w:t>
            </w:r>
            <w:r>
              <w:rPr>
                <w:rFonts w:asciiTheme="minorHAnsi" w:hAnsiTheme="minorHAnsi"/>
                <w:noProof/>
                <w:sz w:val="22"/>
              </w:rPr>
              <w:tab/>
            </w:r>
            <w:r w:rsidRPr="107F0A2D" w:rsidR="107F0A2D">
              <w:rPr>
                <w:rStyle w:val="Hyperlink"/>
              </w:rPr>
              <w:t>Begrepsavklaring</w:t>
            </w:r>
            <w:r>
              <w:tab/>
            </w:r>
            <w:r>
              <w:fldChar w:fldCharType="begin"/>
            </w:r>
            <w:r>
              <w:instrText xml:space="preserve"> PAGEREF _Toc256000004 \h </w:instrText>
            </w:r>
            <w:r>
              <w:fldChar w:fldCharType="separate"/>
            </w:r>
            <w:r>
              <w:t>2</w:t>
            </w:r>
            <w:r>
              <w:fldChar w:fldCharType="end"/>
            </w:r>
          </w:hyperlink>
        </w:p>
        <w:p>
          <w:pPr>
            <w:pStyle w:val="TOC1"/>
            <w:tabs>
              <w:tab w:val="left" w:pos="480"/>
              <w:tab w:val="right" w:leader="dot" w:pos="9061"/>
            </w:tabs>
            <w:rPr>
              <w:rFonts w:asciiTheme="minorHAnsi" w:hAnsiTheme="minorHAnsi"/>
              <w:noProof/>
              <w:sz w:val="22"/>
            </w:rPr>
          </w:pPr>
          <w:hyperlink w:anchor="_Toc256000005" w:history="1">
            <w:r>
              <w:rPr>
                <w:rStyle w:val="Hyperlink"/>
              </w:rPr>
              <w:t>6</w:t>
            </w:r>
            <w:r>
              <w:rPr>
                <w:rFonts w:asciiTheme="minorHAnsi" w:hAnsiTheme="minorHAnsi"/>
                <w:noProof/>
                <w:sz w:val="22"/>
              </w:rPr>
              <w:tab/>
            </w:r>
            <w:r w:rsidR="107F0A2D">
              <w:rPr>
                <w:rStyle w:val="Hyperlink"/>
              </w:rPr>
              <w:t>Parenteral ernæring</w:t>
            </w:r>
            <w:r>
              <w:tab/>
            </w:r>
            <w:r>
              <w:fldChar w:fldCharType="begin"/>
            </w:r>
            <w:r>
              <w:instrText xml:space="preserve"> PAGEREF _Toc256000005 \h </w:instrText>
            </w:r>
            <w:r>
              <w:fldChar w:fldCharType="separate"/>
            </w:r>
            <w:r>
              <w:t>2</w:t>
            </w:r>
            <w:r>
              <w:fldChar w:fldCharType="end"/>
            </w:r>
          </w:hyperlink>
        </w:p>
        <w:p>
          <w:pPr>
            <w:pStyle w:val="TOC2"/>
            <w:tabs>
              <w:tab w:val="left" w:pos="880"/>
              <w:tab w:val="right" w:leader="dot" w:pos="9061"/>
            </w:tabs>
            <w:rPr>
              <w:rFonts w:asciiTheme="minorHAnsi" w:hAnsiTheme="minorHAnsi"/>
              <w:noProof/>
              <w:sz w:val="22"/>
            </w:rPr>
          </w:pPr>
          <w:hyperlink w:anchor="_Toc256000006" w:history="1">
            <w:r>
              <w:rPr>
                <w:rStyle w:val="Hyperlink"/>
                <w:b/>
                <w:bCs/>
              </w:rPr>
              <w:t>6.1</w:t>
            </w:r>
            <w:r>
              <w:rPr>
                <w:rFonts w:asciiTheme="minorHAnsi" w:hAnsiTheme="minorHAnsi"/>
                <w:b/>
                <w:bCs/>
                <w:noProof/>
                <w:sz w:val="22"/>
              </w:rPr>
              <w:tab/>
            </w:r>
            <w:r w:rsidRPr="107F0A2D" w:rsidR="107F0A2D">
              <w:rPr>
                <w:rStyle w:val="Hyperlink"/>
                <w:b/>
                <w:bCs/>
              </w:rPr>
              <w:t>Rekvirering av parenteral ernæring</w:t>
            </w:r>
            <w:r>
              <w:tab/>
            </w:r>
            <w:r>
              <w:fldChar w:fldCharType="begin"/>
            </w:r>
            <w:r>
              <w:instrText xml:space="preserve"> PAGEREF _Toc256000006 \h </w:instrText>
            </w:r>
            <w:r>
              <w:fldChar w:fldCharType="separate"/>
            </w:r>
            <w:r>
              <w:t>3</w:t>
            </w:r>
            <w:r>
              <w:fldChar w:fldCharType="end"/>
            </w:r>
          </w:hyperlink>
        </w:p>
        <w:p>
          <w:pPr>
            <w:pStyle w:val="TOC2"/>
            <w:tabs>
              <w:tab w:val="left" w:pos="880"/>
              <w:tab w:val="right" w:leader="dot" w:pos="9061"/>
            </w:tabs>
            <w:rPr>
              <w:rFonts w:asciiTheme="minorHAnsi" w:hAnsiTheme="minorHAnsi"/>
              <w:noProof/>
              <w:sz w:val="22"/>
            </w:rPr>
          </w:pPr>
          <w:hyperlink w:anchor="_Toc256000007" w:history="1">
            <w:r>
              <w:rPr>
                <w:rStyle w:val="Hyperlink"/>
                <w:b/>
                <w:bCs/>
              </w:rPr>
              <w:t>6.2</w:t>
            </w:r>
            <w:r>
              <w:rPr>
                <w:rFonts w:asciiTheme="minorHAnsi" w:hAnsiTheme="minorHAnsi"/>
                <w:b/>
                <w:bCs/>
                <w:noProof/>
                <w:sz w:val="22"/>
              </w:rPr>
              <w:tab/>
            </w:r>
            <w:r w:rsidRPr="107F0A2D" w:rsidR="107F0A2D">
              <w:rPr>
                <w:rStyle w:val="Hyperlink"/>
                <w:b/>
                <w:bCs/>
              </w:rPr>
              <w:t xml:space="preserve">Ordinasjon i </w:t>
            </w:r>
            <w:r w:rsidRPr="107F0A2D" w:rsidR="107F0A2D">
              <w:rPr>
                <w:rStyle w:val="Hyperlink"/>
                <w:b/>
                <w:bCs/>
              </w:rPr>
              <w:t>Meona</w:t>
            </w:r>
            <w:r>
              <w:tab/>
            </w:r>
            <w:r>
              <w:fldChar w:fldCharType="begin"/>
            </w:r>
            <w:r>
              <w:instrText xml:space="preserve"> PAGEREF _Toc256000007 \h </w:instrText>
            </w:r>
            <w:r>
              <w:fldChar w:fldCharType="separate"/>
            </w:r>
            <w:r>
              <w:t>3</w:t>
            </w:r>
            <w:r>
              <w:fldChar w:fldCharType="end"/>
            </w:r>
          </w:hyperlink>
        </w:p>
        <w:p>
          <w:pPr>
            <w:pStyle w:val="TOC3"/>
            <w:tabs>
              <w:tab w:val="left" w:pos="1320"/>
              <w:tab w:val="right" w:leader="dot" w:pos="9061"/>
            </w:tabs>
            <w:rPr>
              <w:rFonts w:asciiTheme="minorHAnsi" w:hAnsiTheme="minorHAnsi"/>
              <w:noProof/>
              <w:sz w:val="22"/>
            </w:rPr>
          </w:pPr>
          <w:hyperlink w:anchor="_Toc256000008" w:history="1">
            <w:r>
              <w:rPr>
                <w:rStyle w:val="Hyperlink"/>
              </w:rPr>
              <w:t>6.2.1</w:t>
            </w:r>
            <w:r>
              <w:rPr>
                <w:rFonts w:asciiTheme="minorHAnsi" w:hAnsiTheme="minorHAnsi"/>
                <w:noProof/>
                <w:sz w:val="22"/>
              </w:rPr>
              <w:tab/>
            </w:r>
            <w:r w:rsidRPr="107F0A2D" w:rsidR="107F0A2D">
              <w:rPr>
                <w:rStyle w:val="Hyperlink"/>
              </w:rPr>
              <w:t>Kontinuerlig infusjon (Inf.-/Ernæringspumpe)</w:t>
            </w:r>
            <w:r>
              <w:tab/>
            </w:r>
            <w:r>
              <w:fldChar w:fldCharType="begin"/>
            </w:r>
            <w:r>
              <w:instrText xml:space="preserve"> PAGEREF _Toc256000008 \h </w:instrText>
            </w:r>
            <w:r>
              <w:fldChar w:fldCharType="separate"/>
            </w:r>
            <w:r>
              <w:t>3</w:t>
            </w:r>
            <w:r>
              <w:fldChar w:fldCharType="end"/>
            </w:r>
          </w:hyperlink>
        </w:p>
        <w:p>
          <w:pPr>
            <w:pStyle w:val="TOC3"/>
            <w:tabs>
              <w:tab w:val="left" w:pos="1320"/>
              <w:tab w:val="right" w:leader="dot" w:pos="9061"/>
            </w:tabs>
            <w:rPr>
              <w:rFonts w:asciiTheme="minorHAnsi" w:hAnsiTheme="minorHAnsi"/>
              <w:noProof/>
              <w:sz w:val="22"/>
            </w:rPr>
          </w:pPr>
          <w:hyperlink w:anchor="_Toc256000009" w:history="1">
            <w:r>
              <w:rPr>
                <w:rStyle w:val="Hyperlink"/>
              </w:rPr>
              <w:t>6.2.2</w:t>
            </w:r>
            <w:r>
              <w:rPr>
                <w:rFonts w:asciiTheme="minorHAnsi" w:hAnsiTheme="minorHAnsi"/>
                <w:noProof/>
                <w:sz w:val="22"/>
              </w:rPr>
              <w:tab/>
            </w:r>
            <w:r w:rsidRPr="107F0A2D" w:rsidR="107F0A2D">
              <w:rPr>
                <w:rStyle w:val="Hyperlink"/>
              </w:rPr>
              <w:t>Tidsavgrenset infusjon (Infusjon)</w:t>
            </w:r>
            <w:r>
              <w:tab/>
            </w:r>
            <w:r>
              <w:fldChar w:fldCharType="begin"/>
            </w:r>
            <w:r>
              <w:instrText xml:space="preserve"> PAGEREF _Toc256000009 \h </w:instrText>
            </w:r>
            <w:r>
              <w:fldChar w:fldCharType="separate"/>
            </w:r>
            <w:r>
              <w:t>4</w:t>
            </w:r>
            <w:r>
              <w:fldChar w:fldCharType="end"/>
            </w:r>
          </w:hyperlink>
        </w:p>
        <w:p>
          <w:pPr>
            <w:pStyle w:val="TOC2"/>
            <w:tabs>
              <w:tab w:val="left" w:pos="880"/>
              <w:tab w:val="right" w:leader="dot" w:pos="9061"/>
            </w:tabs>
            <w:rPr>
              <w:rFonts w:asciiTheme="minorHAnsi" w:hAnsiTheme="minorHAnsi"/>
              <w:noProof/>
              <w:sz w:val="22"/>
            </w:rPr>
          </w:pPr>
          <w:hyperlink w:anchor="_Toc256000010" w:history="1">
            <w:r>
              <w:rPr>
                <w:rStyle w:val="Hyperlink"/>
                <w:b/>
                <w:bCs/>
              </w:rPr>
              <w:t>6.3</w:t>
            </w:r>
            <w:r>
              <w:rPr>
                <w:rFonts w:asciiTheme="minorHAnsi" w:hAnsiTheme="minorHAnsi"/>
                <w:b/>
                <w:bCs/>
                <w:noProof/>
                <w:sz w:val="22"/>
              </w:rPr>
              <w:tab/>
            </w:r>
            <w:r w:rsidRPr="107F0A2D" w:rsidR="107F0A2D">
              <w:rPr>
                <w:rStyle w:val="Hyperlink"/>
                <w:b/>
                <w:bCs/>
              </w:rPr>
              <w:t>Dosering og kontroll</w:t>
            </w:r>
            <w:r>
              <w:tab/>
            </w:r>
            <w:r>
              <w:fldChar w:fldCharType="begin"/>
            </w:r>
            <w:r>
              <w:instrText xml:space="preserve"> PAGEREF _Toc256000010 \h </w:instrText>
            </w:r>
            <w:r>
              <w:fldChar w:fldCharType="separate"/>
            </w:r>
            <w:r>
              <w:t>4</w:t>
            </w:r>
            <w:r>
              <w:fldChar w:fldCharType="end"/>
            </w:r>
          </w:hyperlink>
        </w:p>
        <w:p>
          <w:pPr>
            <w:pStyle w:val="TOC3"/>
            <w:tabs>
              <w:tab w:val="left" w:pos="1320"/>
              <w:tab w:val="right" w:leader="dot" w:pos="9061"/>
            </w:tabs>
            <w:rPr>
              <w:rFonts w:asciiTheme="minorHAnsi" w:hAnsiTheme="minorHAnsi"/>
              <w:noProof/>
              <w:sz w:val="22"/>
            </w:rPr>
          </w:pPr>
          <w:hyperlink w:anchor="_Toc256000011" w:history="1">
            <w:r>
              <w:rPr>
                <w:rStyle w:val="Hyperlink"/>
              </w:rPr>
              <w:t>6.3.1</w:t>
            </w:r>
            <w:r>
              <w:rPr>
                <w:rFonts w:asciiTheme="minorHAnsi" w:hAnsiTheme="minorHAnsi"/>
                <w:noProof/>
                <w:sz w:val="22"/>
              </w:rPr>
              <w:tab/>
            </w:r>
            <w:r w:rsidRPr="107F0A2D" w:rsidR="107F0A2D">
              <w:rPr>
                <w:rStyle w:val="Hyperlink"/>
              </w:rPr>
              <w:t>Dobbeltkontroll</w:t>
            </w:r>
            <w:r>
              <w:tab/>
            </w:r>
            <w:r>
              <w:fldChar w:fldCharType="begin"/>
            </w:r>
            <w:r>
              <w:instrText xml:space="preserve"> PAGEREF _Toc256000011 \h </w:instrText>
            </w:r>
            <w:r>
              <w:fldChar w:fldCharType="separate"/>
            </w:r>
            <w:r>
              <w:t>4</w:t>
            </w:r>
            <w:r>
              <w:fldChar w:fldCharType="end"/>
            </w:r>
          </w:hyperlink>
        </w:p>
        <w:p>
          <w:pPr>
            <w:pStyle w:val="TOC2"/>
            <w:tabs>
              <w:tab w:val="left" w:pos="880"/>
              <w:tab w:val="right" w:leader="dot" w:pos="9061"/>
            </w:tabs>
            <w:rPr>
              <w:rFonts w:asciiTheme="minorHAnsi" w:hAnsiTheme="minorHAnsi"/>
              <w:noProof/>
              <w:sz w:val="22"/>
            </w:rPr>
          </w:pPr>
          <w:hyperlink w:anchor="_Toc256000012" w:history="1">
            <w:r>
              <w:rPr>
                <w:rStyle w:val="Hyperlink"/>
                <w:b/>
                <w:bCs/>
              </w:rPr>
              <w:t>6.4</w:t>
            </w:r>
            <w:r>
              <w:rPr>
                <w:rFonts w:asciiTheme="minorHAnsi" w:hAnsiTheme="minorHAnsi"/>
                <w:b/>
                <w:bCs/>
                <w:noProof/>
                <w:sz w:val="22"/>
              </w:rPr>
              <w:tab/>
            </w:r>
            <w:r w:rsidRPr="52327787" w:rsidR="52327787">
              <w:rPr>
                <w:rStyle w:val="Hyperlink"/>
                <w:b/>
                <w:bCs/>
              </w:rPr>
              <w:t xml:space="preserve">Tilbereding og </w:t>
            </w:r>
            <w:r w:rsidRPr="52327787" w:rsidR="52327787">
              <w:rPr>
                <w:rStyle w:val="Hyperlink"/>
                <w:b/>
                <w:bCs/>
              </w:rPr>
              <w:t>tilsetninger</w:t>
            </w:r>
            <w:r>
              <w:tab/>
            </w:r>
            <w:r>
              <w:fldChar w:fldCharType="begin"/>
            </w:r>
            <w:r>
              <w:instrText xml:space="preserve"> PAGEREF _Toc256000012 \h </w:instrText>
            </w:r>
            <w:r>
              <w:fldChar w:fldCharType="separate"/>
            </w:r>
            <w:r>
              <w:t>4</w:t>
            </w:r>
            <w:r>
              <w:fldChar w:fldCharType="end"/>
            </w:r>
          </w:hyperlink>
        </w:p>
        <w:p>
          <w:pPr>
            <w:pStyle w:val="TOC2"/>
            <w:tabs>
              <w:tab w:val="left" w:pos="880"/>
              <w:tab w:val="right" w:leader="dot" w:pos="9061"/>
            </w:tabs>
            <w:rPr>
              <w:rFonts w:asciiTheme="minorHAnsi" w:hAnsiTheme="minorHAnsi"/>
              <w:noProof/>
              <w:sz w:val="22"/>
            </w:rPr>
          </w:pPr>
          <w:hyperlink w:anchor="_Toc256000013" w:history="1">
            <w:r>
              <w:rPr>
                <w:rStyle w:val="Hyperlink"/>
                <w:b/>
                <w:bCs/>
              </w:rPr>
              <w:t>6.5</w:t>
            </w:r>
            <w:r>
              <w:rPr>
                <w:rFonts w:asciiTheme="minorHAnsi" w:hAnsiTheme="minorHAnsi"/>
                <w:b/>
                <w:bCs/>
                <w:noProof/>
                <w:sz w:val="22"/>
              </w:rPr>
              <w:tab/>
            </w:r>
            <w:r w:rsidRPr="107F0A2D">
              <w:rPr>
                <w:rStyle w:val="Hyperlink"/>
                <w:b/>
                <w:bCs/>
              </w:rPr>
              <w:t>Lagring og holdbarhet</w:t>
            </w:r>
            <w:r>
              <w:tab/>
            </w:r>
            <w:r>
              <w:fldChar w:fldCharType="begin"/>
            </w:r>
            <w:r>
              <w:instrText xml:space="preserve"> PAGEREF _Toc256000013 \h </w:instrText>
            </w:r>
            <w:r>
              <w:fldChar w:fldCharType="separate"/>
            </w:r>
            <w:r>
              <w:t>5</w:t>
            </w:r>
            <w:r>
              <w:fldChar w:fldCharType="end"/>
            </w:r>
          </w:hyperlink>
        </w:p>
        <w:p>
          <w:pPr>
            <w:pStyle w:val="TOC2"/>
            <w:tabs>
              <w:tab w:val="left" w:pos="880"/>
              <w:tab w:val="right" w:leader="dot" w:pos="9061"/>
            </w:tabs>
            <w:rPr>
              <w:rFonts w:asciiTheme="minorHAnsi" w:hAnsiTheme="minorHAnsi"/>
              <w:noProof/>
              <w:sz w:val="22"/>
            </w:rPr>
          </w:pPr>
          <w:hyperlink w:anchor="_Toc256000014" w:history="1">
            <w:r>
              <w:rPr>
                <w:rStyle w:val="Hyperlink"/>
                <w:b/>
                <w:bCs/>
              </w:rPr>
              <w:t>6.6</w:t>
            </w:r>
            <w:r>
              <w:rPr>
                <w:rFonts w:asciiTheme="minorHAnsi" w:hAnsiTheme="minorHAnsi"/>
                <w:b/>
                <w:bCs/>
                <w:noProof/>
                <w:sz w:val="22"/>
              </w:rPr>
              <w:tab/>
            </w:r>
            <w:r w:rsidRPr="107F0A2D" w:rsidR="107F0A2D">
              <w:rPr>
                <w:rStyle w:val="Hyperlink"/>
                <w:b/>
                <w:bCs/>
              </w:rPr>
              <w:t>Administrasjon</w:t>
            </w:r>
            <w:r>
              <w:tab/>
            </w:r>
            <w:r>
              <w:fldChar w:fldCharType="begin"/>
            </w:r>
            <w:r>
              <w:instrText xml:space="preserve"> PAGEREF _Toc256000014 \h </w:instrText>
            </w:r>
            <w:r>
              <w:fldChar w:fldCharType="separate"/>
            </w:r>
            <w:r>
              <w:t>5</w:t>
            </w:r>
            <w:r>
              <w:fldChar w:fldCharType="end"/>
            </w:r>
          </w:hyperlink>
        </w:p>
        <w:p>
          <w:pPr>
            <w:pStyle w:val="TOC3"/>
            <w:tabs>
              <w:tab w:val="left" w:pos="1320"/>
              <w:tab w:val="right" w:leader="dot" w:pos="9061"/>
            </w:tabs>
            <w:rPr>
              <w:rFonts w:asciiTheme="minorHAnsi" w:hAnsiTheme="minorHAnsi"/>
              <w:noProof/>
              <w:sz w:val="22"/>
            </w:rPr>
          </w:pPr>
          <w:hyperlink w:anchor="_Toc256000015" w:history="1">
            <w:r>
              <w:rPr>
                <w:rStyle w:val="Hyperlink"/>
                <w:rFonts w:ascii="Calibri" w:eastAsia="Calibri" w:hAnsi="Calibri" w:cs="Calibri"/>
              </w:rPr>
              <w:t>6.6.1</w:t>
            </w:r>
            <w:r>
              <w:rPr>
                <w:rFonts w:eastAsia="Calibri" w:asciiTheme="minorHAnsi" w:hAnsiTheme="minorHAnsi" w:cs="Calibri"/>
                <w:noProof/>
                <w:sz w:val="22"/>
              </w:rPr>
              <w:tab/>
            </w:r>
            <w:r w:rsidRPr="107F0A2D" w:rsidR="107F0A2D">
              <w:rPr>
                <w:rStyle w:val="Hyperlink"/>
              </w:rPr>
              <w:t>Infusjonshastighet</w:t>
            </w:r>
            <w:r>
              <w:tab/>
            </w:r>
            <w:r>
              <w:fldChar w:fldCharType="begin"/>
            </w:r>
            <w:r>
              <w:instrText xml:space="preserve"> PAGEREF _Toc256000015 \h </w:instrText>
            </w:r>
            <w:r>
              <w:fldChar w:fldCharType="separate"/>
            </w:r>
            <w:r>
              <w:t>6</w:t>
            </w:r>
            <w:r>
              <w:fldChar w:fldCharType="end"/>
            </w:r>
          </w:hyperlink>
        </w:p>
        <w:p>
          <w:pPr>
            <w:pStyle w:val="TOC3"/>
            <w:tabs>
              <w:tab w:val="left" w:pos="1320"/>
              <w:tab w:val="right" w:leader="dot" w:pos="9061"/>
            </w:tabs>
            <w:rPr>
              <w:rFonts w:asciiTheme="minorHAnsi" w:hAnsiTheme="minorHAnsi"/>
              <w:noProof/>
              <w:sz w:val="22"/>
            </w:rPr>
          </w:pPr>
          <w:hyperlink w:anchor="_Toc256000016" w:history="1">
            <w:r>
              <w:rPr>
                <w:rStyle w:val="Hyperlink"/>
              </w:rPr>
              <w:t>6.6.2</w:t>
            </w:r>
            <w:r>
              <w:rPr>
                <w:rFonts w:asciiTheme="minorHAnsi" w:hAnsiTheme="minorHAnsi"/>
                <w:noProof/>
                <w:sz w:val="22"/>
              </w:rPr>
              <w:tab/>
            </w:r>
            <w:r w:rsidRPr="107F0A2D" w:rsidR="107F0A2D">
              <w:rPr>
                <w:rStyle w:val="Hyperlink"/>
              </w:rPr>
              <w:t>Samtidig administrasjon av andre legemidler</w:t>
            </w:r>
            <w:r>
              <w:tab/>
            </w:r>
            <w:r>
              <w:fldChar w:fldCharType="begin"/>
            </w:r>
            <w:r>
              <w:instrText xml:space="preserve"> PAGEREF _Toc256000016 \h </w:instrText>
            </w:r>
            <w:r>
              <w:fldChar w:fldCharType="separate"/>
            </w:r>
            <w:r>
              <w:t>6</w:t>
            </w:r>
            <w:r>
              <w:fldChar w:fldCharType="end"/>
            </w:r>
          </w:hyperlink>
        </w:p>
        <w:p>
          <w:pPr>
            <w:pStyle w:val="TOC2"/>
            <w:tabs>
              <w:tab w:val="left" w:pos="880"/>
              <w:tab w:val="right" w:leader="dot" w:pos="9061"/>
            </w:tabs>
            <w:rPr>
              <w:rFonts w:asciiTheme="minorHAnsi" w:hAnsiTheme="minorHAnsi"/>
              <w:noProof/>
              <w:sz w:val="22"/>
            </w:rPr>
          </w:pPr>
          <w:hyperlink w:anchor="_Toc256000017" w:history="1">
            <w:r>
              <w:rPr>
                <w:rStyle w:val="Hyperlink"/>
                <w:b/>
                <w:bCs/>
              </w:rPr>
              <w:t>6.7</w:t>
            </w:r>
            <w:r>
              <w:rPr>
                <w:rFonts w:asciiTheme="minorHAnsi" w:hAnsiTheme="minorHAnsi"/>
                <w:b/>
                <w:bCs/>
                <w:noProof/>
                <w:sz w:val="22"/>
              </w:rPr>
              <w:tab/>
            </w:r>
            <w:r w:rsidRPr="107F0A2D" w:rsidR="107F0A2D">
              <w:rPr>
                <w:rStyle w:val="Hyperlink"/>
                <w:b/>
                <w:bCs/>
              </w:rPr>
              <w:t>Forsiktighetsregler</w:t>
            </w:r>
            <w:r>
              <w:tab/>
            </w:r>
            <w:r>
              <w:fldChar w:fldCharType="begin"/>
            </w:r>
            <w:r>
              <w:instrText xml:space="preserve"> PAGEREF _Toc256000017 \h </w:instrText>
            </w:r>
            <w:r>
              <w:fldChar w:fldCharType="separate"/>
            </w:r>
            <w:r>
              <w:t>6</w:t>
            </w:r>
            <w:r>
              <w:fldChar w:fldCharType="end"/>
            </w:r>
          </w:hyperlink>
        </w:p>
        <w:p>
          <w:pPr>
            <w:pStyle w:val="TOC2"/>
            <w:tabs>
              <w:tab w:val="left" w:pos="880"/>
              <w:tab w:val="right" w:leader="dot" w:pos="9061"/>
            </w:tabs>
            <w:rPr>
              <w:rFonts w:asciiTheme="minorHAnsi" w:hAnsiTheme="minorHAnsi"/>
              <w:noProof/>
              <w:sz w:val="22"/>
            </w:rPr>
          </w:pPr>
          <w:hyperlink w:anchor="_Toc256000018" w:history="1">
            <w:r>
              <w:rPr>
                <w:rStyle w:val="Hyperlink"/>
                <w:b/>
                <w:bCs/>
              </w:rPr>
              <w:t>6.8</w:t>
            </w:r>
            <w:r>
              <w:rPr>
                <w:rFonts w:asciiTheme="minorHAnsi" w:hAnsiTheme="minorHAnsi"/>
                <w:b/>
                <w:bCs/>
                <w:noProof/>
                <w:sz w:val="22"/>
              </w:rPr>
              <w:tab/>
            </w:r>
            <w:r w:rsidRPr="107F0A2D" w:rsidR="107F0A2D">
              <w:rPr>
                <w:rStyle w:val="Hyperlink"/>
                <w:b/>
                <w:bCs/>
              </w:rPr>
              <w:t>Blodprøvetaking</w:t>
            </w:r>
            <w:r w:rsidRPr="107F0A2D" w:rsidR="107F0A2D">
              <w:rPr>
                <w:rStyle w:val="Hyperlink"/>
                <w:b/>
                <w:bCs/>
              </w:rPr>
              <w:t xml:space="preserve"> ved pågående parenteral ernæring</w:t>
            </w:r>
            <w:r>
              <w:tab/>
            </w:r>
            <w:r>
              <w:fldChar w:fldCharType="begin"/>
            </w:r>
            <w:r>
              <w:instrText xml:space="preserve"> PAGEREF _Toc256000018 \h </w:instrText>
            </w:r>
            <w:r>
              <w:fldChar w:fldCharType="separate"/>
            </w:r>
            <w:r>
              <w:t>7</w:t>
            </w:r>
            <w:r>
              <w:fldChar w:fldCharType="end"/>
            </w:r>
          </w:hyperlink>
        </w:p>
        <w:p>
          <w:pPr>
            <w:pStyle w:val="TOC2"/>
            <w:tabs>
              <w:tab w:val="left" w:pos="880"/>
              <w:tab w:val="right" w:leader="dot" w:pos="9061"/>
            </w:tabs>
            <w:rPr>
              <w:rFonts w:asciiTheme="minorHAnsi" w:hAnsiTheme="minorHAnsi"/>
              <w:noProof/>
              <w:sz w:val="22"/>
            </w:rPr>
          </w:pPr>
          <w:hyperlink w:anchor="_Toc256000019" w:history="1">
            <w:r>
              <w:rPr>
                <w:rStyle w:val="Hyperlink"/>
                <w:b/>
                <w:bCs/>
              </w:rPr>
              <w:t>6.9</w:t>
            </w:r>
            <w:r>
              <w:rPr>
                <w:rFonts w:asciiTheme="minorHAnsi" w:hAnsiTheme="minorHAnsi"/>
                <w:b/>
                <w:bCs/>
                <w:noProof/>
                <w:sz w:val="22"/>
              </w:rPr>
              <w:tab/>
            </w:r>
            <w:r w:rsidRPr="107F0A2D" w:rsidR="107F0A2D">
              <w:rPr>
                <w:rStyle w:val="Hyperlink"/>
                <w:b/>
                <w:bCs/>
              </w:rPr>
              <w:t>Klinisk ernæringsfysiolog (KEF)</w:t>
            </w:r>
            <w:r>
              <w:tab/>
            </w:r>
            <w:r>
              <w:fldChar w:fldCharType="begin"/>
            </w:r>
            <w:r>
              <w:instrText xml:space="preserve"> PAGEREF _Toc256000019 \h </w:instrText>
            </w:r>
            <w:r>
              <w:fldChar w:fldCharType="separate"/>
            </w:r>
            <w:r>
              <w:t>7</w:t>
            </w:r>
            <w:r>
              <w:fldChar w:fldCharType="end"/>
            </w:r>
          </w:hyperlink>
        </w:p>
        <w:p>
          <w:pPr>
            <w:pStyle w:val="TOC2"/>
            <w:tabs>
              <w:tab w:val="left" w:pos="880"/>
              <w:tab w:val="right" w:leader="dot" w:pos="9061"/>
            </w:tabs>
            <w:rPr>
              <w:rFonts w:asciiTheme="minorHAnsi" w:hAnsiTheme="minorHAnsi"/>
              <w:noProof/>
              <w:sz w:val="22"/>
            </w:rPr>
          </w:pPr>
          <w:hyperlink w:anchor="_Toc256000020" w:history="1">
            <w:r>
              <w:rPr>
                <w:rStyle w:val="Hyperlink"/>
                <w:b/>
                <w:bCs/>
              </w:rPr>
              <w:t>6.10</w:t>
            </w:r>
            <w:r>
              <w:rPr>
                <w:rFonts w:asciiTheme="minorHAnsi" w:hAnsiTheme="minorHAnsi"/>
                <w:b/>
                <w:bCs/>
                <w:noProof/>
                <w:sz w:val="22"/>
              </w:rPr>
              <w:tab/>
            </w:r>
            <w:r w:rsidRPr="107F0A2D" w:rsidR="107F0A2D">
              <w:rPr>
                <w:rStyle w:val="Hyperlink"/>
                <w:b/>
                <w:bCs/>
              </w:rPr>
              <w:t>Kostregistrering</w:t>
            </w:r>
            <w:r>
              <w:tab/>
            </w:r>
            <w:r>
              <w:fldChar w:fldCharType="begin"/>
            </w:r>
            <w:r>
              <w:instrText xml:space="preserve"> PAGEREF _Toc256000020 \h </w:instrText>
            </w:r>
            <w:r>
              <w:fldChar w:fldCharType="separate"/>
            </w:r>
            <w:r>
              <w:t>7</w:t>
            </w:r>
            <w:r>
              <w:fldChar w:fldCharType="end"/>
            </w:r>
          </w:hyperlink>
        </w:p>
        <w:p>
          <w:pPr>
            <w:pStyle w:val="TOC3"/>
            <w:tabs>
              <w:tab w:val="left" w:pos="1320"/>
              <w:tab w:val="right" w:leader="dot" w:pos="9061"/>
            </w:tabs>
            <w:rPr>
              <w:rFonts w:asciiTheme="minorHAnsi" w:hAnsiTheme="minorHAnsi"/>
              <w:noProof/>
              <w:sz w:val="22"/>
            </w:rPr>
          </w:pPr>
          <w:hyperlink w:anchor="_Toc256000021" w:history="1">
            <w:r>
              <w:rPr>
                <w:rStyle w:val="Hyperlink"/>
              </w:rPr>
              <w:t>6.10.1</w:t>
            </w:r>
            <w:r>
              <w:rPr>
                <w:rFonts w:asciiTheme="minorHAnsi" w:hAnsiTheme="minorHAnsi"/>
                <w:noProof/>
                <w:sz w:val="22"/>
              </w:rPr>
              <w:tab/>
            </w:r>
            <w:r w:rsidRPr="107F0A2D" w:rsidR="107F0A2D">
              <w:rPr>
                <w:rStyle w:val="Hyperlink"/>
              </w:rPr>
              <w:t>Energiinnhold</w:t>
            </w:r>
            <w:r>
              <w:tab/>
            </w:r>
            <w:r>
              <w:fldChar w:fldCharType="begin"/>
            </w:r>
            <w:r>
              <w:instrText xml:space="preserve"> PAGEREF _Toc256000021 \h </w:instrText>
            </w:r>
            <w:r>
              <w:fldChar w:fldCharType="separate"/>
            </w:r>
            <w:r>
              <w:t>8</w:t>
            </w:r>
            <w:r>
              <w:fldChar w:fldCharType="end"/>
            </w:r>
          </w:hyperlink>
        </w:p>
        <w:p>
          <w:pPr>
            <w:pStyle w:val="TOC2"/>
            <w:tabs>
              <w:tab w:val="left" w:pos="880"/>
              <w:tab w:val="right" w:leader="dot" w:pos="9061"/>
            </w:tabs>
            <w:rPr>
              <w:rFonts w:asciiTheme="minorHAnsi" w:hAnsiTheme="minorHAnsi"/>
              <w:noProof/>
              <w:sz w:val="22"/>
            </w:rPr>
          </w:pPr>
          <w:hyperlink w:anchor="_Toc256000022" w:history="1">
            <w:r>
              <w:rPr>
                <w:rStyle w:val="Hyperlink"/>
                <w:b/>
                <w:bCs/>
              </w:rPr>
              <w:t>6.11</w:t>
            </w:r>
            <w:r>
              <w:rPr>
                <w:rFonts w:asciiTheme="minorHAnsi" w:hAnsiTheme="minorHAnsi"/>
                <w:b/>
                <w:bCs/>
                <w:noProof/>
                <w:sz w:val="22"/>
              </w:rPr>
              <w:tab/>
            </w:r>
            <w:r w:rsidRPr="107F0A2D" w:rsidR="107F0A2D">
              <w:rPr>
                <w:rStyle w:val="Hyperlink"/>
                <w:b/>
                <w:bCs/>
              </w:rPr>
              <w:t xml:space="preserve">Risiko for </w:t>
            </w:r>
            <w:r w:rsidRPr="107F0A2D" w:rsidR="107F0A2D">
              <w:rPr>
                <w:rStyle w:val="Hyperlink"/>
                <w:b/>
                <w:bCs/>
              </w:rPr>
              <w:t>reernæringssyndrom</w:t>
            </w:r>
            <w:r>
              <w:tab/>
            </w:r>
            <w:r>
              <w:fldChar w:fldCharType="begin"/>
            </w:r>
            <w:r>
              <w:instrText xml:space="preserve"> PAGEREF _Toc256000022 \h </w:instrText>
            </w:r>
            <w:r>
              <w:fldChar w:fldCharType="separate"/>
            </w:r>
            <w:r>
              <w:t>8</w:t>
            </w:r>
            <w:r>
              <w:fldChar w:fldCharType="end"/>
            </w:r>
          </w:hyperlink>
        </w:p>
        <w:p>
          <w:pPr>
            <w:pStyle w:val="TOC1"/>
            <w:tabs>
              <w:tab w:val="left" w:pos="480"/>
              <w:tab w:val="right" w:leader="dot" w:pos="9061"/>
            </w:tabs>
            <w:rPr>
              <w:rFonts w:asciiTheme="minorHAnsi" w:hAnsiTheme="minorHAnsi"/>
              <w:noProof/>
              <w:sz w:val="22"/>
            </w:rPr>
          </w:pPr>
          <w:hyperlink w:anchor="_Toc256000023" w:history="1">
            <w:r>
              <w:rPr>
                <w:rStyle w:val="Hyperlink"/>
              </w:rPr>
              <w:t>7</w:t>
            </w:r>
            <w:r>
              <w:rPr>
                <w:rFonts w:asciiTheme="minorHAnsi" w:hAnsiTheme="minorHAnsi"/>
                <w:noProof/>
                <w:sz w:val="22"/>
              </w:rPr>
              <w:tab/>
            </w:r>
            <w:r w:rsidR="107F0A2D">
              <w:rPr>
                <w:rStyle w:val="Hyperlink"/>
              </w:rPr>
              <w:t>Referanser</w:t>
            </w:r>
            <w:r>
              <w:tab/>
            </w:r>
            <w:r>
              <w:fldChar w:fldCharType="begin"/>
            </w:r>
            <w:r>
              <w:instrText xml:space="preserve"> PAGEREF _Toc256000023 \h </w:instrText>
            </w:r>
            <w:r>
              <w:fldChar w:fldCharType="separate"/>
            </w:r>
            <w:r>
              <w:t>8</w:t>
            </w:r>
            <w:r>
              <w:fldChar w:fldCharType="end"/>
            </w:r>
          </w:hyperlink>
        </w:p>
        <w:p>
          <w:pPr>
            <w:pStyle w:val="TOC2"/>
            <w:tabs>
              <w:tab w:val="left" w:pos="880"/>
              <w:tab w:val="right" w:leader="dot" w:pos="9061"/>
            </w:tabs>
            <w:rPr>
              <w:rFonts w:asciiTheme="minorHAnsi" w:hAnsiTheme="minorHAnsi"/>
              <w:noProof/>
              <w:sz w:val="22"/>
            </w:rPr>
          </w:pPr>
          <w:hyperlink w:anchor="_Toc256000024" w:history="1">
            <w:r>
              <w:rPr>
                <w:rStyle w:val="Hyperlink"/>
                <w:rFonts w:cstheme="minorAscii"/>
                <w:b/>
                <w:bCs/>
              </w:rPr>
              <w:t>7.1</w:t>
            </w:r>
            <w:r>
              <w:rPr>
                <w:rFonts w:asciiTheme="minorHAnsi" w:hAnsiTheme="minorHAnsi" w:cstheme="minorAscii"/>
                <w:b/>
                <w:bCs/>
                <w:noProof/>
                <w:sz w:val="22"/>
              </w:rPr>
              <w:tab/>
            </w:r>
            <w:r w:rsidRPr="107F0A2D" w:rsidR="107F0A2D">
              <w:rPr>
                <w:rStyle w:val="Hyperlink"/>
                <w:b/>
                <w:bCs/>
              </w:rPr>
              <w:t>Interne referanser</w:t>
            </w:r>
            <w:r>
              <w:tab/>
            </w:r>
            <w:r>
              <w:fldChar w:fldCharType="begin"/>
            </w:r>
            <w:r>
              <w:instrText xml:space="preserve"> PAGEREF _Toc256000024 \h </w:instrText>
            </w:r>
            <w:r>
              <w:fldChar w:fldCharType="separate"/>
            </w:r>
            <w:r>
              <w:t>8</w:t>
            </w:r>
            <w:r>
              <w:fldChar w:fldCharType="end"/>
            </w:r>
          </w:hyperlink>
        </w:p>
        <w:p>
          <w:pPr>
            <w:pStyle w:val="TOC2"/>
            <w:tabs>
              <w:tab w:val="left" w:pos="880"/>
              <w:tab w:val="right" w:leader="dot" w:pos="9061"/>
            </w:tabs>
            <w:rPr>
              <w:rFonts w:asciiTheme="minorHAnsi" w:hAnsiTheme="minorHAnsi"/>
              <w:noProof/>
              <w:sz w:val="22"/>
            </w:rPr>
          </w:pPr>
          <w:hyperlink w:anchor="_Toc256000025" w:history="1">
            <w:r>
              <w:rPr>
                <w:rStyle w:val="Hyperlink"/>
                <w:b/>
                <w:bCs/>
              </w:rPr>
              <w:t>7.2</w:t>
            </w:r>
            <w:r>
              <w:rPr>
                <w:rFonts w:asciiTheme="minorHAnsi" w:hAnsiTheme="minorHAnsi"/>
                <w:b/>
                <w:bCs/>
                <w:noProof/>
                <w:sz w:val="22"/>
              </w:rPr>
              <w:tab/>
            </w:r>
            <w:r w:rsidRPr="107F0A2D" w:rsidR="107F0A2D">
              <w:rPr>
                <w:rStyle w:val="Hyperlink"/>
                <w:b/>
                <w:bCs/>
              </w:rPr>
              <w:t>Eksterne referanser</w:t>
            </w:r>
            <w:r>
              <w:tab/>
            </w:r>
            <w:r>
              <w:fldChar w:fldCharType="begin"/>
            </w:r>
            <w:r>
              <w:instrText xml:space="preserve"> PAGEREF _Toc256000025 \h </w:instrText>
            </w:r>
            <w:r>
              <w:fldChar w:fldCharType="separate"/>
            </w:r>
            <w:r>
              <w:t>9</w:t>
            </w:r>
            <w:r>
              <w:fldChar w:fldCharType="end"/>
            </w:r>
          </w:hyperlink>
        </w:p>
        <w:p>
          <w:pPr>
            <w:pStyle w:val="TOC1"/>
            <w:tabs>
              <w:tab w:val="left" w:pos="480"/>
              <w:tab w:val="right" w:leader="dot" w:pos="9061"/>
            </w:tabs>
            <w:rPr>
              <w:rFonts w:asciiTheme="minorHAnsi" w:hAnsiTheme="minorHAnsi"/>
              <w:noProof/>
              <w:sz w:val="22"/>
            </w:rPr>
          </w:pPr>
          <w:hyperlink w:anchor="_Toc256000026" w:history="1">
            <w:r>
              <w:rPr>
                <w:rStyle w:val="Hyperlink"/>
              </w:rPr>
              <w:t>8</w:t>
            </w:r>
            <w:r>
              <w:rPr>
                <w:rFonts w:asciiTheme="minorHAnsi" w:hAnsiTheme="minorHAnsi"/>
                <w:noProof/>
                <w:sz w:val="22"/>
              </w:rPr>
              <w:tab/>
            </w:r>
            <w:r w:rsidR="107F0A2D">
              <w:rPr>
                <w:rStyle w:val="Hyperlink"/>
              </w:rPr>
              <w:t>Endringer siden forrige versjon</w:t>
            </w:r>
            <w:r>
              <w:tab/>
            </w:r>
            <w:r>
              <w:fldChar w:fldCharType="begin"/>
            </w:r>
            <w:r>
              <w:instrText xml:space="preserve"> PAGEREF _Toc256000026 \h </w:instrText>
            </w:r>
            <w:r>
              <w:fldChar w:fldCharType="separate"/>
            </w:r>
            <w:r>
              <w:t>10</w:t>
            </w:r>
            <w:r>
              <w:fldChar w:fldCharType="end"/>
            </w:r>
          </w:hyperlink>
        </w:p>
        <w:p w:rsidP="107F0A2D">
          <w:pPr>
            <w:pStyle w:val="TOC1"/>
            <w:tabs>
              <w:tab w:val="left" w:pos="435"/>
              <w:tab w:val="right" w:leader="dot" w:pos="9060"/>
            </w:tabs>
            <w:rPr>
              <w:rStyle w:val="Hyperlink"/>
            </w:rPr>
          </w:pPr>
          <w:r>
            <w:fldChar w:fldCharType="end"/>
          </w:r>
        </w:p>
      </w:sdtContent>
    </w:sdt>
    <w:p w:rsidP="326A5051" w14:paraId="0A37501D" w14:textId="77777777">
      <w:pPr>
        <w:pStyle w:val="TOC1"/>
        <w:tabs>
          <w:tab w:val="left" w:pos="435"/>
          <w:tab w:val="right" w:leader="dot" w:pos="9060"/>
        </w:tabs>
        <w:rPr>
          <w:rStyle w:val="Hyperlink"/>
        </w:rPr>
      </w:pPr>
    </w:p>
    <w:p w:rsidR="0E715B59" w:rsidP="107F0A2D" w14:paraId="4245331C" w14:textId="4AB2447A">
      <w:pPr>
        <w:tabs>
          <w:tab w:val="left" w:pos="435"/>
          <w:tab w:val="right" w:leader="dot" w:pos="9060"/>
        </w:tabs>
        <w:spacing w:line="360" w:lineRule="auto"/>
        <w:rPr>
          <w:rStyle w:val="Hyperlink"/>
          <w:noProof/>
        </w:rPr>
      </w:pPr>
    </w:p>
    <w:p w:rsidR="48C778EE" w:rsidP="48C778EE" w14:paraId="74AAD80D" w14:textId="23BCAB7D">
      <w:pPr>
        <w:tabs>
          <w:tab w:val="left" w:pos="435"/>
          <w:tab w:val="right" w:leader="dot" w:pos="9060"/>
        </w:tabs>
        <w:spacing w:line="360" w:lineRule="auto"/>
        <w:rPr>
          <w:rStyle w:val="Hyperlink"/>
          <w:noProof/>
        </w:rPr>
      </w:pPr>
    </w:p>
    <w:p w:rsidR="00CB3EB0" w:rsidP="0E715B59" w14:paraId="4B3E9ADA" w14:textId="5227F528">
      <w:pPr>
        <w:pStyle w:val="Heading1"/>
        <w:spacing w:line="360" w:lineRule="auto"/>
      </w:pPr>
      <w:bookmarkStart w:id="1" w:name="_Toc256000000"/>
      <w:r w:rsidR="107F0A2D">
        <w:t>Retningslinjens formål</w:t>
      </w:r>
      <w:bookmarkEnd w:id="1"/>
    </w:p>
    <w:p w:rsidR="57FEDE8B" w:rsidP="0E715B59" w14:paraId="20706545" w14:textId="3617CAEE">
      <w:pPr>
        <w:spacing w:before="240" w:beforeAutospacing="0" w:after="240" w:afterAutospacing="0" w:line="360" w:lineRule="auto"/>
        <w:rPr>
          <w:rFonts w:ascii="Calibri" w:eastAsia="Calibri" w:hAnsi="Calibri" w:cs="Calibri"/>
          <w:noProof w:val="0"/>
          <w:sz w:val="24"/>
          <w:szCs w:val="24"/>
          <w:lang w:val="nb-NO"/>
        </w:rPr>
      </w:pPr>
      <w:r w:rsidRPr="0E715B59" w:rsidR="0E715B59">
        <w:rPr>
          <w:rFonts w:ascii="Calibri" w:eastAsia="Calibri" w:hAnsi="Calibri" w:cs="Calibri"/>
          <w:noProof w:val="0"/>
          <w:sz w:val="24"/>
          <w:szCs w:val="24"/>
          <w:lang w:val="nb-NO"/>
        </w:rPr>
        <w:t>Retningslinjen skal sikre at barn og unge som ikke får dekket sitt ernæringsbehov, mottar kunnskapsbasert og korrekt sykepleie ved oppstart og administrering av parenteral ernæring.</w:t>
      </w:r>
    </w:p>
    <w:p w:rsidR="57FEDE8B" w:rsidP="0E715B59" w14:paraId="34506BBA" w14:textId="7DADA4EB">
      <w:pPr>
        <w:spacing w:before="240" w:beforeAutospacing="0" w:after="240" w:afterAutospacing="0" w:line="360" w:lineRule="auto"/>
        <w:rPr>
          <w:rFonts w:ascii="Calibri" w:eastAsia="Calibri" w:hAnsi="Calibri" w:cs="Calibri"/>
          <w:noProof w:val="0"/>
          <w:sz w:val="24"/>
          <w:szCs w:val="24"/>
          <w:lang w:val="nb-NO"/>
        </w:rPr>
      </w:pPr>
      <w:r w:rsidRPr="0E715B59" w:rsidR="0E715B59">
        <w:rPr>
          <w:rFonts w:ascii="Calibri" w:eastAsia="Calibri" w:hAnsi="Calibri" w:cs="Calibri"/>
          <w:noProof w:val="0"/>
          <w:sz w:val="24"/>
          <w:szCs w:val="24"/>
          <w:lang w:val="nb-NO"/>
        </w:rPr>
        <w:t>Videre skal retningslinjen bidra til enhetlig praksis og felles rutiner, samt legge til rette for faglig forsvarlig og individuelt tilpasset sykepleie.</w:t>
      </w:r>
    </w:p>
    <w:p w:rsidR="00DF7BA8" w:rsidRPr="00DF7BA8" w:rsidP="0E715B59" w14:paraId="4B3E9ADB" w14:textId="77777777">
      <w:pPr>
        <w:spacing w:line="360" w:lineRule="auto"/>
        <w:rPr>
          <w:rFonts w:cstheme="minorAscii"/>
          <w:color w:val="808080" w:themeColor="background1" w:themeShade="80"/>
        </w:rPr>
      </w:pPr>
    </w:p>
    <w:p w:rsidR="4EE173BD" w:rsidP="0E715B59" w14:paraId="796E14E3" w14:textId="2E174B0F">
      <w:pPr>
        <w:pStyle w:val="Heading1"/>
        <w:spacing w:line="360" w:lineRule="auto"/>
      </w:pPr>
      <w:bookmarkStart w:id="2" w:name="_Toc256000001"/>
      <w:r w:rsidR="107F0A2D">
        <w:t>Prosedyren gjelder for</w:t>
      </w:r>
      <w:bookmarkEnd w:id="2"/>
    </w:p>
    <w:p w:rsidR="4EE173BD" w:rsidP="0E715B59" w14:paraId="792207FC" w14:textId="63CE3ABF">
      <w:pPr>
        <w:spacing w:line="360" w:lineRule="auto"/>
        <w:ind w:left="0"/>
        <w:rPr>
          <w:sz w:val="24"/>
          <w:szCs w:val="24"/>
        </w:rPr>
      </w:pPr>
      <w:r w:rsidRPr="0E715B59" w:rsidR="0E715B59">
        <w:rPr>
          <w:sz w:val="24"/>
          <w:szCs w:val="24"/>
        </w:rPr>
        <w:t>Inneliggende barn og ungdom &lt; 18 år der enteral ernæring er utilstrekkelig til å dekke pasientens ernæringsbehov. Den gjelder ikke for pasienter innlagt på Nyføddintensiv.</w:t>
      </w:r>
    </w:p>
    <w:p w:rsidR="4EE173BD" w:rsidP="0E715B59" w14:paraId="4FE74979" w14:textId="081F11A8">
      <w:pPr>
        <w:spacing w:line="360" w:lineRule="auto"/>
        <w:ind w:left="0"/>
        <w:rPr>
          <w:sz w:val="22"/>
          <w:szCs w:val="22"/>
        </w:rPr>
      </w:pPr>
    </w:p>
    <w:p w:rsidR="002744C3" w:rsidP="0E715B59" w14:paraId="4B3E9ADC" w14:textId="529CFE58">
      <w:pPr>
        <w:pStyle w:val="Heading1"/>
        <w:spacing w:line="360" w:lineRule="auto"/>
      </w:pPr>
      <w:bookmarkStart w:id="3" w:name="_Toc256000002"/>
      <w:r w:rsidR="107F0A2D">
        <w:t>Målgruppe</w:t>
      </w:r>
      <w:bookmarkEnd w:id="3"/>
    </w:p>
    <w:p w:rsidR="00C450FE" w:rsidRPr="00C450FE" w:rsidP="0E715B59" w14:paraId="4B3E9ADD" w14:textId="271E0F4E">
      <w:pPr>
        <w:spacing w:line="360" w:lineRule="auto"/>
        <w:ind w:left="0"/>
        <w:rPr>
          <w:sz w:val="24"/>
          <w:szCs w:val="24"/>
        </w:rPr>
      </w:pPr>
      <w:r w:rsidRPr="21CC5111" w:rsidR="21CC5111">
        <w:rPr>
          <w:sz w:val="24"/>
          <w:szCs w:val="24"/>
        </w:rPr>
        <w:t>Helsepersonell med ansvar for barn og ungdom &lt; 18 år som skal starte eller mottar parenteral ernæring.</w:t>
      </w:r>
    </w:p>
    <w:p w:rsidR="00DF7BA8" w:rsidRPr="00360258" w:rsidP="0E715B59" w14:paraId="4B3E9ADF" w14:textId="77777777">
      <w:pPr>
        <w:spacing w:line="360" w:lineRule="auto"/>
        <w:rPr>
          <w:rFonts w:cstheme="minorAscii"/>
        </w:rPr>
      </w:pPr>
      <w:r w:rsidRPr="0E715B59" w:rsidR="0E715B59">
        <w:rPr>
          <w:rFonts w:cstheme="minorAscii"/>
        </w:rPr>
        <w:t xml:space="preserve">  </w:t>
      </w:r>
    </w:p>
    <w:p w:rsidR="00510BDF" w:rsidP="0E715B59" w14:paraId="4B3E9AE0" w14:textId="77777777">
      <w:pPr>
        <w:pStyle w:val="Heading1"/>
        <w:spacing w:line="360" w:lineRule="auto"/>
      </w:pPr>
      <w:bookmarkStart w:id="4" w:name="_Toc256000003"/>
      <w:r w:rsidR="107F0A2D">
        <w:t>Ansvar</w:t>
      </w:r>
      <w:bookmarkEnd w:id="4"/>
      <w:r w:rsidR="107F0A2D">
        <w:t xml:space="preserve"> </w:t>
      </w:r>
    </w:p>
    <w:p w:rsidR="00935DE6" w:rsidRPr="008E56A7" w:rsidP="0E715B59" w14:paraId="4B3E9AE1" w14:textId="79DA2B4D">
      <w:pPr>
        <w:spacing w:line="360" w:lineRule="auto"/>
        <w:rPr>
          <w:rFonts w:asciiTheme="minorAscii" w:eastAsiaTheme="minorAscii" w:hAnsiTheme="minorAscii" w:cstheme="minorAscii"/>
          <w:noProof w:val="0"/>
          <w:sz w:val="24"/>
          <w:szCs w:val="24"/>
          <w:lang w:val="nb-NO"/>
        </w:rPr>
      </w:pPr>
      <w:r w:rsidRPr="0876D121" w:rsidR="0876D121">
        <w:rPr>
          <w:rFonts w:asciiTheme="minorAscii" w:eastAsiaTheme="minorAscii" w:hAnsiTheme="minorAscii" w:cstheme="minorAscii"/>
          <w:b w:val="0"/>
          <w:bCs w:val="0"/>
          <w:i w:val="0"/>
          <w:iCs w:val="0"/>
          <w:caps w:val="0"/>
          <w:smallCaps w:val="0"/>
          <w:noProof w:val="0"/>
          <w:color w:val="333333"/>
          <w:sz w:val="24"/>
          <w:szCs w:val="24"/>
          <w:lang w:val="nb-NO"/>
        </w:rPr>
        <w:t>Seksjonsledere for nivå 3 har ansvar for at prosedyren er tilgjengelig og kjent. Arbeidstaker er pliktig til å holde seg oppdatert om klinikkens prosedyrer og følge dem. Prosedyren er veiledende, og kliniske vurderinger må gjøres kontinuerlig for å tilby best mulig behandling.</w:t>
      </w:r>
    </w:p>
    <w:p w:rsidR="0876D121" w:rsidP="0876D121" w14:paraId="02963B37" w14:textId="77778BE7">
      <w:pPr>
        <w:spacing w:line="360" w:lineRule="auto"/>
        <w:rPr>
          <w:rFonts w:asciiTheme="minorAscii" w:eastAsiaTheme="minorAscii" w:hAnsiTheme="minorAscii" w:cstheme="minorAscii"/>
          <w:b w:val="0"/>
          <w:bCs w:val="0"/>
          <w:i w:val="0"/>
          <w:iCs w:val="0"/>
          <w:caps w:val="0"/>
          <w:smallCaps w:val="0"/>
          <w:noProof w:val="0"/>
          <w:color w:val="333333"/>
          <w:sz w:val="24"/>
          <w:szCs w:val="24"/>
          <w:lang w:val="nb-NO"/>
        </w:rPr>
      </w:pPr>
    </w:p>
    <w:p w:rsidR="0876D121" w:rsidP="0876D121" w14:paraId="1B89B469" w14:textId="115A7150">
      <w:pPr>
        <w:pStyle w:val="Heading1"/>
        <w:spacing w:line="360" w:lineRule="auto"/>
        <w:rPr>
          <w:noProof w:val="0"/>
          <w:lang w:val="nb-NO"/>
        </w:rPr>
      </w:pPr>
      <w:bookmarkStart w:id="5" w:name="_Toc256000004"/>
      <w:r w:rsidRPr="107F0A2D" w:rsidR="107F0A2D">
        <w:rPr>
          <w:noProof w:val="0"/>
          <w:lang w:val="nb-NO"/>
        </w:rPr>
        <w:t>Begrepsavklaring</w:t>
      </w:r>
      <w:bookmarkEnd w:id="5"/>
    </w:p>
    <w:p w:rsidR="0876D121" w:rsidP="0876D121" w14:paraId="178C440E" w14:textId="5E60C31A">
      <w:pPr>
        <w:pStyle w:val="ListParagraph"/>
        <w:numPr>
          <w:ilvl w:val="0"/>
          <w:numId w:val="1"/>
        </w:numPr>
        <w:spacing w:line="360" w:lineRule="auto"/>
        <w:rPr>
          <w:rFonts w:asciiTheme="minorAscii" w:eastAsiaTheme="minorAscii" w:hAnsiTheme="minorAscii" w:cstheme="minorAscii"/>
          <w:b w:val="0"/>
          <w:bCs w:val="0"/>
          <w:i w:val="0"/>
          <w:iCs w:val="0"/>
          <w:caps w:val="0"/>
          <w:smallCaps w:val="0"/>
          <w:noProof w:val="0"/>
          <w:color w:val="0A0A0A"/>
          <w:sz w:val="24"/>
          <w:szCs w:val="24"/>
          <w:lang w:val="nb-NO"/>
        </w:rPr>
      </w:pPr>
      <w:r w:rsidRPr="0876D121">
        <w:rPr>
          <w:rFonts w:asciiTheme="minorAscii" w:eastAsiaTheme="minorAscii" w:hAnsiTheme="minorAscii" w:cstheme="minorAscii"/>
          <w:b w:val="0"/>
          <w:bCs w:val="0"/>
          <w:i w:val="0"/>
          <w:iCs w:val="0"/>
          <w:caps w:val="0"/>
          <w:smallCaps w:val="0"/>
          <w:noProof w:val="0"/>
          <w:color w:val="0A0A0A"/>
          <w:sz w:val="24"/>
          <w:szCs w:val="24"/>
          <w:lang w:val="nb-NO"/>
        </w:rPr>
        <w:t xml:space="preserve">Parenteral ernæring (PN): </w:t>
      </w:r>
      <w:r w:rsidRPr="0876D121">
        <w:rPr>
          <w:rFonts w:asciiTheme="minorAscii" w:eastAsiaTheme="minorAscii" w:hAnsiTheme="minorAscii" w:cstheme="minorAscii"/>
          <w:b w:val="0"/>
          <w:bCs w:val="0"/>
          <w:i w:val="0"/>
          <w:iCs w:val="0"/>
          <w:caps w:val="0"/>
          <w:smallCaps w:val="0"/>
          <w:noProof w:val="0"/>
          <w:color w:val="0A0A0A"/>
          <w:sz w:val="24"/>
          <w:szCs w:val="24"/>
          <w:lang w:val="nb-NO"/>
        </w:rPr>
        <w:t>en samlebetegnelse for tilførsel av næringsstoffer intravenøst.</w:t>
      </w:r>
    </w:p>
    <w:p w:rsidR="0876D121" w:rsidP="52327787" w14:paraId="0FEC998F" w14:textId="7758289D">
      <w:pPr>
        <w:pStyle w:val="ListParagraph"/>
        <w:numPr>
          <w:ilvl w:val="0"/>
          <w:numId w:val="1"/>
        </w:numPr>
        <w:spacing w:line="360" w:lineRule="auto"/>
        <w:rPr>
          <w:rFonts w:asciiTheme="minorAscii" w:eastAsiaTheme="minorAscii" w:hAnsiTheme="minorAscii" w:cstheme="minorAscii"/>
          <w:b w:val="0"/>
          <w:bCs w:val="0"/>
          <w:i w:val="0"/>
          <w:iCs w:val="0"/>
          <w:caps w:val="0"/>
          <w:smallCaps w:val="0"/>
          <w:noProof w:val="0"/>
          <w:color w:val="0A0A0A"/>
          <w:sz w:val="24"/>
          <w:szCs w:val="24"/>
          <w:lang w:val="nb-NO"/>
        </w:rPr>
      </w:pPr>
      <w:r w:rsidRPr="52327787" w:rsidR="52327787">
        <w:rPr>
          <w:rFonts w:asciiTheme="minorAscii" w:eastAsiaTheme="minorAscii" w:hAnsiTheme="minorAscii" w:cstheme="minorAscii"/>
          <w:b w:val="0"/>
          <w:bCs w:val="0"/>
          <w:i w:val="0"/>
          <w:iCs w:val="0"/>
          <w:caps w:val="0"/>
          <w:smallCaps w:val="0"/>
          <w:noProof w:val="0"/>
          <w:color w:val="0A0A0A"/>
          <w:sz w:val="24"/>
          <w:szCs w:val="24"/>
          <w:lang w:val="nb-NO"/>
        </w:rPr>
        <w:t xml:space="preserve">Total Parenteral Ernæring (TPN): en komplett ernæringsløsning som dekker hele pasientens behov for aminosyrer, lipider, sukker, vitaminer, sporstoffer og væske. </w:t>
      </w:r>
    </w:p>
    <w:p w:rsidR="0876D121" w:rsidP="0876D121" w14:paraId="46F2906C" w14:textId="3409880E">
      <w:pPr>
        <w:spacing w:line="360" w:lineRule="auto"/>
        <w:rPr>
          <w:rFonts w:asciiTheme="minorAscii" w:eastAsiaTheme="minorAscii" w:hAnsiTheme="minorAscii" w:cstheme="minorAscii"/>
          <w:b w:val="0"/>
          <w:bCs w:val="0"/>
          <w:i w:val="0"/>
          <w:iCs w:val="0"/>
          <w:caps w:val="0"/>
          <w:smallCaps w:val="0"/>
          <w:noProof w:val="0"/>
          <w:color w:val="0A0A0A"/>
          <w:sz w:val="24"/>
          <w:szCs w:val="24"/>
          <w:lang w:val="nb-NO"/>
        </w:rPr>
      </w:pPr>
    </w:p>
    <w:p w:rsidR="57FEDE8B" w:rsidP="107F0A2D" w14:paraId="46DE0176" w14:textId="6AC1C0E9">
      <w:pPr>
        <w:pStyle w:val="Heading1"/>
        <w:suppressLineNumbers w:val="0"/>
        <w:bidi w:val="0"/>
        <w:spacing w:before="0" w:beforeAutospacing="0" w:after="0" w:afterAutospacing="0" w:line="360" w:lineRule="auto"/>
        <w:ind w:left="431" w:right="0" w:hanging="431"/>
        <w:jc w:val="left"/>
      </w:pPr>
      <w:bookmarkStart w:id="6" w:name="_Toc256000005"/>
      <w:r w:rsidR="107F0A2D">
        <w:t>Parenteral ernæring</w:t>
      </w:r>
      <w:bookmarkEnd w:id="6"/>
    </w:p>
    <w:p w:rsidR="57FEDE8B" w:rsidP="157C89DD" w14:paraId="3E4A65D8" w14:textId="3AB59BE2">
      <w:pPr>
        <w:bidi w:val="0"/>
        <w:spacing w:before="240" w:beforeAutospacing="0" w:after="240" w:afterAutospacing="0" w:line="360" w:lineRule="auto"/>
        <w:rPr>
          <w:rFonts w:asciiTheme="minorAscii" w:eastAsiaTheme="minorAscii" w:hAnsiTheme="minorAscii" w:cstheme="minorAscii"/>
          <w:b w:val="0"/>
          <w:bCs w:val="0"/>
          <w:i w:val="0"/>
          <w:iCs w:val="0"/>
          <w:caps w:val="0"/>
          <w:smallCaps w:val="0"/>
          <w:noProof w:val="0"/>
          <w:color w:val="222222"/>
          <w:sz w:val="24"/>
          <w:szCs w:val="24"/>
          <w:lang w:val="nb-NO"/>
        </w:rPr>
      </w:pPr>
      <w:r w:rsidRPr="157C89DD" w:rsidR="157C89DD">
        <w:rPr>
          <w:rFonts w:asciiTheme="minorAscii" w:eastAsiaTheme="minorAscii" w:hAnsiTheme="minorAscii" w:cstheme="minorAscii"/>
          <w:b w:val="0"/>
          <w:bCs w:val="0"/>
          <w:i w:val="0"/>
          <w:iCs w:val="0"/>
          <w:caps w:val="0"/>
          <w:smallCaps w:val="0"/>
          <w:noProof w:val="0"/>
          <w:color w:val="222222"/>
          <w:sz w:val="24"/>
          <w:szCs w:val="24"/>
          <w:lang w:val="nb-NO"/>
        </w:rPr>
        <w:t>Parenteral ernæring (PN) er indisert når enteral ernæring er kontraindisert eller dersom enteral ernæring er utilstrekkelig til å dekke ernæringsbehov. Dette kan være ved akutt sykdom eller på grunn av tarmsvikt (redusert tarmoverflate, alvorlig dysmotilitet eller malabsorpsjon mm.).</w:t>
      </w:r>
    </w:p>
    <w:p w:rsidR="57FEDE8B" w:rsidP="73275EAB" w14:paraId="0A394152" w14:textId="638834B8">
      <w:pPr>
        <w:bidi w:val="0"/>
        <w:spacing w:before="240" w:beforeAutospacing="0" w:after="240" w:afterAutospacing="0" w:line="360" w:lineRule="auto"/>
      </w:pPr>
      <w:r w:rsidRPr="73275EAB" w:rsidR="73275EAB">
        <w:rPr>
          <w:rFonts w:ascii="Calibri" w:eastAsia="Calibri" w:hAnsi="Calibri" w:cs="Calibri"/>
          <w:noProof w:val="0"/>
          <w:sz w:val="24"/>
          <w:szCs w:val="24"/>
          <w:lang w:val="nb-NO"/>
        </w:rPr>
        <w:t xml:space="preserve">Ved kortvarig bruk vil kommersielle standardløsninger for parenteral ernæring som regel være egnet, forutsatt at de er tilpasset barnets alder og vekt. Eksempler er </w:t>
      </w:r>
      <w:r w:rsidRPr="73275EAB" w:rsidR="73275EAB">
        <w:rPr>
          <w:rFonts w:ascii="Calibri" w:eastAsia="Calibri" w:hAnsi="Calibri" w:cs="Calibri"/>
          <w:noProof w:val="0"/>
          <w:sz w:val="24"/>
          <w:szCs w:val="24"/>
          <w:lang w:val="nb-NO"/>
        </w:rPr>
        <w:t>Numeta</w:t>
      </w:r>
      <w:r w:rsidRPr="73275EAB" w:rsidR="73275EAB">
        <w:rPr>
          <w:rFonts w:ascii="Calibri" w:eastAsia="Calibri" w:hAnsi="Calibri" w:cs="Calibri"/>
          <w:noProof w:val="0"/>
          <w:sz w:val="24"/>
          <w:szCs w:val="24"/>
          <w:lang w:val="nb-NO"/>
        </w:rPr>
        <w:t xml:space="preserve"> G13 (premature og nyfødte), </w:t>
      </w:r>
      <w:r w:rsidRPr="73275EAB" w:rsidR="73275EAB">
        <w:rPr>
          <w:rFonts w:ascii="Calibri" w:eastAsia="Calibri" w:hAnsi="Calibri" w:cs="Calibri"/>
          <w:noProof w:val="0"/>
          <w:sz w:val="24"/>
          <w:szCs w:val="24"/>
          <w:lang w:val="nb-NO"/>
        </w:rPr>
        <w:t>Numeta</w:t>
      </w:r>
      <w:r w:rsidRPr="73275EAB" w:rsidR="73275EAB">
        <w:rPr>
          <w:rFonts w:ascii="Calibri" w:eastAsia="Calibri" w:hAnsi="Calibri" w:cs="Calibri"/>
          <w:noProof w:val="0"/>
          <w:sz w:val="24"/>
          <w:szCs w:val="24"/>
          <w:lang w:val="nb-NO"/>
        </w:rPr>
        <w:t xml:space="preserve"> G16 E (0–2 år) og </w:t>
      </w:r>
      <w:r w:rsidRPr="73275EAB" w:rsidR="73275EAB">
        <w:rPr>
          <w:rFonts w:ascii="Calibri" w:eastAsia="Calibri" w:hAnsi="Calibri" w:cs="Calibri"/>
          <w:noProof w:val="0"/>
          <w:sz w:val="24"/>
          <w:szCs w:val="24"/>
          <w:lang w:val="nb-NO"/>
        </w:rPr>
        <w:t>Numeta</w:t>
      </w:r>
      <w:r w:rsidRPr="73275EAB" w:rsidR="73275EAB">
        <w:rPr>
          <w:rFonts w:ascii="Calibri" w:eastAsia="Calibri" w:hAnsi="Calibri" w:cs="Calibri"/>
          <w:noProof w:val="0"/>
          <w:sz w:val="24"/>
          <w:szCs w:val="24"/>
          <w:lang w:val="nb-NO"/>
        </w:rPr>
        <w:t xml:space="preserve"> G19 E (&gt; 2 år) fra Baxter. Fra </w:t>
      </w:r>
      <w:r w:rsidRPr="73275EAB" w:rsidR="73275EAB">
        <w:rPr>
          <w:rFonts w:ascii="Calibri" w:eastAsia="Calibri" w:hAnsi="Calibri" w:cs="Calibri"/>
          <w:noProof w:val="0"/>
          <w:sz w:val="24"/>
          <w:szCs w:val="24"/>
          <w:lang w:val="nb-NO"/>
        </w:rPr>
        <w:t>Fresenius</w:t>
      </w:r>
      <w:r w:rsidRPr="73275EAB" w:rsidR="73275EAB">
        <w:rPr>
          <w:rFonts w:ascii="Calibri" w:eastAsia="Calibri" w:hAnsi="Calibri" w:cs="Calibri"/>
          <w:noProof w:val="0"/>
          <w:sz w:val="24"/>
          <w:szCs w:val="24"/>
          <w:lang w:val="nb-NO"/>
        </w:rPr>
        <w:t xml:space="preserve"> </w:t>
      </w:r>
      <w:r w:rsidRPr="73275EAB" w:rsidR="73275EAB">
        <w:rPr>
          <w:rFonts w:ascii="Calibri" w:eastAsia="Calibri" w:hAnsi="Calibri" w:cs="Calibri"/>
          <w:noProof w:val="0"/>
          <w:sz w:val="24"/>
          <w:szCs w:val="24"/>
          <w:lang w:val="nb-NO"/>
        </w:rPr>
        <w:t>Kabi</w:t>
      </w:r>
      <w:r w:rsidRPr="73275EAB" w:rsidR="73275EAB">
        <w:rPr>
          <w:rFonts w:ascii="Calibri" w:eastAsia="Calibri" w:hAnsi="Calibri" w:cs="Calibri"/>
          <w:noProof w:val="0"/>
          <w:sz w:val="24"/>
          <w:szCs w:val="24"/>
          <w:lang w:val="nb-NO"/>
        </w:rPr>
        <w:t xml:space="preserve"> brukes blant annet Termin (spedbarn), Standard 10–15 kg, Standard 15–40 kg og SmofKabiven (&gt; 2 år).</w:t>
      </w:r>
    </w:p>
    <w:p w:rsidR="57FEDE8B" w:rsidP="107F0A2D" w14:paraId="319574D9" w14:textId="38C0061F">
      <w:pPr>
        <w:bidi w:val="0"/>
        <w:spacing w:before="240" w:beforeAutospacing="0" w:after="240" w:afterAutospacing="0" w:line="360" w:lineRule="auto"/>
        <w:rPr>
          <w:rFonts w:ascii="Calibri" w:eastAsia="Calibri" w:hAnsi="Calibri" w:cs="Calibri"/>
          <w:noProof w:val="0"/>
          <w:sz w:val="24"/>
          <w:szCs w:val="24"/>
          <w:lang w:val="nb-NO"/>
        </w:rPr>
      </w:pPr>
      <w:r w:rsidRPr="107F0A2D" w:rsidR="107F0A2D">
        <w:rPr>
          <w:rFonts w:ascii="Calibri" w:eastAsia="Calibri" w:hAnsi="Calibri" w:cs="Calibri"/>
          <w:noProof w:val="0"/>
          <w:sz w:val="24"/>
          <w:szCs w:val="24"/>
          <w:lang w:val="nb-NO"/>
        </w:rPr>
        <w:t xml:space="preserve">For mer informasjon om innholdet i de ulike ernæringsløsningene vises det til rekvireringsskjema for parenteral ernæring til barn som finnes i </w:t>
      </w:r>
      <w:hyperlink r:id="rId5">
        <w:r w:rsidRPr="107F0A2D" w:rsidR="107F0A2D">
          <w:rPr>
            <w:rStyle w:val="Hyperlink"/>
            <w:rFonts w:ascii="Calibri" w:eastAsia="Calibri" w:hAnsi="Calibri" w:cs="Calibri"/>
            <w:noProof w:val="0"/>
            <w:lang w:val="nb-NO"/>
          </w:rPr>
          <w:t>Legemiddelportalen i Helse Bergen.</w:t>
        </w:r>
      </w:hyperlink>
    </w:p>
    <w:p w:rsidR="5FA5D3DD" w:rsidP="107F0A2D" w14:paraId="1A0152C6" w14:textId="4CE58EDC">
      <w:pPr>
        <w:bidi w:val="0"/>
        <w:spacing w:before="240" w:beforeAutospacing="0" w:after="240" w:afterAutospacing="0" w:line="360" w:lineRule="auto"/>
      </w:pPr>
      <w:r w:rsidRPr="107F0A2D" w:rsidR="107F0A2D">
        <w:rPr>
          <w:rFonts w:ascii="Calibri" w:eastAsia="Calibri" w:hAnsi="Calibri" w:cs="Calibri"/>
          <w:noProof w:val="0"/>
          <w:sz w:val="24"/>
          <w:szCs w:val="24"/>
          <w:lang w:val="nb-NO"/>
        </w:rPr>
        <w:t>Dersom standard kommersielle poser ikke er egnet, kan apoteket fremstille individuelt tilpasset PN. Ta i så fall kontakt med gastrolege og farmasøyt ved BUK.</w:t>
      </w:r>
    </w:p>
    <w:p w:rsidR="57FEDE8B" w:rsidP="0E715B59" w14:paraId="0A6EF087" w14:textId="7889610A">
      <w:pPr>
        <w:pStyle w:val="Heading2"/>
        <w:bidi w:val="0"/>
        <w:spacing w:line="360" w:lineRule="auto"/>
        <w:rPr>
          <w:b/>
          <w:bCs/>
          <w:noProof w:val="0"/>
          <w:sz w:val="24"/>
          <w:szCs w:val="24"/>
          <w:lang w:val="nb-NO"/>
        </w:rPr>
      </w:pPr>
      <w:bookmarkStart w:id="7" w:name="_Toc256000006"/>
      <w:r w:rsidRPr="107F0A2D" w:rsidR="107F0A2D">
        <w:rPr>
          <w:b/>
          <w:bCs/>
          <w:noProof w:val="0"/>
          <w:sz w:val="24"/>
          <w:szCs w:val="24"/>
          <w:lang w:val="nb-NO"/>
        </w:rPr>
        <w:t>Rekvirering av parenteral ernæring</w:t>
      </w:r>
      <w:bookmarkEnd w:id="7"/>
    </w:p>
    <w:p w:rsidR="2A793B06" w:rsidP="0E715B59" w14:paraId="784B55A4" w14:textId="551B320C">
      <w:pPr>
        <w:pStyle w:val="ListParagraph"/>
        <w:numPr>
          <w:ilvl w:val="0"/>
          <w:numId w:val="33"/>
        </w:numPr>
        <w:bidi w:val="0"/>
        <w:spacing w:line="360" w:lineRule="auto"/>
        <w:rPr>
          <w:noProof w:val="0"/>
          <w:sz w:val="24"/>
          <w:szCs w:val="24"/>
          <w:lang w:val="nb-NO"/>
        </w:rPr>
      </w:pPr>
      <w:r w:rsidRPr="0CAC805C" w:rsidR="0CAC805C">
        <w:rPr>
          <w:noProof w:val="0"/>
          <w:sz w:val="24"/>
          <w:szCs w:val="24"/>
          <w:lang w:val="nb-NO"/>
        </w:rPr>
        <w:t xml:space="preserve">Rekvirering av parenteral ernæring skal gjøres av lege på eget rekvireringsskjema. Skjemaet finnes på Innsiden i </w:t>
      </w:r>
      <w:hyperlink r:id="rId5">
        <w:r w:rsidRPr="0CAC805C" w:rsidR="0CAC805C">
          <w:rPr>
            <w:rStyle w:val="Hyperlink"/>
            <w:noProof w:val="0"/>
            <w:lang w:val="nb-NO"/>
          </w:rPr>
          <w:t>Legemiddelportalen i Helse Bergen</w:t>
        </w:r>
      </w:hyperlink>
      <w:r w:rsidRPr="0CAC805C" w:rsidR="0CAC805C">
        <w:rPr>
          <w:noProof w:val="0"/>
          <w:sz w:val="24"/>
          <w:szCs w:val="24"/>
          <w:lang w:val="nb-NO"/>
        </w:rPr>
        <w:t>, under fanen «Skjema». Her finner man både rekvireringsskjema og veiledning om aktuelle PN-alternativer for ulike aldersgrupper.</w:t>
      </w:r>
    </w:p>
    <w:p w:rsidR="2A793B06" w:rsidP="73275EAB" w14:paraId="79031D4C" w14:textId="60AD56B0">
      <w:pPr>
        <w:pStyle w:val="ListParagraph"/>
        <w:numPr>
          <w:ilvl w:val="0"/>
          <w:numId w:val="33"/>
        </w:numPr>
        <w:suppressLineNumbers w:val="0"/>
        <w:bidi w:val="0"/>
        <w:spacing w:before="0" w:beforeAutospacing="0" w:after="0" w:afterAutospacing="0" w:line="360" w:lineRule="auto"/>
        <w:ind w:left="720" w:right="0" w:hanging="360"/>
        <w:jc w:val="left"/>
        <w:rPr>
          <w:noProof w:val="0"/>
          <w:sz w:val="28"/>
          <w:szCs w:val="28"/>
          <w:lang w:val="nb-NO"/>
        </w:rPr>
      </w:pPr>
      <w:r w:rsidRPr="73275EAB" w:rsidR="73275EAB">
        <w:rPr>
          <w:noProof w:val="0"/>
          <w:sz w:val="24"/>
          <w:szCs w:val="24"/>
          <w:lang w:val="nb-NO"/>
        </w:rPr>
        <w:t>Utfylt rekvireringsskjema sendes med internpost til produksjonsavdelingen ved Sjukehusapoteket i Verkstedbygget. Ta kopi av skjemaet før originalen sendes.</w:t>
      </w:r>
    </w:p>
    <w:p w:rsidR="4EE173BD" w:rsidP="03C4B5EF" w14:paraId="433AAFE1" w14:textId="0BF5800A">
      <w:pPr>
        <w:pStyle w:val="ListParagraph"/>
        <w:numPr>
          <w:ilvl w:val="0"/>
          <w:numId w:val="33"/>
        </w:numPr>
        <w:suppressLineNumbers w:val="0"/>
        <w:bidi w:val="0"/>
        <w:spacing w:before="0" w:beforeAutospacing="0" w:after="0" w:afterAutospacing="0" w:line="360" w:lineRule="auto"/>
        <w:ind w:left="720" w:right="0" w:hanging="360"/>
        <w:jc w:val="left"/>
        <w:rPr>
          <w:noProof w:val="0"/>
          <w:sz w:val="24"/>
          <w:szCs w:val="24"/>
          <w:lang w:val="nb-NO"/>
        </w:rPr>
      </w:pPr>
      <w:r w:rsidRPr="1D438AC5" w:rsidR="1D438AC5">
        <w:rPr>
          <w:noProof w:val="0"/>
          <w:sz w:val="24"/>
          <w:szCs w:val="24"/>
          <w:lang w:val="nb-NO"/>
        </w:rPr>
        <w:t>Rekvireringsskjema leveres apotek før kl. 13 for levering innen kl. 14 neste dag.</w:t>
      </w:r>
      <w:r w:rsidRPr="1D438AC5" w:rsidR="1D438AC5">
        <w:rPr>
          <w:noProof w:val="0"/>
          <w:sz w:val="24"/>
          <w:szCs w:val="24"/>
          <w:lang w:val="nb-NO"/>
        </w:rPr>
        <w:t xml:space="preserve"> For bestillinger utover frist, kontakt Tilsetningsservice på apoteket for nærmere avtale: tlf. 55976455.</w:t>
      </w:r>
    </w:p>
    <w:p w:rsidR="2A793B06" w:rsidP="0E715B59" w14:paraId="480EE411" w14:textId="4120FA7E">
      <w:pPr>
        <w:suppressLineNumbers w:val="0"/>
        <w:bidi w:val="0"/>
        <w:spacing w:before="0" w:beforeAutospacing="0" w:after="0" w:afterAutospacing="0" w:line="360" w:lineRule="auto"/>
        <w:ind w:left="0" w:right="0" w:firstLine="0"/>
        <w:jc w:val="left"/>
        <w:rPr>
          <w:noProof w:val="0"/>
          <w:sz w:val="24"/>
          <w:szCs w:val="24"/>
          <w:lang w:val="nb-NO"/>
        </w:rPr>
      </w:pPr>
    </w:p>
    <w:p w:rsidR="2A793B06" w:rsidP="0E715B59" w14:paraId="696661F5" w14:textId="790B478D">
      <w:pPr>
        <w:pStyle w:val="Heading2"/>
        <w:bidi w:val="0"/>
        <w:spacing w:line="360" w:lineRule="auto"/>
        <w:rPr>
          <w:b/>
          <w:bCs/>
          <w:noProof w:val="0"/>
          <w:sz w:val="24"/>
          <w:szCs w:val="24"/>
          <w:lang w:val="nb-NO"/>
        </w:rPr>
      </w:pPr>
      <w:bookmarkStart w:id="8" w:name="_Toc256000007"/>
      <w:r w:rsidRPr="107F0A2D" w:rsidR="107F0A2D">
        <w:rPr>
          <w:b/>
          <w:bCs/>
          <w:noProof w:val="0"/>
          <w:sz w:val="24"/>
          <w:szCs w:val="24"/>
          <w:lang w:val="nb-NO"/>
        </w:rPr>
        <w:t xml:space="preserve">Ordinasjon i </w:t>
      </w:r>
      <w:r w:rsidRPr="107F0A2D" w:rsidR="107F0A2D">
        <w:rPr>
          <w:b/>
          <w:bCs/>
          <w:noProof w:val="0"/>
          <w:sz w:val="24"/>
          <w:szCs w:val="24"/>
          <w:lang w:val="nb-NO"/>
        </w:rPr>
        <w:t>Meona</w:t>
      </w:r>
      <w:bookmarkEnd w:id="8"/>
    </w:p>
    <w:p w:rsidR="57FEDE8B" w:rsidP="0E715B59" w14:paraId="61AB49C4" w14:textId="74768EE7">
      <w:pPr>
        <w:bidi w:val="0"/>
        <w:spacing w:line="360" w:lineRule="auto"/>
        <w:rPr>
          <w:noProof w:val="0"/>
          <w:sz w:val="24"/>
          <w:szCs w:val="24"/>
          <w:lang w:val="nb-NO"/>
        </w:rPr>
      </w:pPr>
      <w:r w:rsidRPr="518BB511" w:rsidR="518BB511">
        <w:rPr>
          <w:noProof w:val="0"/>
          <w:sz w:val="24"/>
          <w:szCs w:val="24"/>
          <w:lang w:val="nb-NO"/>
        </w:rPr>
        <w:t xml:space="preserve">Velg “Legemiddel” og søk etter “TPN etter bestillingsskjema”. PN kan ordineres på to måter i </w:t>
      </w:r>
      <w:r w:rsidRPr="518BB511" w:rsidR="518BB511">
        <w:rPr>
          <w:noProof w:val="0"/>
          <w:sz w:val="24"/>
          <w:szCs w:val="24"/>
          <w:lang w:val="nb-NO"/>
        </w:rPr>
        <w:t>Meona.</w:t>
      </w:r>
    </w:p>
    <w:p w:rsidR="57FEDE8B" w:rsidP="0E715B59" w14:paraId="50E8A81F" w14:textId="1F21B159">
      <w:pPr>
        <w:bidi w:val="0"/>
        <w:spacing w:line="360" w:lineRule="auto"/>
        <w:rPr>
          <w:noProof w:val="0"/>
          <w:sz w:val="24"/>
          <w:szCs w:val="24"/>
          <w:lang w:val="nb-NO"/>
        </w:rPr>
      </w:pPr>
    </w:p>
    <w:p w:rsidR="57FEDE8B" w:rsidP="518BB511" w14:paraId="460BE424" w14:textId="0D6B31E1">
      <w:pPr>
        <w:pStyle w:val="Heading3"/>
        <w:rPr>
          <w:noProof w:val="0"/>
          <w:sz w:val="24"/>
          <w:szCs w:val="24"/>
          <w:lang w:val="nb-NO"/>
        </w:rPr>
      </w:pPr>
      <w:bookmarkStart w:id="9" w:name="_Toc256000008"/>
      <w:r w:rsidRPr="107F0A2D" w:rsidR="107F0A2D">
        <w:rPr>
          <w:noProof w:val="0"/>
          <w:lang w:val="nb-NO"/>
        </w:rPr>
        <w:t>Kontinuerlig infusjon (Inf.-/Ernæringspumpe)</w:t>
      </w:r>
      <w:bookmarkEnd w:id="9"/>
    </w:p>
    <w:p w:rsidR="57FEDE8B" w:rsidP="0E715B59" w14:paraId="75DA1619" w14:textId="4C8C8455">
      <w:pPr>
        <w:bidi w:val="0"/>
        <w:spacing w:line="360" w:lineRule="auto"/>
        <w:rPr>
          <w:noProof w:val="0"/>
          <w:sz w:val="24"/>
          <w:szCs w:val="24"/>
          <w:lang w:val="nb-NO"/>
        </w:rPr>
      </w:pPr>
      <w:r w:rsidRPr="0E715B59" w:rsidR="0E715B59">
        <w:rPr>
          <w:noProof w:val="0"/>
          <w:sz w:val="24"/>
          <w:szCs w:val="24"/>
          <w:lang w:val="nb-NO"/>
        </w:rPr>
        <w:t xml:space="preserve">Ordinasjonen gjelder til den seponeres. Sykepleier kan starte, stoppe og justere hastigheten ved behov. Egner seg når PN må justeres etter væskeinntak og eventuell enteral ernæring. Mengde og tid angis i </w:t>
      </w:r>
      <w:r w:rsidRPr="0E715B59" w:rsidR="0E715B59">
        <w:rPr>
          <w:noProof w:val="0"/>
          <w:sz w:val="24"/>
          <w:szCs w:val="24"/>
          <w:lang w:val="nb-NO"/>
        </w:rPr>
        <w:t>tooltip</w:t>
      </w:r>
      <w:r w:rsidRPr="0E715B59" w:rsidR="0E715B59">
        <w:rPr>
          <w:noProof w:val="0"/>
          <w:sz w:val="24"/>
          <w:szCs w:val="24"/>
          <w:lang w:val="nb-NO"/>
        </w:rPr>
        <w:t xml:space="preserve">. Ved </w:t>
      </w:r>
      <w:r w:rsidRPr="0E715B59" w:rsidR="0E715B59">
        <w:rPr>
          <w:noProof w:val="0"/>
          <w:sz w:val="24"/>
          <w:szCs w:val="24"/>
          <w:lang w:val="nb-NO"/>
        </w:rPr>
        <w:t>kombinasjon</w:t>
      </w:r>
      <w:r w:rsidRPr="0E715B59" w:rsidR="0E715B59">
        <w:rPr>
          <w:noProof w:val="0"/>
          <w:sz w:val="24"/>
          <w:szCs w:val="24"/>
          <w:lang w:val="nb-NO"/>
        </w:rPr>
        <w:t xml:space="preserve"> med enteral ernæring skal det foreligge ernæringsplan i DIPS.</w:t>
      </w:r>
    </w:p>
    <w:p w:rsidR="57FEDE8B" w:rsidP="0E715B59" w14:paraId="0F6E039F" w14:textId="7B7A7F91">
      <w:pPr>
        <w:bidi w:val="0"/>
        <w:spacing w:line="360" w:lineRule="auto"/>
        <w:rPr>
          <w:noProof w:val="0"/>
          <w:sz w:val="24"/>
          <w:szCs w:val="24"/>
          <w:lang w:val="nb-NO"/>
        </w:rPr>
      </w:pPr>
    </w:p>
    <w:p w:rsidR="57FEDE8B" w:rsidP="518BB511" w14:paraId="2CBF0A48" w14:textId="4C12CB92">
      <w:pPr>
        <w:pStyle w:val="Heading3"/>
        <w:rPr>
          <w:noProof w:val="0"/>
          <w:sz w:val="24"/>
          <w:szCs w:val="24"/>
          <w:lang w:val="nb-NO"/>
        </w:rPr>
      </w:pPr>
      <w:bookmarkStart w:id="10" w:name="_Toc256000009"/>
      <w:r w:rsidRPr="107F0A2D" w:rsidR="107F0A2D">
        <w:rPr>
          <w:noProof w:val="0"/>
          <w:lang w:val="nb-NO"/>
        </w:rPr>
        <w:t>Tidsavgrenset infusjon (Infusjon)</w:t>
      </w:r>
      <w:bookmarkEnd w:id="10"/>
    </w:p>
    <w:p w:rsidR="57FEDE8B" w:rsidP="0E715B59" w14:paraId="48AF5650" w14:textId="431F29CB">
      <w:pPr>
        <w:bidi w:val="0"/>
        <w:spacing w:line="360" w:lineRule="auto"/>
        <w:rPr>
          <w:noProof w:val="0"/>
          <w:sz w:val="24"/>
          <w:szCs w:val="24"/>
          <w:lang w:val="nb-NO"/>
        </w:rPr>
      </w:pPr>
      <w:r w:rsidRPr="107F0A2D" w:rsidR="107F0A2D">
        <w:rPr>
          <w:noProof w:val="0"/>
          <w:sz w:val="24"/>
          <w:szCs w:val="24"/>
          <w:lang w:val="nb-NO"/>
        </w:rPr>
        <w:t xml:space="preserve">Gir fast volum over en bestemt tid. Endringer i mengde eller hastighet krever ny ordinasjon. Mindre egnet når infusjonen </w:t>
      </w:r>
      <w:r w:rsidRPr="107F0A2D" w:rsidR="107F0A2D">
        <w:rPr>
          <w:noProof w:val="0"/>
          <w:sz w:val="24"/>
          <w:szCs w:val="24"/>
          <w:lang w:val="nb-NO"/>
        </w:rPr>
        <w:t>må</w:t>
      </w:r>
      <w:r w:rsidRPr="107F0A2D" w:rsidR="107F0A2D">
        <w:rPr>
          <w:noProof w:val="0"/>
          <w:sz w:val="24"/>
          <w:szCs w:val="24"/>
          <w:lang w:val="nb-NO"/>
        </w:rPr>
        <w:t xml:space="preserve"> startes, stoppes eller justeres hyppig.</w:t>
      </w:r>
    </w:p>
    <w:p w:rsidR="57FEDE8B" w:rsidP="0E715B59" w14:paraId="154BC6A7" w14:textId="195BCEE3">
      <w:pPr>
        <w:bidi w:val="0"/>
        <w:spacing w:line="360" w:lineRule="auto"/>
        <w:rPr>
          <w:noProof w:val="0"/>
          <w:sz w:val="24"/>
          <w:szCs w:val="24"/>
          <w:lang w:val="nb-NO"/>
        </w:rPr>
      </w:pPr>
    </w:p>
    <w:p w:rsidR="57FEDE8B" w:rsidP="0E715B59" w14:paraId="4DC91E53" w14:textId="0D893403">
      <w:pPr>
        <w:pStyle w:val="Heading2"/>
        <w:bidi w:val="0"/>
        <w:spacing w:line="360" w:lineRule="auto"/>
        <w:rPr>
          <w:b/>
          <w:bCs/>
          <w:noProof w:val="0"/>
          <w:sz w:val="24"/>
          <w:szCs w:val="24"/>
          <w:lang w:val="nb-NO"/>
        </w:rPr>
      </w:pPr>
      <w:bookmarkStart w:id="11" w:name="_Toc256000010"/>
      <w:r w:rsidRPr="107F0A2D" w:rsidR="107F0A2D">
        <w:rPr>
          <w:b/>
          <w:bCs/>
          <w:noProof w:val="0"/>
          <w:sz w:val="24"/>
          <w:szCs w:val="24"/>
          <w:lang w:val="nb-NO"/>
        </w:rPr>
        <w:t>Dosering og kontroll</w:t>
      </w:r>
      <w:bookmarkEnd w:id="11"/>
    </w:p>
    <w:p w:rsidR="57FEDE8B" w:rsidP="0E715B59" w14:paraId="16F83D34" w14:textId="213A0B88">
      <w:pPr>
        <w:pStyle w:val="ListParagraph"/>
        <w:numPr>
          <w:ilvl w:val="0"/>
          <w:numId w:val="31"/>
        </w:numPr>
        <w:bidi w:val="0"/>
        <w:spacing w:line="360" w:lineRule="auto"/>
        <w:rPr>
          <w:noProof w:val="0"/>
          <w:sz w:val="24"/>
          <w:szCs w:val="24"/>
          <w:lang w:val="nb-NO"/>
        </w:rPr>
      </w:pPr>
      <w:r w:rsidRPr="0E715B59" w:rsidR="0E715B59">
        <w:rPr>
          <w:noProof w:val="0"/>
          <w:sz w:val="24"/>
          <w:szCs w:val="24"/>
          <w:lang w:val="nb-NO"/>
        </w:rPr>
        <w:t>Dosen tilpasses individuelt etter klinisk tilstand, kroppsvekt og ernærings-/energibehov.</w:t>
      </w:r>
    </w:p>
    <w:p w:rsidR="57FEDE8B" w:rsidP="0E715B59" w14:paraId="6ABC6D32" w14:textId="09F0DE03">
      <w:pPr>
        <w:pStyle w:val="ListParagraph"/>
        <w:numPr>
          <w:ilvl w:val="0"/>
          <w:numId w:val="31"/>
        </w:numPr>
        <w:bidi w:val="0"/>
        <w:spacing w:line="360" w:lineRule="auto"/>
        <w:rPr>
          <w:noProof w:val="0"/>
          <w:sz w:val="24"/>
          <w:szCs w:val="24"/>
          <w:lang w:val="nb-NO"/>
        </w:rPr>
      </w:pPr>
      <w:r w:rsidRPr="0E715B59" w:rsidR="0E715B59">
        <w:rPr>
          <w:noProof w:val="0"/>
          <w:sz w:val="24"/>
          <w:szCs w:val="24"/>
          <w:lang w:val="nb-NO"/>
        </w:rPr>
        <w:t>Ofte startes det med ca. 50 % av beregnet behov, for så å trappe opp til 100 % over noen dager.</w:t>
      </w:r>
    </w:p>
    <w:p w:rsidR="57FEDE8B" w:rsidP="0E715B59" w14:paraId="249C643E" w14:textId="68CC50F1">
      <w:pPr>
        <w:pStyle w:val="ListParagraph"/>
        <w:numPr>
          <w:ilvl w:val="0"/>
          <w:numId w:val="31"/>
        </w:numPr>
        <w:bidi w:val="0"/>
        <w:spacing w:line="360" w:lineRule="auto"/>
        <w:rPr>
          <w:noProof w:val="0"/>
          <w:sz w:val="24"/>
          <w:szCs w:val="24"/>
          <w:lang w:val="nb-NO"/>
        </w:rPr>
      </w:pPr>
      <w:r w:rsidRPr="0E715B59" w:rsidR="0E715B59">
        <w:rPr>
          <w:noProof w:val="0"/>
          <w:sz w:val="24"/>
          <w:szCs w:val="24"/>
          <w:lang w:val="nb-NO"/>
        </w:rPr>
        <w:t>Dose justeres ved samtidig oralt/enteralt inntak.</w:t>
      </w:r>
    </w:p>
    <w:p w:rsidR="57FEDE8B" w:rsidP="0E715B59" w14:paraId="41779671" w14:textId="75158219">
      <w:pPr>
        <w:bidi w:val="0"/>
        <w:spacing w:line="360" w:lineRule="auto"/>
        <w:ind w:left="709"/>
        <w:rPr>
          <w:noProof w:val="0"/>
          <w:sz w:val="24"/>
          <w:szCs w:val="24"/>
          <w:lang w:val="nb-NO"/>
        </w:rPr>
      </w:pPr>
    </w:p>
    <w:p w:rsidR="57FEDE8B" w:rsidP="0E715B59" w14:paraId="6A93ED67" w14:textId="7A0565EA">
      <w:pPr>
        <w:pStyle w:val="Heading3"/>
        <w:bidi w:val="0"/>
        <w:spacing w:line="360" w:lineRule="auto"/>
        <w:rPr>
          <w:noProof w:val="0"/>
          <w:sz w:val="24"/>
          <w:szCs w:val="24"/>
          <w:lang w:val="nb-NO"/>
        </w:rPr>
      </w:pPr>
      <w:bookmarkStart w:id="12" w:name="_Toc256000011"/>
      <w:r w:rsidRPr="107F0A2D" w:rsidR="107F0A2D">
        <w:rPr>
          <w:noProof w:val="0"/>
          <w:sz w:val="24"/>
          <w:szCs w:val="24"/>
          <w:lang w:val="nb-NO"/>
        </w:rPr>
        <w:t>Dobbeltkontroll</w:t>
      </w:r>
      <w:bookmarkEnd w:id="12"/>
    </w:p>
    <w:p w:rsidR="57FEDE8B" w:rsidP="0E715B59" w14:paraId="60EF8CF5" w14:textId="53D98E2F">
      <w:pPr>
        <w:pStyle w:val="ListParagraph"/>
        <w:numPr>
          <w:ilvl w:val="0"/>
          <w:numId w:val="30"/>
        </w:numPr>
        <w:bidi w:val="0"/>
        <w:spacing w:line="360" w:lineRule="auto"/>
        <w:rPr>
          <w:noProof w:val="0"/>
          <w:sz w:val="24"/>
          <w:szCs w:val="24"/>
          <w:lang w:val="nb-NO"/>
        </w:rPr>
      </w:pPr>
      <w:r w:rsidRPr="03C4B5EF" w:rsidR="03C4B5EF">
        <w:rPr>
          <w:noProof w:val="0"/>
          <w:sz w:val="24"/>
          <w:szCs w:val="24"/>
          <w:lang w:val="nb-NO"/>
        </w:rPr>
        <w:t>Innhold skal dobbelkontrolleres mellom ordinasjonsskjema og infusjonspose.</w:t>
      </w:r>
    </w:p>
    <w:p w:rsidR="57FEDE8B" w:rsidP="0E715B59" w14:paraId="663D1B4C" w14:textId="7F4B0DEF">
      <w:pPr>
        <w:pStyle w:val="ListParagraph"/>
        <w:numPr>
          <w:ilvl w:val="0"/>
          <w:numId w:val="30"/>
        </w:numPr>
        <w:bidi w:val="0"/>
        <w:spacing w:line="360" w:lineRule="auto"/>
        <w:rPr>
          <w:noProof w:val="0"/>
          <w:sz w:val="24"/>
          <w:szCs w:val="24"/>
          <w:lang w:val="nb-NO"/>
        </w:rPr>
      </w:pPr>
      <w:r w:rsidRPr="0E715B59" w:rsidR="0E715B59">
        <w:rPr>
          <w:noProof w:val="0"/>
          <w:sz w:val="24"/>
          <w:szCs w:val="24"/>
          <w:lang w:val="nb-NO"/>
        </w:rPr>
        <w:t>To sykepleiere skal dobbelkontrollere innstilt infusjonshastighet.</w:t>
      </w:r>
    </w:p>
    <w:p w:rsidR="5FA5D3DD" w:rsidP="107F0A2D" w14:paraId="61560244" w14:textId="13136EEA">
      <w:pPr>
        <w:pStyle w:val="ListParagraph"/>
        <w:numPr>
          <w:ilvl w:val="0"/>
          <w:numId w:val="30"/>
        </w:numPr>
        <w:bidi w:val="0"/>
        <w:spacing w:before="240" w:beforeAutospacing="0" w:after="240" w:afterAutospacing="0" w:line="360" w:lineRule="auto"/>
        <w:rPr>
          <w:noProof w:val="0"/>
          <w:sz w:val="24"/>
          <w:szCs w:val="24"/>
          <w:lang w:val="nb-NO"/>
        </w:rPr>
      </w:pPr>
      <w:r w:rsidRPr="107F0A2D" w:rsidR="107F0A2D">
        <w:rPr>
          <w:noProof w:val="0"/>
          <w:sz w:val="24"/>
          <w:szCs w:val="24"/>
          <w:lang w:val="nb-NO"/>
        </w:rPr>
        <w:t xml:space="preserve">Dobbeltkontroll signeres i </w:t>
      </w:r>
      <w:r w:rsidRPr="107F0A2D" w:rsidR="107F0A2D">
        <w:rPr>
          <w:noProof w:val="0"/>
          <w:sz w:val="24"/>
          <w:szCs w:val="24"/>
          <w:lang w:val="nb-NO"/>
        </w:rPr>
        <w:t>Meona</w:t>
      </w:r>
      <w:r w:rsidRPr="107F0A2D" w:rsidR="107F0A2D">
        <w:rPr>
          <w:noProof w:val="0"/>
          <w:sz w:val="24"/>
          <w:szCs w:val="24"/>
          <w:lang w:val="nb-NO"/>
        </w:rPr>
        <w:t>.</w:t>
      </w:r>
    </w:p>
    <w:p w:rsidR="107F0A2D" w:rsidP="107F0A2D" w14:paraId="07A25840" w14:textId="43292811">
      <w:pPr>
        <w:bidi w:val="0"/>
        <w:spacing w:line="360" w:lineRule="auto"/>
        <w:ind w:left="0"/>
        <w:rPr>
          <w:noProof w:val="0"/>
          <w:sz w:val="24"/>
          <w:szCs w:val="24"/>
          <w:lang w:val="nb-NO"/>
        </w:rPr>
      </w:pPr>
    </w:p>
    <w:p w:rsidR="57FEDE8B" w:rsidP="0E715B59" w14:paraId="2499C50C" w14:textId="4EC8694D">
      <w:pPr>
        <w:pStyle w:val="Heading2"/>
        <w:bidi w:val="0"/>
        <w:spacing w:line="360" w:lineRule="auto"/>
        <w:rPr>
          <w:b/>
          <w:bCs/>
          <w:noProof w:val="0"/>
          <w:sz w:val="24"/>
          <w:szCs w:val="24"/>
          <w:lang w:val="nb-NO"/>
        </w:rPr>
      </w:pPr>
      <w:bookmarkStart w:id="13" w:name="_Toc256000012"/>
      <w:r w:rsidRPr="52327787" w:rsidR="52327787">
        <w:rPr>
          <w:b/>
          <w:bCs/>
          <w:noProof w:val="0"/>
          <w:sz w:val="24"/>
          <w:szCs w:val="24"/>
          <w:lang w:val="nb-NO"/>
        </w:rPr>
        <w:t xml:space="preserve">Tilbereding og </w:t>
      </w:r>
      <w:r w:rsidRPr="52327787" w:rsidR="52327787">
        <w:rPr>
          <w:b/>
          <w:bCs/>
          <w:noProof w:val="0"/>
          <w:sz w:val="24"/>
          <w:szCs w:val="24"/>
          <w:lang w:val="nb-NO"/>
        </w:rPr>
        <w:t>tilsetninger</w:t>
      </w:r>
      <w:bookmarkEnd w:id="13"/>
    </w:p>
    <w:p w:rsidR="107F0A2D" w:rsidP="107F0A2D" w14:paraId="20B7A182" w14:textId="6652D213">
      <w:pPr>
        <w:spacing w:line="360" w:lineRule="auto"/>
        <w:rPr>
          <w:noProof w:val="0"/>
          <w:sz w:val="24"/>
          <w:szCs w:val="24"/>
          <w:lang w:val="nb-NO"/>
        </w:rPr>
      </w:pPr>
      <w:r w:rsidRPr="2049461A" w:rsidR="2049461A">
        <w:rPr>
          <w:noProof w:val="0"/>
          <w:sz w:val="24"/>
          <w:szCs w:val="24"/>
          <w:lang w:val="nb-NO"/>
        </w:rPr>
        <w:t xml:space="preserve">Tilbereding av PN bør skje i produksjonsavdelingen på Sjukehusapoteket på grunn av strenge krav til hygiene og fare for utfelling/destabilisering av PN-løsning når komponenter tilsettes PN. Standard parenterale ernæringsløsninger, som </w:t>
      </w:r>
      <w:r w:rsidRPr="2049461A" w:rsidR="2049461A">
        <w:rPr>
          <w:noProof w:val="0"/>
          <w:sz w:val="24"/>
          <w:szCs w:val="24"/>
          <w:lang w:val="nb-NO"/>
        </w:rPr>
        <w:t>Numeta</w:t>
      </w:r>
      <w:r w:rsidRPr="2049461A" w:rsidR="2049461A">
        <w:rPr>
          <w:noProof w:val="0"/>
          <w:sz w:val="24"/>
          <w:szCs w:val="24"/>
          <w:lang w:val="nb-NO"/>
        </w:rPr>
        <w:t xml:space="preserve"> og </w:t>
      </w:r>
      <w:r w:rsidRPr="2049461A" w:rsidR="2049461A">
        <w:rPr>
          <w:noProof w:val="0"/>
          <w:sz w:val="24"/>
          <w:szCs w:val="24"/>
          <w:lang w:val="nb-NO"/>
        </w:rPr>
        <w:t>SmofKabiven</w:t>
      </w:r>
      <w:r w:rsidRPr="2049461A" w:rsidR="2049461A">
        <w:rPr>
          <w:noProof w:val="0"/>
          <w:sz w:val="24"/>
          <w:szCs w:val="24"/>
          <w:lang w:val="nb-NO"/>
        </w:rPr>
        <w:t>, tilsettes vitaminer (</w:t>
      </w:r>
      <w:r w:rsidRPr="2049461A" w:rsidR="2049461A">
        <w:rPr>
          <w:noProof w:val="0"/>
          <w:sz w:val="24"/>
          <w:szCs w:val="24"/>
          <w:lang w:val="nb-NO"/>
        </w:rPr>
        <w:t>Soluvit</w:t>
      </w:r>
      <w:r w:rsidRPr="2049461A" w:rsidR="2049461A">
        <w:rPr>
          <w:noProof w:val="0"/>
          <w:sz w:val="24"/>
          <w:szCs w:val="24"/>
          <w:lang w:val="nb-NO"/>
        </w:rPr>
        <w:t xml:space="preserve"> og </w:t>
      </w:r>
      <w:r w:rsidRPr="2049461A" w:rsidR="2049461A">
        <w:rPr>
          <w:noProof w:val="0"/>
          <w:sz w:val="24"/>
          <w:szCs w:val="24"/>
          <w:lang w:val="nb-NO"/>
        </w:rPr>
        <w:t>Vitalipid</w:t>
      </w:r>
      <w:r w:rsidRPr="2049461A" w:rsidR="2049461A">
        <w:rPr>
          <w:noProof w:val="0"/>
          <w:sz w:val="24"/>
          <w:szCs w:val="24"/>
          <w:lang w:val="nb-NO"/>
        </w:rPr>
        <w:t xml:space="preserve"> </w:t>
      </w:r>
      <w:r w:rsidRPr="2049461A" w:rsidR="2049461A">
        <w:rPr>
          <w:noProof w:val="0"/>
          <w:sz w:val="24"/>
          <w:szCs w:val="24"/>
          <w:lang w:val="nb-NO"/>
        </w:rPr>
        <w:t>Infant</w:t>
      </w:r>
      <w:r w:rsidRPr="2049461A" w:rsidR="2049461A">
        <w:rPr>
          <w:noProof w:val="0"/>
          <w:sz w:val="24"/>
          <w:szCs w:val="24"/>
          <w:lang w:val="nb-NO"/>
        </w:rPr>
        <w:t>) og sporelementer (</w:t>
      </w:r>
      <w:r w:rsidRPr="2049461A" w:rsidR="2049461A">
        <w:rPr>
          <w:noProof w:val="0"/>
          <w:sz w:val="24"/>
          <w:szCs w:val="24"/>
          <w:lang w:val="nb-NO"/>
        </w:rPr>
        <w:t>Peditrace</w:t>
      </w:r>
      <w:r w:rsidRPr="2049461A" w:rsidR="2049461A">
        <w:rPr>
          <w:noProof w:val="0"/>
          <w:sz w:val="24"/>
          <w:szCs w:val="24"/>
          <w:lang w:val="nb-NO"/>
        </w:rPr>
        <w:t xml:space="preserve"> eller </w:t>
      </w:r>
      <w:r w:rsidRPr="2049461A" w:rsidR="2049461A">
        <w:rPr>
          <w:noProof w:val="0"/>
          <w:sz w:val="24"/>
          <w:szCs w:val="24"/>
          <w:lang w:val="nb-NO"/>
        </w:rPr>
        <w:t>Addaven</w:t>
      </w:r>
      <w:r w:rsidRPr="2049461A" w:rsidR="2049461A">
        <w:rPr>
          <w:noProof w:val="0"/>
          <w:sz w:val="24"/>
          <w:szCs w:val="24"/>
          <w:lang w:val="nb-NO"/>
        </w:rPr>
        <w:t xml:space="preserve">) for å være ernæringsmessig fullverdige. Mulige ekstra tilsetninger av elektrolytter er angitt i rekvireringsskjema for parenteral ernæring til barn, se “Skjema” i Legemiddelportalen. Tilsetninger utenom vanlige doser vitaminer og sporelementer kan gjøre blandingen ustabil, og må som hovedregel vurderes av farmasøyt ved BUK. Hvis det er nødvendig å </w:t>
      </w:r>
      <w:r w:rsidRPr="2049461A" w:rsidR="2049461A">
        <w:rPr>
          <w:noProof w:val="0"/>
          <w:sz w:val="24"/>
          <w:szCs w:val="24"/>
          <w:lang w:val="nb-NO"/>
        </w:rPr>
        <w:t>tilberede PN på avdeling</w:t>
      </w:r>
      <w:r w:rsidRPr="2049461A" w:rsidR="2049461A">
        <w:rPr>
          <w:noProof w:val="0"/>
          <w:sz w:val="24"/>
          <w:szCs w:val="24"/>
          <w:lang w:val="nb-NO"/>
        </w:rPr>
        <w:t xml:space="preserve"> bør dette begrenses til akutte behov utenom apotekets åpningstider. En tre-kammerpose kan aktiveres og er stabil selv om ikke vitaminer og/eller sporstoff er tilsatt, men den vil ikke være fullverdig ernæringsmessig. Dersom lege vurderer at pasient kan klare seg uten vitamin/sporstoff i PN frem til man får bestilt PN fra apoteket, bør man vurdere om det er nødvendig å gjøre tilsetninger av vitaminer og sporstoff dersom personalet ikke har så mye erfaring med tilberedning av PN.</w:t>
      </w:r>
    </w:p>
    <w:p w:rsidR="107F0A2D" w:rsidP="107F0A2D" w14:paraId="06FC2C8E" w14:textId="5D195A69">
      <w:pPr>
        <w:bidi w:val="0"/>
        <w:spacing w:line="360" w:lineRule="auto"/>
        <w:rPr>
          <w:noProof w:val="0"/>
          <w:sz w:val="24"/>
          <w:szCs w:val="24"/>
          <w:lang w:val="nb-NO"/>
        </w:rPr>
      </w:pPr>
    </w:p>
    <w:p w:rsidR="107F0A2D" w:rsidP="107F0A2D" w14:paraId="1A944C2A" w14:textId="768EBE75">
      <w:pPr>
        <w:pStyle w:val="Heading2"/>
        <w:bidi w:val="0"/>
        <w:spacing w:line="360" w:lineRule="auto"/>
        <w:rPr>
          <w:b/>
          <w:bCs/>
          <w:noProof w:val="0"/>
          <w:sz w:val="24"/>
          <w:szCs w:val="24"/>
          <w:lang w:val="nb-NO"/>
        </w:rPr>
      </w:pPr>
      <w:bookmarkStart w:id="14" w:name="_Toc256000013"/>
      <w:r w:rsidRPr="107F0A2D">
        <w:rPr>
          <w:b/>
          <w:bCs/>
          <w:noProof w:val="0"/>
          <w:sz w:val="24"/>
          <w:szCs w:val="24"/>
          <w:lang w:val="nb-NO"/>
        </w:rPr>
        <w:t>Lagring og holdbarhet</w:t>
      </w:r>
      <w:bookmarkEnd w:id="14"/>
    </w:p>
    <w:p w:rsidR="107F0A2D" w:rsidP="107F0A2D" w14:paraId="1EA2A6B3" w14:textId="50D9518E">
      <w:pPr>
        <w:pStyle w:val="ListParagraph"/>
        <w:numPr>
          <w:ilvl w:val="0"/>
          <w:numId w:val="24"/>
        </w:numPr>
        <w:bidi w:val="0"/>
        <w:spacing w:line="360" w:lineRule="auto"/>
        <w:rPr>
          <w:noProof w:val="0"/>
          <w:sz w:val="24"/>
          <w:szCs w:val="24"/>
          <w:lang w:val="nb-NO"/>
        </w:rPr>
      </w:pPr>
      <w:r w:rsidRPr="107F0A2D">
        <w:rPr>
          <w:noProof w:val="0"/>
          <w:sz w:val="24"/>
          <w:szCs w:val="24"/>
          <w:lang w:val="nb-NO"/>
        </w:rPr>
        <w:t>Holdbarhet 24 timer i romtemperatur</w:t>
      </w:r>
    </w:p>
    <w:p w:rsidR="107F0A2D" w:rsidP="107F0A2D" w14:paraId="7C05B833" w14:textId="7DF2C03F">
      <w:pPr>
        <w:pStyle w:val="ListParagraph"/>
        <w:numPr>
          <w:ilvl w:val="0"/>
          <w:numId w:val="24"/>
        </w:numPr>
        <w:bidi w:val="0"/>
        <w:spacing w:line="360" w:lineRule="auto"/>
        <w:rPr>
          <w:noProof w:val="0"/>
          <w:sz w:val="24"/>
          <w:szCs w:val="24"/>
          <w:lang w:val="nb-NO"/>
        </w:rPr>
      </w:pPr>
      <w:r w:rsidRPr="107F0A2D">
        <w:rPr>
          <w:noProof w:val="0"/>
          <w:sz w:val="24"/>
          <w:szCs w:val="24"/>
          <w:lang w:val="nb-NO"/>
        </w:rPr>
        <w:t>Ferdig tilberedt pose med tilsetninger opp</w:t>
      </w:r>
      <w:r w:rsidRPr="107F0A2D">
        <w:rPr>
          <w:rFonts w:asciiTheme="minorAscii" w:eastAsiaTheme="minorAscii" w:hAnsiTheme="minorAscii" w:cstheme="minorAscii"/>
          <w:noProof w:val="0"/>
          <w:sz w:val="24"/>
          <w:szCs w:val="24"/>
          <w:lang w:val="nb-NO"/>
        </w:rPr>
        <w:t xml:space="preserve">bevares ved 2-8 </w:t>
      </w:r>
      <w:r w:rsidRPr="107F0A2D">
        <w:rPr>
          <w:rFonts w:asciiTheme="minorAscii" w:eastAsiaTheme="minorAscii" w:hAnsiTheme="minorAscii" w:cstheme="minorAscii"/>
          <w:b w:val="0"/>
          <w:bCs w:val="0"/>
          <w:i w:val="0"/>
          <w:iCs w:val="0"/>
          <w:caps w:val="0"/>
          <w:smallCaps w:val="0"/>
          <w:strike w:val="0"/>
          <w:dstrike w:val="0"/>
          <w:noProof w:val="0"/>
          <w:color w:val="000000" w:themeColor="text1" w:themeShade="FF" w:themeTint="FF"/>
          <w:sz w:val="24"/>
          <w:szCs w:val="24"/>
          <w:u w:val="none"/>
          <w:lang w:val="nb-NO"/>
        </w:rPr>
        <w:t>°C (i kjøleskap).</w:t>
      </w:r>
    </w:p>
    <w:p w:rsidR="107F0A2D" w:rsidP="107F0A2D" w14:paraId="2FE3428A" w14:textId="2C712438">
      <w:pPr>
        <w:pStyle w:val="ListParagraph"/>
        <w:numPr>
          <w:ilvl w:val="0"/>
          <w:numId w:val="24"/>
        </w:numPr>
        <w:bidi w:val="0"/>
        <w:spacing w:line="360" w:lineRule="auto"/>
        <w:rPr>
          <w:noProof w:val="0"/>
          <w:sz w:val="24"/>
          <w:szCs w:val="24"/>
          <w:lang w:val="nb-NO"/>
        </w:rPr>
      </w:pPr>
      <w:r w:rsidRPr="107F0A2D">
        <w:rPr>
          <w:rFonts w:asciiTheme="minorAscii" w:eastAsiaTheme="minorAscii" w:hAnsiTheme="minorAscii" w:cstheme="minorAscii"/>
          <w:b w:val="0"/>
          <w:bCs w:val="0"/>
          <w:i w:val="0"/>
          <w:iCs w:val="0"/>
          <w:caps w:val="0"/>
          <w:smallCaps w:val="0"/>
          <w:strike w:val="0"/>
          <w:dstrike w:val="0"/>
          <w:noProof w:val="0"/>
          <w:color w:val="000000" w:themeColor="text1" w:themeShade="FF" w:themeTint="FF"/>
          <w:sz w:val="24"/>
          <w:szCs w:val="24"/>
          <w:u w:val="none"/>
          <w:lang w:val="nb-NO"/>
        </w:rPr>
        <w:t>Dersom tilberedt på apotek er holdbarheten vanligvis 7 dager i kjøleskap.</w:t>
      </w:r>
    </w:p>
    <w:p w:rsidR="107F0A2D" w:rsidP="107F0A2D" w14:paraId="48445BD7" w14:textId="3B2FDE6A">
      <w:pPr>
        <w:pStyle w:val="ListParagraph"/>
        <w:numPr>
          <w:ilvl w:val="0"/>
          <w:numId w:val="24"/>
        </w:numPr>
        <w:bidi w:val="0"/>
        <w:spacing w:line="360" w:lineRule="auto"/>
        <w:rPr>
          <w:noProof w:val="0"/>
          <w:sz w:val="24"/>
          <w:szCs w:val="24"/>
          <w:lang w:val="nb-NO"/>
        </w:rPr>
      </w:pPr>
      <w:r w:rsidRPr="107F0A2D">
        <w:rPr>
          <w:rFonts w:asciiTheme="minorAscii" w:eastAsiaTheme="minorAscii" w:hAnsiTheme="minorAscii" w:cstheme="minorAscii"/>
          <w:b w:val="0"/>
          <w:bCs w:val="0"/>
          <w:i w:val="0"/>
          <w:iCs w:val="0"/>
          <w:caps w:val="0"/>
          <w:smallCaps w:val="0"/>
          <w:strike w:val="0"/>
          <w:dstrike w:val="0"/>
          <w:noProof w:val="0"/>
          <w:color w:val="000000" w:themeColor="text1" w:themeShade="FF" w:themeTint="FF"/>
          <w:sz w:val="24"/>
          <w:szCs w:val="24"/>
          <w:u w:val="none"/>
          <w:lang w:val="nb-NO"/>
        </w:rPr>
        <w:t>Dersom tilbereding skjer på avdelingen: holdbarhet i 24 timer.</w:t>
      </w:r>
    </w:p>
    <w:p w:rsidR="57FEDE8B" w:rsidP="5FA5D3DD" w14:paraId="76F3B954" w14:textId="1C42A48F">
      <w:pPr>
        <w:bidi w:val="0"/>
        <w:spacing w:line="360" w:lineRule="auto"/>
        <w:rPr>
          <w:noProof w:val="0"/>
          <w:lang w:val="nb-NO"/>
        </w:rPr>
      </w:pPr>
    </w:p>
    <w:p w:rsidR="57FEDE8B" w:rsidP="0E715B59" w14:paraId="67D4D801" w14:textId="11859751">
      <w:pPr>
        <w:pStyle w:val="Heading2"/>
        <w:bidi w:val="0"/>
        <w:spacing w:line="360" w:lineRule="auto"/>
        <w:rPr>
          <w:b/>
          <w:bCs/>
          <w:noProof w:val="0"/>
          <w:sz w:val="24"/>
          <w:szCs w:val="24"/>
          <w:lang w:val="nb-NO"/>
        </w:rPr>
      </w:pPr>
      <w:bookmarkStart w:id="15" w:name="_Toc256000014"/>
      <w:r w:rsidRPr="107F0A2D" w:rsidR="107F0A2D">
        <w:rPr>
          <w:b/>
          <w:bCs/>
          <w:noProof w:val="0"/>
          <w:sz w:val="24"/>
          <w:szCs w:val="24"/>
          <w:lang w:val="nb-NO"/>
        </w:rPr>
        <w:t>Administrasjon</w:t>
      </w:r>
      <w:bookmarkEnd w:id="15"/>
    </w:p>
    <w:p w:rsidR="57FEDE8B" w:rsidP="73275EAB" w14:paraId="58B5D4E5" w14:textId="4649D266">
      <w:pPr>
        <w:pStyle w:val="ListParagraph"/>
        <w:numPr>
          <w:ilvl w:val="0"/>
          <w:numId w:val="32"/>
        </w:numPr>
        <w:bidi w:val="0"/>
        <w:spacing w:line="360" w:lineRule="auto"/>
        <w:rPr>
          <w:rFonts w:asciiTheme="minorAscii" w:eastAsiaTheme="minorAscii" w:hAnsiTheme="minorAscii" w:cstheme="minorAscii"/>
          <w:noProof w:val="0"/>
          <w:sz w:val="24"/>
          <w:szCs w:val="24"/>
          <w:lang w:val="nb-NO"/>
        </w:rPr>
      </w:pPr>
      <w:r w:rsidRPr="73275EAB" w:rsidR="73275EAB">
        <w:rPr>
          <w:rFonts w:asciiTheme="minorAscii" w:eastAsiaTheme="minorAscii" w:hAnsiTheme="minorAscii" w:cstheme="minorAscii"/>
          <w:noProof w:val="0"/>
          <w:sz w:val="24"/>
          <w:szCs w:val="24"/>
          <w:lang w:val="nb-NO"/>
        </w:rPr>
        <w:t>Administreres romtemperert. Tas ut av kjøleskap 2-4 timer før administrering (avhengig av posestørrelse). Husk å skrive dato og klokkeslett på posen når den tas ut av kjøleskap. OBS! Sjekk holdbarheten på posene. Det kan være ulik holdbarhet på posene som er levert på grunn av produksjon på ulike tidspunkt.</w:t>
      </w:r>
    </w:p>
    <w:p w:rsidR="2A793B06" w:rsidP="73275EAB" w14:paraId="28CE3801" w14:textId="6FBF2C5B">
      <w:pPr>
        <w:pStyle w:val="ListParagraph"/>
        <w:numPr>
          <w:ilvl w:val="1"/>
          <w:numId w:val="32"/>
        </w:numPr>
        <w:suppressLineNumbers w:val="0"/>
        <w:bidi w:val="0"/>
        <w:spacing w:before="0" w:beforeAutospacing="0" w:after="0" w:afterAutospacing="0" w:line="360" w:lineRule="auto"/>
        <w:ind w:left="1440" w:right="0" w:hanging="360"/>
        <w:jc w:val="left"/>
        <w:rPr>
          <w:rFonts w:asciiTheme="minorAscii" w:eastAsiaTheme="minorAscii" w:hAnsiTheme="minorAscii" w:cstheme="minorAscii"/>
          <w:noProof w:val="0"/>
          <w:sz w:val="24"/>
          <w:szCs w:val="24"/>
          <w:lang w:val="nb-NO"/>
        </w:rPr>
      </w:pPr>
      <w:r w:rsidRPr="73275EAB" w:rsidR="73275EAB">
        <w:rPr>
          <w:rFonts w:asciiTheme="minorAscii" w:eastAsiaTheme="minorAscii" w:hAnsiTheme="minorAscii" w:cstheme="minorAscii"/>
          <w:noProof w:val="0"/>
          <w:sz w:val="24"/>
          <w:szCs w:val="24"/>
          <w:lang w:val="nb-NO"/>
        </w:rPr>
        <w:t>Ved uttak fra kjøleskap skal posen vendes (ikke ristes) 5-6 ganger før den henges opp slik at luftbobler kan stige opp. Posen bør da ikke legges flatt igjen.</w:t>
      </w:r>
    </w:p>
    <w:p w:rsidR="2A793B06" w:rsidP="03C4B5EF" w14:paraId="53462D58" w14:textId="6B364B58">
      <w:pPr>
        <w:pStyle w:val="ListParagraph"/>
        <w:numPr>
          <w:ilvl w:val="0"/>
          <w:numId w:val="32"/>
        </w:numPr>
        <w:suppressLineNumbers w:val="0"/>
        <w:bidi w:val="0"/>
        <w:spacing w:before="0" w:beforeAutospacing="0" w:after="0" w:afterAutospacing="0" w:line="360" w:lineRule="auto"/>
        <w:ind w:left="720" w:right="0" w:hanging="360"/>
        <w:jc w:val="left"/>
        <w:rPr>
          <w:rFonts w:asciiTheme="minorAscii" w:eastAsiaTheme="minorAscii" w:hAnsiTheme="minorAscii" w:cstheme="minorAscii"/>
          <w:noProof w:val="0"/>
          <w:sz w:val="24"/>
          <w:szCs w:val="24"/>
          <w:lang w:val="nb-NO"/>
        </w:rPr>
      </w:pPr>
      <w:r w:rsidRPr="03C4B5EF" w:rsidR="03C4B5EF">
        <w:rPr>
          <w:rFonts w:asciiTheme="minorAscii" w:eastAsiaTheme="minorAscii" w:hAnsiTheme="minorAscii" w:cstheme="minorAscii"/>
          <w:noProof w:val="0"/>
          <w:sz w:val="24"/>
          <w:szCs w:val="24"/>
          <w:lang w:val="nb-NO"/>
        </w:rPr>
        <w:t xml:space="preserve">PN må som regel </w:t>
      </w:r>
      <w:r w:rsidRPr="03C4B5EF" w:rsidR="03C4B5EF">
        <w:rPr>
          <w:rFonts w:asciiTheme="minorAscii" w:eastAsiaTheme="minorAscii" w:hAnsiTheme="minorAscii" w:cstheme="minorAscii"/>
          <w:noProof w:val="0"/>
          <w:sz w:val="24"/>
          <w:szCs w:val="24"/>
          <w:lang w:val="nb-NO"/>
        </w:rPr>
        <w:t>administreres i</w:t>
      </w:r>
      <w:r w:rsidRPr="03C4B5EF" w:rsidR="03C4B5EF">
        <w:rPr>
          <w:rFonts w:asciiTheme="minorAscii" w:eastAsiaTheme="minorAscii" w:hAnsiTheme="minorAscii" w:cstheme="minorAscii"/>
          <w:noProof w:val="0"/>
          <w:sz w:val="24"/>
          <w:szCs w:val="24"/>
          <w:lang w:val="nb-NO"/>
        </w:rPr>
        <w:t xml:space="preserve"> sentral vene på grunn av høy </w:t>
      </w:r>
      <w:r w:rsidRPr="03C4B5EF" w:rsidR="03C4B5EF">
        <w:rPr>
          <w:rFonts w:asciiTheme="minorAscii" w:eastAsiaTheme="minorAscii" w:hAnsiTheme="minorAscii" w:cstheme="minorAscii"/>
          <w:noProof w:val="0"/>
          <w:sz w:val="24"/>
          <w:szCs w:val="24"/>
          <w:lang w:val="nb-NO"/>
        </w:rPr>
        <w:t>osmolalitet</w:t>
      </w:r>
      <w:r w:rsidRPr="03C4B5EF" w:rsidR="03C4B5EF">
        <w:rPr>
          <w:rFonts w:asciiTheme="minorAscii" w:eastAsiaTheme="minorAscii" w:hAnsiTheme="minorAscii" w:cstheme="minorAscii"/>
          <w:noProof w:val="0"/>
          <w:sz w:val="24"/>
          <w:szCs w:val="24"/>
          <w:lang w:val="nb-NO"/>
        </w:rPr>
        <w:t xml:space="preserve">. </w:t>
      </w:r>
      <w:r w:rsidRPr="03C4B5EF" w:rsidR="03C4B5EF">
        <w:rPr>
          <w:rFonts w:asciiTheme="minorAscii" w:eastAsiaTheme="minorAscii" w:hAnsiTheme="minorAscii" w:cstheme="minorAscii"/>
          <w:noProof w:val="0"/>
          <w:sz w:val="24"/>
          <w:szCs w:val="24"/>
          <w:lang w:val="nb-NO"/>
        </w:rPr>
        <w:t>SmofKabiven</w:t>
      </w:r>
      <w:r w:rsidRPr="03C4B5EF" w:rsidR="03C4B5EF">
        <w:rPr>
          <w:rFonts w:asciiTheme="minorAscii" w:eastAsiaTheme="minorAscii" w:hAnsiTheme="minorAscii" w:cstheme="minorAscii"/>
          <w:noProof w:val="0"/>
          <w:sz w:val="24"/>
          <w:szCs w:val="24"/>
          <w:lang w:val="nb-NO"/>
        </w:rPr>
        <w:t xml:space="preserve"> Perifer kan gis i perifer vene. Denne brukes sjelden, men er nevnt på rekvisisjonsskjema til barn.</w:t>
      </w:r>
    </w:p>
    <w:p w:rsidR="57FEDE8B" w:rsidP="0E715B59" w14:paraId="48C004F4" w14:textId="0A6E1741">
      <w:pPr>
        <w:pStyle w:val="ListParagraph"/>
        <w:numPr>
          <w:ilvl w:val="0"/>
          <w:numId w:val="32"/>
        </w:numPr>
        <w:bidi w:val="0"/>
        <w:spacing w:line="360" w:lineRule="auto"/>
        <w:rPr>
          <w:rFonts w:asciiTheme="minorAscii" w:eastAsiaTheme="minorAscii" w:hAnsiTheme="minorAscii" w:cstheme="minorAscii"/>
          <w:noProof w:val="0"/>
          <w:sz w:val="24"/>
          <w:szCs w:val="24"/>
          <w:lang w:val="nb-NO"/>
        </w:rPr>
      </w:pPr>
      <w:r w:rsidRPr="0E715B59" w:rsidR="0E715B59">
        <w:rPr>
          <w:rFonts w:asciiTheme="minorAscii" w:eastAsiaTheme="minorAscii" w:hAnsiTheme="minorAscii" w:cstheme="minorAscii"/>
          <w:noProof w:val="0"/>
          <w:sz w:val="24"/>
          <w:szCs w:val="24"/>
          <w:lang w:val="nb-NO"/>
        </w:rPr>
        <w:t>Strenge aseptiske retningslinjer skal følges grunnet økt infeksjonsrisiko.</w:t>
      </w:r>
    </w:p>
    <w:p w:rsidR="2A793B06" w:rsidP="0E715B59" w14:paraId="3A0F104F" w14:textId="31AD483B">
      <w:pPr>
        <w:pStyle w:val="ListParagraph"/>
        <w:numPr>
          <w:ilvl w:val="0"/>
          <w:numId w:val="32"/>
        </w:numPr>
        <w:bidi w:val="0"/>
        <w:spacing w:line="360" w:lineRule="auto"/>
        <w:rPr>
          <w:noProof w:val="0"/>
          <w:sz w:val="28"/>
          <w:szCs w:val="28"/>
          <w:lang w:val="nb-NO"/>
        </w:rPr>
      </w:pPr>
      <w:r w:rsidRPr="73275EAB" w:rsidR="73275EAB">
        <w:rPr>
          <w:noProof w:val="0"/>
          <w:sz w:val="24"/>
          <w:szCs w:val="24"/>
          <w:lang w:val="nb-NO"/>
        </w:rPr>
        <w:t>PN skal administreres med infusjonspumpe, og maksvolum skal alltid stilles inn. Det skal ikke trekkes ut væske fra posen for å tilpasse volumet.</w:t>
      </w:r>
    </w:p>
    <w:p w:rsidR="73B9CB2B" w:rsidP="73275EAB" w14:paraId="37BEA4AC" w14:textId="24DD1AE5">
      <w:pPr>
        <w:pStyle w:val="ListParagraph"/>
        <w:numPr>
          <w:ilvl w:val="0"/>
          <w:numId w:val="32"/>
        </w:numPr>
        <w:bidi w:val="0"/>
        <w:spacing w:line="360" w:lineRule="auto"/>
        <w:rPr>
          <w:rFonts w:asciiTheme="minorAscii" w:eastAsiaTheme="minorAscii" w:hAnsiTheme="minorAscii" w:cstheme="minorAscii"/>
          <w:noProof w:val="0"/>
          <w:sz w:val="24"/>
          <w:szCs w:val="24"/>
          <w:lang w:val="nb-NO"/>
        </w:rPr>
      </w:pPr>
      <w:r w:rsidRPr="73275EAB" w:rsidR="73275EAB">
        <w:rPr>
          <w:rFonts w:asciiTheme="minorAscii" w:eastAsiaTheme="minorAscii" w:hAnsiTheme="minorAscii" w:cstheme="minorAscii"/>
          <w:noProof w:val="0"/>
          <w:sz w:val="24"/>
          <w:szCs w:val="24"/>
          <w:lang w:val="nb-NO"/>
        </w:rPr>
        <w:t xml:space="preserve">PN skal alltid administreres med in-line filter 1,2 </w:t>
      </w:r>
      <w:r w:rsidRPr="73275EAB" w:rsidR="73275EAB">
        <w:rPr>
          <w:rFonts w:asciiTheme="minorAscii" w:eastAsiaTheme="minorAscii" w:hAnsiTheme="minorAscii" w:cstheme="minorAscii"/>
          <w:b w:val="0"/>
          <w:bCs w:val="0"/>
          <w:i w:val="0"/>
          <w:iCs w:val="0"/>
          <w:caps w:val="0"/>
          <w:smallCaps w:val="0"/>
          <w:strike w:val="0"/>
          <w:dstrike w:val="0"/>
          <w:noProof w:val="0"/>
          <w:color w:val="000000" w:themeColor="text1" w:themeShade="FF" w:themeTint="FF"/>
          <w:sz w:val="24"/>
          <w:szCs w:val="24"/>
          <w:u w:val="none"/>
          <w:lang w:val="nb-NO"/>
        </w:rPr>
        <w:t xml:space="preserve">µm, eller infusjonssett med innebygd filter 1,2 </w:t>
      </w:r>
      <w:r w:rsidRPr="73275EAB" w:rsidR="73275EAB">
        <w:rPr>
          <w:rFonts w:asciiTheme="minorAscii" w:eastAsiaTheme="minorAscii" w:hAnsiTheme="minorAscii" w:cstheme="minorAscii"/>
          <w:noProof w:val="0"/>
          <w:sz w:val="24"/>
          <w:szCs w:val="24"/>
          <w:lang w:val="nb-NO"/>
        </w:rPr>
        <w:t>µm.</w:t>
      </w:r>
    </w:p>
    <w:p w:rsidR="73B9CB2B" w:rsidP="73275EAB" w14:paraId="5C7C2A88" w14:textId="53E4171D">
      <w:pPr>
        <w:pStyle w:val="ListParagraph"/>
        <w:numPr>
          <w:ilvl w:val="0"/>
          <w:numId w:val="32"/>
        </w:numPr>
        <w:bidi w:val="0"/>
        <w:spacing w:line="360" w:lineRule="auto"/>
        <w:rPr>
          <w:noProof w:val="0"/>
          <w:sz w:val="24"/>
          <w:szCs w:val="24"/>
          <w:lang w:val="nb-NO"/>
        </w:rPr>
      </w:pPr>
      <w:r w:rsidRPr="4FFFB145" w:rsidR="4FFFB145">
        <w:rPr>
          <w:noProof w:val="0"/>
          <w:sz w:val="24"/>
          <w:szCs w:val="24"/>
          <w:lang w:val="nb-NO"/>
        </w:rPr>
        <w:t xml:space="preserve">Infusjonen skal administreres via dobbel nålefri kobling for å muliggjøre skylling uten </w:t>
      </w:r>
      <w:r w:rsidRPr="4FFFB145" w:rsidR="4FFFB145">
        <w:rPr>
          <w:noProof w:val="0"/>
          <w:sz w:val="24"/>
          <w:szCs w:val="24"/>
          <w:lang w:val="nb-NO"/>
        </w:rPr>
        <w:t>frakobling</w:t>
      </w:r>
      <w:r w:rsidRPr="4FFFB145" w:rsidR="4FFFB145">
        <w:rPr>
          <w:noProof w:val="0"/>
          <w:sz w:val="24"/>
          <w:szCs w:val="24"/>
          <w:lang w:val="nb-NO"/>
        </w:rPr>
        <w:t xml:space="preserve">. </w:t>
      </w:r>
      <w:r w:rsidRPr="4FFFB145" w:rsidR="4FFFB145">
        <w:rPr>
          <w:noProof w:val="0"/>
          <w:sz w:val="24"/>
          <w:szCs w:val="24"/>
          <w:lang w:val="nb-NO"/>
        </w:rPr>
        <w:t>Frakobling</w:t>
      </w:r>
      <w:r w:rsidRPr="4FFFB145" w:rsidR="4FFFB145">
        <w:rPr>
          <w:noProof w:val="0"/>
          <w:sz w:val="24"/>
          <w:szCs w:val="24"/>
          <w:lang w:val="nb-NO"/>
        </w:rPr>
        <w:t xml:space="preserve"> bør unngås da dette medfører høy risiko for kontaminering, særlig på grunn av innholdet i blandingen som kan fremme bakterievekst. Dersom dette likevel er nødvendig, skal det utvises særlig aktsomhet med hensyn til korrekt desinfeksjonsrutine. Det skal benyttes </w:t>
      </w:r>
      <w:r w:rsidRPr="4FFFB145" w:rsidR="4FFFB145">
        <w:rPr>
          <w:noProof w:val="0"/>
          <w:sz w:val="24"/>
          <w:szCs w:val="24"/>
          <w:lang w:val="nb-NO"/>
        </w:rPr>
        <w:t>Klorhexidinsprit</w:t>
      </w:r>
      <w:r w:rsidRPr="4FFFB145" w:rsidR="4FFFB145">
        <w:rPr>
          <w:noProof w:val="0"/>
          <w:sz w:val="24"/>
          <w:szCs w:val="24"/>
          <w:lang w:val="nb-NO"/>
        </w:rPr>
        <w:t xml:space="preserve"> 5 mg/ml både ved fra- og tilkobling, og infusjonssettet skal sikres med steril propp.</w:t>
      </w:r>
    </w:p>
    <w:p w:rsidR="73B9CB2B" w:rsidP="73275EAB" w14:paraId="3C0B9728" w14:textId="2A9E1E78">
      <w:pPr>
        <w:pStyle w:val="ListParagraph"/>
        <w:numPr>
          <w:ilvl w:val="0"/>
          <w:numId w:val="32"/>
        </w:numPr>
        <w:bidi w:val="0"/>
        <w:spacing w:line="360" w:lineRule="auto"/>
        <w:rPr>
          <w:rFonts w:asciiTheme="minorAscii" w:eastAsiaTheme="minorAscii" w:hAnsiTheme="minorAscii" w:cstheme="minorAscii"/>
          <w:noProof w:val="0"/>
          <w:sz w:val="24"/>
          <w:szCs w:val="24"/>
          <w:lang w:val="nb-NO"/>
        </w:rPr>
      </w:pPr>
      <w:r w:rsidRPr="73275EAB" w:rsidR="73275EAB">
        <w:rPr>
          <w:rFonts w:asciiTheme="minorAscii" w:eastAsiaTheme="minorAscii" w:hAnsiTheme="minorAscii" w:cstheme="minorAscii"/>
          <w:b w:val="0"/>
          <w:bCs w:val="0"/>
          <w:i w:val="0"/>
          <w:iCs w:val="0"/>
          <w:caps w:val="0"/>
          <w:smallCaps w:val="0"/>
          <w:strike w:val="0"/>
          <w:dstrike w:val="0"/>
          <w:noProof w:val="0"/>
          <w:color w:val="000000" w:themeColor="text1" w:themeShade="FF" w:themeTint="FF"/>
          <w:sz w:val="24"/>
          <w:szCs w:val="24"/>
          <w:u w:val="none"/>
          <w:lang w:val="nb-NO"/>
        </w:rPr>
        <w:t>Infusjonssettet og filter skal skiftes senest 24 timer etter infusjonsstart av parenteral ernæring.</w:t>
      </w:r>
    </w:p>
    <w:p w:rsidR="57FEDE8B" w:rsidP="0E715B59" w14:paraId="39FF9AEF" w14:textId="02F23099">
      <w:pPr>
        <w:pStyle w:val="ListParagraph"/>
        <w:numPr>
          <w:ilvl w:val="0"/>
          <w:numId w:val="32"/>
        </w:numPr>
        <w:bidi w:val="0"/>
        <w:spacing w:line="360" w:lineRule="auto"/>
        <w:rPr>
          <w:rFonts w:asciiTheme="minorAscii" w:eastAsiaTheme="minorAscii" w:hAnsiTheme="minorAscii" w:cstheme="minorAscii"/>
          <w:noProof w:val="0"/>
          <w:sz w:val="24"/>
          <w:szCs w:val="24"/>
          <w:lang w:val="nb-NO"/>
        </w:rPr>
      </w:pPr>
      <w:r w:rsidRPr="326A5051" w:rsidR="326A5051">
        <w:rPr>
          <w:rFonts w:asciiTheme="minorAscii" w:eastAsiaTheme="minorAscii" w:hAnsiTheme="minorAscii" w:cstheme="minorAscii"/>
          <w:noProof w:val="0"/>
          <w:sz w:val="24"/>
          <w:szCs w:val="24"/>
          <w:lang w:val="nb-NO"/>
        </w:rPr>
        <w:t xml:space="preserve">Klinisk overvåkning er nødvendig ved oppstart. </w:t>
      </w:r>
      <w:r w:rsidRPr="326A5051" w:rsidR="326A5051">
        <w:rPr>
          <w:rFonts w:asciiTheme="minorAscii" w:eastAsiaTheme="minorAscii" w:hAnsiTheme="minorAscii" w:cstheme="minorAscii"/>
          <w:noProof w:val="0"/>
          <w:sz w:val="24"/>
          <w:szCs w:val="24"/>
          <w:lang w:val="nb-NO"/>
        </w:rPr>
        <w:t>Ved unormale reaksjoner skal infusjonen avbrytes.</w:t>
      </w:r>
    </w:p>
    <w:p w:rsidR="70FF626F" w:rsidP="326A5051" w14:paraId="1A89FA08" w14:textId="638AFEF6">
      <w:pPr>
        <w:bidi w:val="0"/>
        <w:spacing w:line="360" w:lineRule="auto"/>
        <w:ind w:left="0"/>
        <w:rPr>
          <w:rFonts w:asciiTheme="minorAscii" w:eastAsiaTheme="minorAscii" w:hAnsiTheme="minorAscii" w:cstheme="minorAscii"/>
          <w:noProof w:val="0"/>
          <w:sz w:val="24"/>
          <w:szCs w:val="24"/>
          <w:lang w:val="nb-NO"/>
        </w:rPr>
      </w:pPr>
    </w:p>
    <w:p w:rsidR="70FF626F" w:rsidP="107F0A2D" w14:paraId="334D887B" w14:textId="53FDA6AC">
      <w:pPr>
        <w:pStyle w:val="Heading3"/>
        <w:bidi w:val="0"/>
        <w:spacing w:line="360" w:lineRule="auto"/>
        <w:rPr>
          <w:rFonts w:ascii="Calibri" w:eastAsia="Calibri" w:hAnsi="Calibri" w:cs="Calibri"/>
          <w:b w:val="0"/>
          <w:bCs w:val="0"/>
          <w:i w:val="0"/>
          <w:iCs w:val="0"/>
          <w:noProof w:val="0"/>
          <w:sz w:val="24"/>
          <w:szCs w:val="24"/>
          <w:lang w:val="nb-NO"/>
        </w:rPr>
      </w:pPr>
      <w:bookmarkStart w:id="16" w:name="_Toc256000015"/>
      <w:r w:rsidRPr="107F0A2D" w:rsidR="107F0A2D">
        <w:rPr>
          <w:noProof w:val="0"/>
          <w:sz w:val="24"/>
          <w:szCs w:val="24"/>
          <w:lang w:val="nb-NO"/>
        </w:rPr>
        <w:t>Infusjonshastighet</w:t>
      </w:r>
      <w:bookmarkEnd w:id="16"/>
    </w:p>
    <w:p w:rsidR="70FF626F" w:rsidP="326A5051" w14:paraId="60D1816A" w14:textId="48D182B7">
      <w:pPr>
        <w:bidi w:val="0"/>
        <w:spacing w:line="360" w:lineRule="auto"/>
        <w:rPr>
          <w:noProof w:val="0"/>
          <w:sz w:val="24"/>
          <w:szCs w:val="24"/>
          <w:lang w:val="nb-NO"/>
        </w:rPr>
      </w:pPr>
      <w:r w:rsidRPr="326A5051" w:rsidR="326A5051">
        <w:rPr>
          <w:noProof w:val="0"/>
          <w:sz w:val="24"/>
          <w:szCs w:val="24"/>
          <w:lang w:val="nb-NO"/>
        </w:rPr>
        <w:t>Ved oppstart av PN anbefales infusjonstid over minst 20 timer, deretter syklisk tilførsel når pasienten er klinisk stabil og klarer å holde normoglykemi i perioden uten PN støtte. Infusjonshastighet må ikke overskride kroppens evne til å oksidere fett og karbohydrater. Hos metabolsk stabile barn er det angitt maksimalt 0,13 g fett/kg/time (0,17 g fett/kg/time for spedbarn) og/eller maksimalt 0,75 g glukose/kg/time.</w:t>
      </w:r>
    </w:p>
    <w:p w:rsidR="70FF626F" w:rsidP="326A5051" w14:paraId="2F006AEF" w14:textId="21E6C7E4">
      <w:pPr>
        <w:bidi w:val="0"/>
        <w:spacing w:before="240" w:beforeAutospacing="0" w:after="240" w:afterAutospacing="0" w:line="360" w:lineRule="auto"/>
        <w:ind w:left="0"/>
        <w:rPr>
          <w:rFonts w:ascii="Calibri" w:eastAsia="Calibri" w:hAnsi="Calibri" w:cs="Calibri"/>
          <w:b w:val="0"/>
          <w:bCs w:val="0"/>
          <w:noProof w:val="0"/>
          <w:sz w:val="24"/>
          <w:szCs w:val="24"/>
          <w:lang w:val="nb-NO"/>
        </w:rPr>
      </w:pPr>
      <w:r w:rsidRPr="326A5051" w:rsidR="326A5051">
        <w:rPr>
          <w:rFonts w:ascii="Calibri" w:eastAsia="Calibri" w:hAnsi="Calibri" w:cs="Calibri"/>
          <w:b w:val="0"/>
          <w:bCs w:val="0"/>
          <w:noProof w:val="0"/>
          <w:sz w:val="24"/>
          <w:szCs w:val="24"/>
          <w:lang w:val="nb-NO"/>
        </w:rPr>
        <w:t>Hvis tilførselen går for raskt, kan det føre til:</w:t>
      </w:r>
    </w:p>
    <w:p w:rsidR="70FF626F" w:rsidP="326A5051" w14:paraId="6250813A" w14:textId="46AD1185">
      <w:pPr>
        <w:pStyle w:val="ListParagraph"/>
        <w:numPr>
          <w:ilvl w:val="0"/>
          <w:numId w:val="14"/>
        </w:numPr>
        <w:bidi w:val="0"/>
        <w:spacing w:before="240" w:beforeAutospacing="0" w:after="240" w:afterAutospacing="0" w:line="360" w:lineRule="auto"/>
        <w:rPr>
          <w:rFonts w:ascii="Calibri" w:eastAsia="Calibri" w:hAnsi="Calibri" w:cs="Calibri"/>
          <w:b w:val="0"/>
          <w:bCs w:val="0"/>
          <w:noProof w:val="0"/>
          <w:sz w:val="24"/>
          <w:szCs w:val="24"/>
          <w:lang w:val="nb-NO"/>
        </w:rPr>
      </w:pPr>
      <w:r w:rsidRPr="326A5051" w:rsidR="326A5051">
        <w:rPr>
          <w:rFonts w:ascii="Calibri" w:eastAsia="Calibri" w:hAnsi="Calibri" w:cs="Calibri"/>
          <w:b w:val="0"/>
          <w:bCs w:val="0"/>
          <w:noProof w:val="0"/>
          <w:sz w:val="24"/>
          <w:szCs w:val="24"/>
          <w:lang w:val="nb-NO"/>
        </w:rPr>
        <w:t>Hyperglykemi (for høyt blodsukker)</w:t>
      </w:r>
    </w:p>
    <w:p w:rsidR="70FF626F" w:rsidP="326A5051" w14:paraId="011CA4BE" w14:textId="0A87A529">
      <w:pPr>
        <w:pStyle w:val="ListParagraph"/>
        <w:numPr>
          <w:ilvl w:val="0"/>
          <w:numId w:val="14"/>
        </w:numPr>
        <w:bidi w:val="0"/>
        <w:spacing w:before="240" w:beforeAutospacing="0" w:after="240" w:afterAutospacing="0" w:line="360" w:lineRule="auto"/>
        <w:rPr>
          <w:rFonts w:ascii="Calibri" w:eastAsia="Calibri" w:hAnsi="Calibri" w:cs="Calibri"/>
          <w:b w:val="0"/>
          <w:bCs w:val="0"/>
          <w:noProof w:val="0"/>
          <w:sz w:val="24"/>
          <w:szCs w:val="24"/>
          <w:lang w:val="nb-NO"/>
        </w:rPr>
      </w:pPr>
      <w:r w:rsidRPr="326A5051" w:rsidR="326A5051">
        <w:rPr>
          <w:rFonts w:ascii="Calibri" w:eastAsia="Calibri" w:hAnsi="Calibri" w:cs="Calibri"/>
          <w:b w:val="0"/>
          <w:bCs w:val="0"/>
          <w:noProof w:val="0"/>
          <w:sz w:val="24"/>
          <w:szCs w:val="24"/>
          <w:lang w:val="nb-NO"/>
        </w:rPr>
        <w:t>Hypertriglyseridemi (for mye fett i blodet)</w:t>
      </w:r>
    </w:p>
    <w:p w:rsidR="70FF626F" w:rsidP="326A5051" w14:paraId="11F069B9" w14:textId="0245869D">
      <w:pPr>
        <w:pStyle w:val="ListParagraph"/>
        <w:numPr>
          <w:ilvl w:val="0"/>
          <w:numId w:val="14"/>
        </w:numPr>
        <w:bidi w:val="0"/>
        <w:spacing w:before="240" w:beforeAutospacing="0" w:after="240" w:afterAutospacing="0" w:line="360" w:lineRule="auto"/>
        <w:rPr>
          <w:rFonts w:ascii="Calibri" w:eastAsia="Calibri" w:hAnsi="Calibri" w:cs="Calibri"/>
          <w:b w:val="0"/>
          <w:bCs w:val="0"/>
          <w:noProof w:val="0"/>
          <w:sz w:val="24"/>
          <w:szCs w:val="24"/>
          <w:lang w:val="nb-NO"/>
        </w:rPr>
      </w:pPr>
      <w:r w:rsidRPr="326A5051" w:rsidR="326A5051">
        <w:rPr>
          <w:rFonts w:ascii="Calibri" w:eastAsia="Calibri" w:hAnsi="Calibri" w:cs="Calibri"/>
          <w:b w:val="0"/>
          <w:bCs w:val="0"/>
          <w:noProof w:val="0"/>
          <w:sz w:val="24"/>
          <w:szCs w:val="24"/>
          <w:lang w:val="nb-NO"/>
        </w:rPr>
        <w:t>Fettoverbelastningssyndrom</w:t>
      </w:r>
    </w:p>
    <w:p w:rsidR="70FF626F" w:rsidP="326A5051" w14:paraId="68E3371C" w14:textId="4CA4CFCC">
      <w:pPr>
        <w:bidi w:val="0"/>
        <w:spacing w:before="240" w:beforeAutospacing="0" w:after="240" w:afterAutospacing="0" w:line="360" w:lineRule="auto"/>
        <w:rPr>
          <w:rFonts w:ascii="Calibri" w:eastAsia="Calibri" w:hAnsi="Calibri" w:cs="Calibri"/>
          <w:b w:val="0"/>
          <w:bCs w:val="0"/>
          <w:noProof w:val="0"/>
          <w:sz w:val="24"/>
          <w:szCs w:val="24"/>
          <w:lang w:val="nb-NO"/>
        </w:rPr>
      </w:pPr>
      <w:r w:rsidRPr="326A5051" w:rsidR="326A5051">
        <w:rPr>
          <w:rFonts w:ascii="Calibri" w:eastAsia="Calibri" w:hAnsi="Calibri" w:cs="Calibri"/>
          <w:b w:val="0"/>
          <w:bCs w:val="0"/>
          <w:noProof w:val="0"/>
          <w:sz w:val="24"/>
          <w:szCs w:val="24"/>
          <w:lang w:val="nb-NO"/>
        </w:rPr>
        <w:t xml:space="preserve">Når barnet er akutt sykt, går kroppen inn i en stressrespons som kan påvirke metabolisme av karbohydrat, fett og glukose. Maksimale infusjonshastigheter vil derfor være lavere i den akutte sykdomsfasen. </w:t>
      </w:r>
    </w:p>
    <w:p w:rsidR="4E16C336" w:rsidP="4E16C336" w14:paraId="633EB82E" w14:textId="02F1CCA4">
      <w:pPr>
        <w:spacing w:before="240" w:beforeAutospacing="0" w:after="240" w:afterAutospacing="0" w:line="360" w:lineRule="auto"/>
        <w:rPr>
          <w:rFonts w:ascii="Calibri" w:eastAsia="Calibri" w:hAnsi="Calibri" w:cs="Calibri"/>
          <w:b w:val="0"/>
          <w:bCs w:val="0"/>
          <w:noProof w:val="0"/>
          <w:sz w:val="24"/>
          <w:szCs w:val="24"/>
          <w:lang w:val="nb-NO"/>
        </w:rPr>
      </w:pPr>
      <w:r w:rsidRPr="4E16C336">
        <w:rPr>
          <w:rFonts w:ascii="Calibri" w:eastAsia="Calibri" w:hAnsi="Calibri" w:cs="Calibri"/>
          <w:b w:val="0"/>
          <w:bCs w:val="0"/>
          <w:noProof w:val="0"/>
          <w:sz w:val="24"/>
          <w:szCs w:val="24"/>
          <w:lang w:val="nb-NO"/>
        </w:rPr>
        <w:t>Infusjonshastigheten kan økes gradvis etter toleranse. Vurderingen baseres på innholdet av glukose og fett i posen, samt pasientens kliniske toleranse.</w:t>
      </w:r>
    </w:p>
    <w:p w:rsidR="57FEDE8B" w:rsidP="0E715B59" w14:paraId="389AD743" w14:textId="7E58D306">
      <w:pPr>
        <w:pStyle w:val="Heading3"/>
        <w:bidi w:val="0"/>
        <w:spacing w:line="360" w:lineRule="auto"/>
        <w:rPr>
          <w:noProof w:val="0"/>
          <w:sz w:val="24"/>
          <w:szCs w:val="24"/>
          <w:lang w:val="nb-NO"/>
        </w:rPr>
      </w:pPr>
      <w:bookmarkStart w:id="17" w:name="_Toc256000016"/>
      <w:r w:rsidRPr="107F0A2D" w:rsidR="107F0A2D">
        <w:rPr>
          <w:noProof w:val="0"/>
          <w:sz w:val="24"/>
          <w:szCs w:val="24"/>
          <w:lang w:val="nb-NO"/>
        </w:rPr>
        <w:t>Samtidig administrasjon av andre legemidler</w:t>
      </w:r>
      <w:bookmarkEnd w:id="17"/>
    </w:p>
    <w:p w:rsidR="7D7D77A4" w:rsidP="7D7D77A4" w14:paraId="25380DDF" w14:textId="3B14D071">
      <w:pPr>
        <w:rPr>
          <w:noProof w:val="0"/>
          <w:sz w:val="24"/>
          <w:szCs w:val="24"/>
          <w:lang w:val="nb-NO"/>
        </w:rPr>
      </w:pPr>
      <w:r w:rsidRPr="518BB511" w:rsidR="518BB511">
        <w:rPr>
          <w:noProof w:val="0"/>
          <w:sz w:val="24"/>
          <w:szCs w:val="24"/>
          <w:lang w:val="nb-NO"/>
        </w:rPr>
        <w:t>PN bør administreres på eget lumen siden stabiliteten til PN-løsningen er lett påvirkelig og en utfelling ikke alltid kan ses visuelt. Andre intravenøse legemidler kan administreres parallelt med PN hvis de administreres i forskjellig lumen (eller via annen tilgang, for eksempel PVK). Dobbel nålefri kobling regnes ikke som separate lumen.</w:t>
      </w:r>
    </w:p>
    <w:p w:rsidR="453D50C2" w:rsidP="5FA5D3DD" w14:paraId="162524FC" w14:textId="57081E79">
      <w:pPr>
        <w:pStyle w:val="ListParagraph"/>
        <w:numPr>
          <w:ilvl w:val="0"/>
          <w:numId w:val="5"/>
        </w:numPr>
        <w:bidi w:val="0"/>
        <w:spacing w:line="360" w:lineRule="auto"/>
        <w:rPr>
          <w:noProof w:val="0"/>
          <w:sz w:val="24"/>
          <w:szCs w:val="24"/>
          <w:lang w:val="nb-NO"/>
        </w:rPr>
      </w:pPr>
      <w:r w:rsidRPr="7D7D77A4" w:rsidR="7D7D77A4">
        <w:rPr>
          <w:noProof w:val="0"/>
          <w:sz w:val="24"/>
          <w:szCs w:val="24"/>
          <w:lang w:val="nb-NO"/>
        </w:rPr>
        <w:t>Det skal alltid sjekkes om legemidler kan gis i samme lumen som PN. Ta kontakt med farmasøyt ved BUK, produksjonsavdelingen eller vaktfarmasøyt for vurdering av forlikelighet.</w:t>
      </w:r>
    </w:p>
    <w:p w:rsidR="7D7D77A4" w:rsidP="7D7D77A4" w14:paraId="4B18FFE0" w14:textId="5BCB17BC">
      <w:pPr>
        <w:pStyle w:val="Caution"/>
        <w:pBdr>
          <w:top w:val="single" w:sz="8" w:space="1" w:color="FF0000"/>
          <w:left w:val="single" w:sz="8" w:space="4" w:color="FF0000"/>
          <w:bottom w:val="single" w:sz="8" w:space="1" w:color="FF0000"/>
          <w:right w:val="single" w:sz="8" w:space="4" w:color="FF0000"/>
        </w:pBdr>
        <w:shd w:val="clear" w:color="auto" w:fill="auto"/>
        <w:bidi w:val="0"/>
        <w:spacing w:before="60" w:beforeAutospacing="0" w:after="60" w:afterAutospacing="0" w:line="259" w:lineRule="auto"/>
        <w:ind w:left="1418" w:right="454" w:hanging="1021"/>
        <w:jc w:val="center"/>
        <w:rPr>
          <w:rFonts w:asciiTheme="minorAscii" w:eastAsiaTheme="minorAscii" w:hAnsiTheme="minorAscii" w:cstheme="minorAscii"/>
          <w:noProof w:val="0"/>
          <w:sz w:val="24"/>
          <w:szCs w:val="24"/>
          <w:lang w:val="nb-NO"/>
        </w:rPr>
      </w:pPr>
      <w:r w:rsidRPr="7D7D77A4">
        <w:rPr>
          <w:rFonts w:asciiTheme="minorAscii" w:eastAsiaTheme="minorAscii" w:hAnsiTheme="minorAscii" w:cstheme="minorAscii"/>
          <w:noProof w:val="0"/>
          <w:sz w:val="24"/>
          <w:szCs w:val="24"/>
          <w:lang w:val="nb-NO"/>
        </w:rPr>
        <w:t xml:space="preserve">På grunn av høy risiko for utfelling skal </w:t>
      </w:r>
      <w:r w:rsidRPr="7D7D77A4">
        <w:rPr>
          <w:rFonts w:asciiTheme="minorAscii" w:eastAsiaTheme="minorAscii" w:hAnsiTheme="minorAscii" w:cstheme="minorAscii"/>
          <w:noProof w:val="0"/>
          <w:sz w:val="24"/>
          <w:szCs w:val="24"/>
          <w:lang w:val="nb-NO"/>
        </w:rPr>
        <w:t>ceftriakson</w:t>
      </w:r>
      <w:r w:rsidRPr="7D7D77A4">
        <w:rPr>
          <w:rFonts w:asciiTheme="minorAscii" w:eastAsiaTheme="minorAscii" w:hAnsiTheme="minorAscii" w:cstheme="minorAscii"/>
          <w:noProof w:val="0"/>
          <w:sz w:val="24"/>
          <w:szCs w:val="24"/>
          <w:lang w:val="nb-NO"/>
        </w:rPr>
        <w:t xml:space="preserve"> ikke gis samtidig med kalsiumholdige væsker, selv om de administreres i ulike lumen. Se blandekort.</w:t>
      </w:r>
    </w:p>
    <w:p w:rsidR="4EE173BD" w:rsidP="263B391B" w14:paraId="2F4089EB" w14:textId="5073D679">
      <w:pPr>
        <w:bidi w:val="0"/>
        <w:spacing w:line="360" w:lineRule="auto"/>
        <w:rPr>
          <w:noProof w:val="0"/>
          <w:sz w:val="24"/>
          <w:szCs w:val="24"/>
          <w:lang w:val="nb-NO"/>
        </w:rPr>
      </w:pPr>
    </w:p>
    <w:p w:rsidR="4EE173BD" w:rsidP="263B391B" w14:paraId="7CA55208" w14:textId="44F7BC70">
      <w:pPr>
        <w:pStyle w:val="Heading2"/>
        <w:bidi w:val="0"/>
        <w:spacing w:line="360" w:lineRule="auto"/>
        <w:rPr>
          <w:b/>
          <w:bCs/>
          <w:noProof w:val="0"/>
          <w:sz w:val="24"/>
          <w:szCs w:val="24"/>
          <w:lang w:val="nb-NO"/>
        </w:rPr>
      </w:pPr>
      <w:bookmarkStart w:id="18" w:name="_Toc256000017"/>
      <w:r w:rsidRPr="107F0A2D" w:rsidR="107F0A2D">
        <w:rPr>
          <w:b/>
          <w:bCs/>
          <w:noProof w:val="0"/>
          <w:sz w:val="24"/>
          <w:szCs w:val="24"/>
          <w:lang w:val="nb-NO"/>
        </w:rPr>
        <w:t>Forsiktighetsregler</w:t>
      </w:r>
      <w:bookmarkEnd w:id="18"/>
    </w:p>
    <w:p w:rsidR="4EE173BD" w:rsidP="263B391B" w14:paraId="251E4D8D" w14:textId="5F7FB6D3">
      <w:pPr>
        <w:pStyle w:val="ListParagraph"/>
        <w:numPr>
          <w:ilvl w:val="0"/>
          <w:numId w:val="23"/>
        </w:numPr>
        <w:bidi w:val="0"/>
        <w:spacing w:line="360" w:lineRule="auto"/>
        <w:rPr>
          <w:noProof w:val="0"/>
          <w:sz w:val="24"/>
          <w:szCs w:val="24"/>
          <w:lang w:val="nb-NO"/>
        </w:rPr>
      </w:pPr>
      <w:r w:rsidRPr="263B391B" w:rsidR="263B391B">
        <w:rPr>
          <w:noProof w:val="0"/>
          <w:sz w:val="24"/>
          <w:szCs w:val="24"/>
          <w:lang w:val="nb-NO"/>
        </w:rPr>
        <w:t>Evnen til å eliminere lipider er individuell og skal overvåkes.</w:t>
      </w:r>
    </w:p>
    <w:p w:rsidR="4EE173BD" w:rsidP="263B391B" w14:paraId="73DD208B" w14:textId="6C5B426E">
      <w:pPr>
        <w:pStyle w:val="ListParagraph"/>
        <w:numPr>
          <w:ilvl w:val="0"/>
          <w:numId w:val="23"/>
        </w:numPr>
        <w:bidi w:val="0"/>
        <w:spacing w:line="360" w:lineRule="auto"/>
        <w:rPr>
          <w:noProof w:val="0"/>
          <w:sz w:val="24"/>
          <w:szCs w:val="24"/>
          <w:lang w:val="nb-NO"/>
        </w:rPr>
      </w:pPr>
      <w:r w:rsidRPr="263B391B" w:rsidR="263B391B">
        <w:rPr>
          <w:noProof w:val="0"/>
          <w:sz w:val="24"/>
          <w:szCs w:val="24"/>
          <w:lang w:val="nb-NO"/>
        </w:rPr>
        <w:t>Forsiktighet ved påvirket fettmetabolisme (nyresvikt, diabetes mellitus, pankreatitt, nedsatt leverfunksjon, hypotyreose, sepsis).</w:t>
      </w:r>
    </w:p>
    <w:p w:rsidR="4EE173BD" w:rsidP="263B391B" w14:paraId="414E0DEC" w14:textId="7292C3F7">
      <w:pPr>
        <w:pStyle w:val="ListParagraph"/>
        <w:numPr>
          <w:ilvl w:val="0"/>
          <w:numId w:val="23"/>
        </w:numPr>
        <w:bidi w:val="0"/>
        <w:spacing w:line="360" w:lineRule="auto"/>
        <w:rPr>
          <w:noProof w:val="0"/>
          <w:sz w:val="24"/>
          <w:szCs w:val="24"/>
          <w:lang w:val="nb-NO"/>
        </w:rPr>
      </w:pPr>
      <w:r w:rsidRPr="263B391B" w:rsidR="263B391B">
        <w:rPr>
          <w:noProof w:val="0"/>
          <w:sz w:val="24"/>
          <w:szCs w:val="24"/>
          <w:lang w:val="nb-NO"/>
        </w:rPr>
        <w:t>Numeta og SmofKabiven inneholder soyabønneolje, fiskeolje og eggfosfolipider, som i sjeldne tilfeller kan gi allergiske reaksjoner. Kryssallergi mellom soyabønne og peanøtt er sett.</w:t>
      </w:r>
    </w:p>
    <w:p w:rsidR="4EE173BD" w:rsidP="263B391B" w14:paraId="419C5041" w14:textId="468E4325">
      <w:pPr>
        <w:pStyle w:val="ListParagraph"/>
        <w:numPr>
          <w:ilvl w:val="1"/>
          <w:numId w:val="23"/>
        </w:numPr>
        <w:bidi w:val="0"/>
        <w:spacing w:line="360" w:lineRule="auto"/>
        <w:rPr>
          <w:noProof w:val="0"/>
          <w:sz w:val="24"/>
          <w:szCs w:val="24"/>
          <w:lang w:val="nb-NO"/>
        </w:rPr>
      </w:pPr>
      <w:r w:rsidRPr="263B391B" w:rsidR="263B391B">
        <w:rPr>
          <w:noProof w:val="0"/>
          <w:sz w:val="24"/>
          <w:szCs w:val="24"/>
          <w:lang w:val="nb-NO"/>
        </w:rPr>
        <w:t>Ved problemstill</w:t>
      </w:r>
      <w:r w:rsidRPr="263B391B" w:rsidR="263B391B">
        <w:rPr>
          <w:noProof w:val="0"/>
          <w:sz w:val="24"/>
          <w:szCs w:val="24"/>
          <w:lang w:val="nb-NO"/>
        </w:rPr>
        <w:t>inger som dette kan man kontakte farmasøyt eller produksjonsavdelingen med tanke på vurdering av mulige løsninger ved allergi mot innholdsstoffer.</w:t>
      </w:r>
    </w:p>
    <w:p w:rsidR="4EE173BD" w:rsidP="263B391B" w14:paraId="63CC3EA0" w14:textId="72C73532">
      <w:pPr>
        <w:bidi w:val="0"/>
        <w:spacing w:line="360" w:lineRule="auto"/>
        <w:rPr>
          <w:b w:val="0"/>
          <w:bCs w:val="0"/>
          <w:i w:val="0"/>
          <w:iCs w:val="0"/>
          <w:caps w:val="0"/>
          <w:smallCaps w:val="0"/>
          <w:noProof w:val="0"/>
          <w:color w:val="auto"/>
          <w:sz w:val="24"/>
          <w:szCs w:val="24"/>
          <w:lang w:val="nb-NO"/>
        </w:rPr>
      </w:pPr>
    </w:p>
    <w:p w:rsidR="57FEDE8B" w:rsidP="0E715B59" w14:paraId="58C67344" w14:textId="56394677">
      <w:pPr>
        <w:pStyle w:val="Heading2"/>
        <w:bidi w:val="0"/>
        <w:spacing w:line="360" w:lineRule="auto"/>
        <w:rPr>
          <w:b/>
          <w:bCs/>
          <w:noProof w:val="0"/>
          <w:sz w:val="24"/>
          <w:szCs w:val="24"/>
          <w:lang w:val="nb-NO"/>
        </w:rPr>
      </w:pPr>
      <w:bookmarkStart w:id="19" w:name="_Toc256000018"/>
      <w:r w:rsidRPr="107F0A2D" w:rsidR="107F0A2D">
        <w:rPr>
          <w:b/>
          <w:bCs/>
          <w:noProof w:val="0"/>
          <w:sz w:val="24"/>
          <w:szCs w:val="24"/>
          <w:lang w:val="nb-NO"/>
        </w:rPr>
        <w:t>Blodprøvetaking</w:t>
      </w:r>
      <w:r w:rsidRPr="107F0A2D" w:rsidR="107F0A2D">
        <w:rPr>
          <w:b/>
          <w:bCs/>
          <w:noProof w:val="0"/>
          <w:sz w:val="24"/>
          <w:szCs w:val="24"/>
          <w:lang w:val="nb-NO"/>
        </w:rPr>
        <w:t xml:space="preserve"> ved pågående parenteral ernæring</w:t>
      </w:r>
      <w:bookmarkEnd w:id="19"/>
    </w:p>
    <w:p w:rsidR="57FEDE8B" w:rsidP="0E715B59" w14:paraId="7A5E1F78" w14:textId="1628B4C6">
      <w:pPr>
        <w:pStyle w:val="ListParagraph"/>
        <w:numPr>
          <w:ilvl w:val="0"/>
          <w:numId w:val="28"/>
        </w:numPr>
        <w:bidi w:val="0"/>
        <w:spacing w:line="360" w:lineRule="auto"/>
        <w:rPr>
          <w:noProof w:val="0"/>
          <w:sz w:val="24"/>
          <w:szCs w:val="24"/>
          <w:lang w:val="nb-NO"/>
        </w:rPr>
      </w:pPr>
      <w:r w:rsidRPr="0E715B59" w:rsidR="0E715B59">
        <w:rPr>
          <w:noProof w:val="0"/>
          <w:sz w:val="24"/>
          <w:szCs w:val="24"/>
          <w:lang w:val="nb-NO"/>
        </w:rPr>
        <w:t>Infusjonen skal stoppes i minimum 15 minutter før blodprøvetaking (venøs eller kapillær) for å unngå lipidkontaminasjon og sikre representative prøvesvar.</w:t>
      </w:r>
    </w:p>
    <w:p w:rsidR="57FEDE8B" w:rsidP="0E715B59" w14:paraId="71D570EE" w14:textId="63992C28">
      <w:pPr>
        <w:pStyle w:val="ListParagraph"/>
        <w:numPr>
          <w:ilvl w:val="0"/>
          <w:numId w:val="28"/>
        </w:numPr>
        <w:bidi w:val="0"/>
        <w:spacing w:line="360" w:lineRule="auto"/>
        <w:rPr>
          <w:noProof w:val="0"/>
          <w:sz w:val="24"/>
          <w:szCs w:val="24"/>
          <w:lang w:val="nb-NO"/>
        </w:rPr>
      </w:pPr>
      <w:r w:rsidRPr="0E715B59" w:rsidR="0E715B59">
        <w:rPr>
          <w:noProof w:val="0"/>
          <w:sz w:val="24"/>
          <w:szCs w:val="24"/>
          <w:lang w:val="nb-NO"/>
        </w:rPr>
        <w:t xml:space="preserve">Skyll med 20 ml </w:t>
      </w:r>
      <w:r w:rsidRPr="0E715B59" w:rsidR="0E715B59">
        <w:rPr>
          <w:noProof w:val="0"/>
          <w:sz w:val="24"/>
          <w:szCs w:val="24"/>
          <w:lang w:val="nb-NO"/>
        </w:rPr>
        <w:t>NaCl</w:t>
      </w:r>
      <w:r w:rsidRPr="0E715B59" w:rsidR="0E715B59">
        <w:rPr>
          <w:noProof w:val="0"/>
          <w:sz w:val="24"/>
          <w:szCs w:val="24"/>
          <w:lang w:val="nb-NO"/>
        </w:rPr>
        <w:t xml:space="preserve"> 9 mg/ml hos barn &gt;1 år og 10 ml </w:t>
      </w:r>
      <w:r w:rsidRPr="0E715B59" w:rsidR="0E715B59">
        <w:rPr>
          <w:noProof w:val="0"/>
          <w:sz w:val="24"/>
          <w:szCs w:val="24"/>
          <w:lang w:val="nb-NO"/>
        </w:rPr>
        <w:t>NaCl</w:t>
      </w:r>
      <w:r w:rsidRPr="0E715B59" w:rsidR="0E715B59">
        <w:rPr>
          <w:noProof w:val="0"/>
          <w:sz w:val="24"/>
          <w:szCs w:val="24"/>
          <w:lang w:val="nb-NO"/>
        </w:rPr>
        <w:t xml:space="preserve"> 9 mg/ml hos barn &lt; 1 år, ved pause og nedkobling av parenteral ernæring.</w:t>
      </w:r>
    </w:p>
    <w:p w:rsidR="0E715B59" w:rsidP="0E715B59" w14:paraId="688229FD" w14:textId="3CC169F5">
      <w:pPr>
        <w:pStyle w:val="ListParagraph"/>
        <w:numPr>
          <w:ilvl w:val="0"/>
          <w:numId w:val="28"/>
        </w:numPr>
        <w:bidi w:val="0"/>
        <w:spacing w:line="360" w:lineRule="auto"/>
        <w:rPr>
          <w:noProof w:val="0"/>
          <w:sz w:val="24"/>
          <w:szCs w:val="24"/>
          <w:lang w:val="nb-NO"/>
        </w:rPr>
      </w:pPr>
      <w:r w:rsidRPr="4E16C336" w:rsidR="4E16C336">
        <w:rPr>
          <w:noProof w:val="0"/>
          <w:sz w:val="24"/>
          <w:szCs w:val="24"/>
          <w:lang w:val="nb-NO"/>
        </w:rPr>
        <w:t>Blodprøve kan tas fra samme nålefri kobling som PN har gått på, forutsatt at prosedyren er korrekt fulgt på forhånd (</w:t>
      </w:r>
      <w:hyperlink r:id="rId6">
        <w:r w:rsidRPr="4E16C336" w:rsidR="4E16C336">
          <w:rPr>
            <w:rStyle w:val="Hyperlink"/>
            <w:noProof w:val="0"/>
            <w:lang w:val="nb-NO"/>
          </w:rPr>
          <w:t>Intravenøs terapi og blodprøvetaking)</w:t>
        </w:r>
      </w:hyperlink>
      <w:r w:rsidRPr="4E16C336" w:rsidR="4E16C336">
        <w:rPr>
          <w:noProof w:val="0"/>
          <w:sz w:val="24"/>
          <w:szCs w:val="24"/>
          <w:lang w:val="nb-NO"/>
        </w:rPr>
        <w:t>.</w:t>
      </w:r>
    </w:p>
    <w:p w:rsidR="4E16C336" w:rsidP="4E16C336" w14:paraId="4B878256" w14:textId="1CB41862">
      <w:pPr>
        <w:bidi w:val="0"/>
        <w:spacing w:line="360" w:lineRule="auto"/>
        <w:rPr>
          <w:noProof w:val="0"/>
          <w:sz w:val="24"/>
          <w:szCs w:val="24"/>
          <w:lang w:val="nb-NO"/>
        </w:rPr>
      </w:pPr>
    </w:p>
    <w:p w:rsidR="4E16C336" w:rsidP="4E16C336" w14:paraId="38DAC84C" w14:textId="44749656">
      <w:pPr>
        <w:pStyle w:val="Heading2"/>
        <w:bidi w:val="0"/>
        <w:spacing w:line="360" w:lineRule="auto"/>
        <w:rPr>
          <w:b/>
          <w:bCs/>
          <w:noProof w:val="0"/>
          <w:sz w:val="24"/>
          <w:szCs w:val="24"/>
          <w:lang w:val="nb-NO"/>
        </w:rPr>
      </w:pPr>
      <w:bookmarkStart w:id="20" w:name="_Toc256000019"/>
      <w:r w:rsidRPr="107F0A2D" w:rsidR="107F0A2D">
        <w:rPr>
          <w:b/>
          <w:bCs/>
          <w:noProof w:val="0"/>
          <w:sz w:val="24"/>
          <w:szCs w:val="24"/>
          <w:lang w:val="nb-NO"/>
        </w:rPr>
        <w:t>Klinisk ernæringsfysiolog (KEF)</w:t>
      </w:r>
      <w:bookmarkEnd w:id="20"/>
    </w:p>
    <w:p w:rsidR="4E16C336" w:rsidP="4E16C336" w14:paraId="332A581D" w14:textId="63EFE532">
      <w:pPr>
        <w:spacing w:line="360" w:lineRule="auto"/>
        <w:rPr>
          <w:noProof w:val="0"/>
          <w:sz w:val="24"/>
          <w:szCs w:val="24"/>
          <w:lang w:val="nb-NO"/>
        </w:rPr>
      </w:pPr>
      <w:r w:rsidRPr="4E16C336">
        <w:rPr>
          <w:noProof w:val="0"/>
          <w:sz w:val="24"/>
          <w:szCs w:val="24"/>
          <w:lang w:val="nb-NO"/>
        </w:rPr>
        <w:t>Henvis ved:</w:t>
      </w:r>
    </w:p>
    <w:p w:rsidR="4E16C336" w:rsidP="4E16C336" w14:paraId="783CEB6D" w14:textId="6CCF98AB">
      <w:pPr>
        <w:pStyle w:val="ListParagraph"/>
        <w:numPr>
          <w:ilvl w:val="0"/>
          <w:numId w:val="20"/>
        </w:numPr>
        <w:bidi w:val="0"/>
        <w:spacing w:line="360" w:lineRule="auto"/>
        <w:rPr>
          <w:noProof w:val="0"/>
          <w:sz w:val="24"/>
          <w:szCs w:val="24"/>
          <w:lang w:val="nb-NO"/>
        </w:rPr>
      </w:pPr>
      <w:r w:rsidRPr="4E16C336">
        <w:rPr>
          <w:noProof w:val="0"/>
          <w:sz w:val="24"/>
          <w:szCs w:val="24"/>
          <w:lang w:val="nb-NO"/>
        </w:rPr>
        <w:t>Risiko for reernæringssyndrom.</w:t>
      </w:r>
    </w:p>
    <w:p w:rsidR="4E16C336" w:rsidP="4E16C336" w14:paraId="0F919303" w14:textId="102A5F2F">
      <w:pPr>
        <w:pStyle w:val="ListParagraph"/>
        <w:numPr>
          <w:ilvl w:val="0"/>
          <w:numId w:val="20"/>
        </w:numPr>
        <w:bidi w:val="0"/>
        <w:spacing w:line="360" w:lineRule="auto"/>
        <w:rPr>
          <w:noProof w:val="0"/>
          <w:sz w:val="24"/>
          <w:szCs w:val="24"/>
          <w:lang w:val="nb-NO"/>
        </w:rPr>
      </w:pPr>
      <w:r w:rsidRPr="4E16C336">
        <w:rPr>
          <w:noProof w:val="0"/>
          <w:sz w:val="24"/>
          <w:szCs w:val="24"/>
          <w:lang w:val="nb-NO"/>
        </w:rPr>
        <w:t>Behov for full intravenøs ernæring.</w:t>
      </w:r>
    </w:p>
    <w:p w:rsidR="4E16C336" w:rsidP="4E16C336" w14:paraId="5BD194D5" w14:textId="33DE4090">
      <w:pPr>
        <w:pStyle w:val="ListParagraph"/>
        <w:numPr>
          <w:ilvl w:val="0"/>
          <w:numId w:val="20"/>
        </w:numPr>
        <w:bidi w:val="0"/>
        <w:spacing w:line="360" w:lineRule="auto"/>
        <w:rPr>
          <w:noProof w:val="0"/>
          <w:sz w:val="24"/>
          <w:szCs w:val="24"/>
          <w:lang w:val="nb-NO"/>
        </w:rPr>
      </w:pPr>
      <w:r w:rsidRPr="4E16C336">
        <w:rPr>
          <w:noProof w:val="0"/>
          <w:sz w:val="24"/>
          <w:szCs w:val="24"/>
          <w:lang w:val="nb-NO"/>
        </w:rPr>
        <w:t>Behov for intravenøs ernæring &gt; 7 dager.</w:t>
      </w:r>
    </w:p>
    <w:p w:rsidR="4E16C336" w:rsidP="4E16C336" w14:paraId="06C4F75E" w14:textId="79F8B62C">
      <w:pPr>
        <w:pStyle w:val="ListParagraph"/>
        <w:numPr>
          <w:ilvl w:val="0"/>
          <w:numId w:val="20"/>
        </w:numPr>
        <w:bidi w:val="0"/>
        <w:spacing w:line="360" w:lineRule="auto"/>
        <w:rPr>
          <w:noProof w:val="0"/>
          <w:sz w:val="24"/>
          <w:szCs w:val="24"/>
          <w:lang w:val="nb-NO"/>
        </w:rPr>
      </w:pPr>
      <w:r w:rsidRPr="4E16C336">
        <w:rPr>
          <w:noProof w:val="0"/>
          <w:sz w:val="24"/>
          <w:szCs w:val="24"/>
          <w:lang w:val="nb-NO"/>
        </w:rPr>
        <w:t>Ved behov for PN i kombinasjon med sondeernæring/ernæring per os.</w:t>
      </w:r>
    </w:p>
    <w:p w:rsidR="4E16C336" w:rsidP="4E16C336" w14:paraId="0E272943" w14:textId="3E8EB22E">
      <w:pPr>
        <w:pStyle w:val="ListParagraph"/>
        <w:numPr>
          <w:ilvl w:val="0"/>
          <w:numId w:val="20"/>
        </w:numPr>
        <w:bidi w:val="0"/>
        <w:spacing w:line="360" w:lineRule="auto"/>
        <w:rPr>
          <w:noProof w:val="0"/>
          <w:sz w:val="24"/>
          <w:szCs w:val="24"/>
          <w:lang w:val="nb-NO"/>
        </w:rPr>
      </w:pPr>
      <w:r w:rsidRPr="4E16C336">
        <w:rPr>
          <w:noProof w:val="0"/>
          <w:sz w:val="24"/>
          <w:szCs w:val="24"/>
          <w:lang w:val="nb-NO"/>
        </w:rPr>
        <w:t>Vedvarende spiseutfordringer som ikke bedres innen rimelig tid.</w:t>
      </w:r>
    </w:p>
    <w:p w:rsidR="4E16C336" w:rsidP="4E16C336" w14:paraId="2CE7D8DB" w14:textId="563761F7">
      <w:pPr>
        <w:pStyle w:val="ListParagraph"/>
        <w:numPr>
          <w:ilvl w:val="0"/>
          <w:numId w:val="20"/>
        </w:numPr>
        <w:bidi w:val="0"/>
        <w:spacing w:line="360" w:lineRule="auto"/>
        <w:rPr>
          <w:noProof w:val="0"/>
          <w:sz w:val="24"/>
          <w:szCs w:val="24"/>
          <w:lang w:val="nb-NO"/>
        </w:rPr>
      </w:pPr>
      <w:r w:rsidRPr="4E16C336">
        <w:rPr>
          <w:noProof w:val="0"/>
          <w:sz w:val="24"/>
          <w:szCs w:val="24"/>
          <w:lang w:val="nb-NO"/>
        </w:rPr>
        <w:t>Behov for oppfølging etter utskrivelse.</w:t>
      </w:r>
    </w:p>
    <w:p w:rsidR="57FEDE8B" w:rsidP="0E715B59" w14:paraId="6CF0B075" w14:textId="09865600">
      <w:pPr>
        <w:bidi w:val="0"/>
        <w:spacing w:line="360" w:lineRule="auto"/>
        <w:rPr>
          <w:noProof w:val="0"/>
          <w:sz w:val="24"/>
          <w:szCs w:val="24"/>
          <w:lang w:val="nb-NO"/>
        </w:rPr>
      </w:pPr>
    </w:p>
    <w:p w:rsidR="57FEDE8B" w:rsidP="0E715B59" w14:paraId="19F4F0D2" w14:textId="4AD70DCB">
      <w:pPr>
        <w:pStyle w:val="Heading2"/>
        <w:bidi w:val="0"/>
        <w:spacing w:line="360" w:lineRule="auto"/>
        <w:rPr>
          <w:b/>
          <w:bCs/>
          <w:noProof w:val="0"/>
          <w:sz w:val="24"/>
          <w:szCs w:val="24"/>
          <w:lang w:val="nb-NO"/>
        </w:rPr>
      </w:pPr>
      <w:bookmarkStart w:id="21" w:name="_Toc256000020"/>
      <w:r w:rsidRPr="107F0A2D" w:rsidR="107F0A2D">
        <w:rPr>
          <w:b/>
          <w:bCs/>
          <w:noProof w:val="0"/>
          <w:sz w:val="24"/>
          <w:szCs w:val="24"/>
          <w:lang w:val="nb-NO"/>
        </w:rPr>
        <w:t>Kostregistrering</w:t>
      </w:r>
      <w:bookmarkEnd w:id="21"/>
    </w:p>
    <w:p w:rsidR="57FEDE8B" w:rsidP="0E715B59" w14:paraId="7D8AE330" w14:textId="57DF8884">
      <w:pPr>
        <w:bidi w:val="0"/>
        <w:spacing w:line="360" w:lineRule="auto"/>
        <w:rPr>
          <w:noProof w:val="0"/>
          <w:sz w:val="24"/>
          <w:szCs w:val="24"/>
          <w:lang w:val="nb-NO"/>
        </w:rPr>
      </w:pPr>
      <w:r w:rsidRPr="518BB511" w:rsidR="518BB511">
        <w:rPr>
          <w:noProof w:val="0"/>
          <w:sz w:val="24"/>
          <w:szCs w:val="24"/>
          <w:lang w:val="nb-NO"/>
        </w:rPr>
        <w:t>Ved kombinasjon av intravenøs ernæring og annen ernæring skal alt øvrig inntak registreres fortløpende i Meona for å tilpasse mengden intravenøs ernæring.</w:t>
      </w:r>
    </w:p>
    <w:p w:rsidR="57FEDE8B" w:rsidP="0E715B59" w14:paraId="4531D26F" w14:textId="76B73299">
      <w:pPr>
        <w:pStyle w:val="ListParagraph"/>
        <w:numPr>
          <w:ilvl w:val="0"/>
          <w:numId w:val="22"/>
        </w:numPr>
        <w:bidi w:val="0"/>
        <w:spacing w:line="360" w:lineRule="auto"/>
        <w:rPr>
          <w:noProof w:val="0"/>
          <w:sz w:val="24"/>
          <w:szCs w:val="24"/>
          <w:lang w:val="nb-NO"/>
        </w:rPr>
      </w:pPr>
      <w:r w:rsidRPr="0E715B59" w:rsidR="0E715B59">
        <w:rPr>
          <w:noProof w:val="0"/>
          <w:sz w:val="24"/>
          <w:szCs w:val="24"/>
          <w:lang w:val="nb-NO"/>
        </w:rPr>
        <w:t xml:space="preserve">Sondeernæring og næringsdrikker ordineres og administreres i </w:t>
      </w:r>
      <w:r w:rsidRPr="0E715B59" w:rsidR="0E715B59">
        <w:rPr>
          <w:noProof w:val="0"/>
          <w:sz w:val="24"/>
          <w:szCs w:val="24"/>
          <w:lang w:val="nb-NO"/>
        </w:rPr>
        <w:t>Meona</w:t>
      </w:r>
      <w:r w:rsidRPr="0E715B59" w:rsidR="0E715B59">
        <w:rPr>
          <w:noProof w:val="0"/>
          <w:sz w:val="24"/>
          <w:szCs w:val="24"/>
          <w:lang w:val="nb-NO"/>
        </w:rPr>
        <w:t>.</w:t>
      </w:r>
    </w:p>
    <w:p w:rsidR="57FEDE8B" w:rsidP="0E715B59" w14:paraId="553E6338" w14:textId="45F1F441">
      <w:pPr>
        <w:pStyle w:val="ListParagraph"/>
        <w:numPr>
          <w:ilvl w:val="0"/>
          <w:numId w:val="22"/>
        </w:numPr>
        <w:bidi w:val="0"/>
        <w:spacing w:line="360" w:lineRule="auto"/>
        <w:rPr>
          <w:noProof w:val="0"/>
          <w:sz w:val="24"/>
          <w:szCs w:val="24"/>
          <w:lang w:val="nb-NO"/>
        </w:rPr>
      </w:pPr>
      <w:r w:rsidRPr="0E715B59" w:rsidR="0E715B59">
        <w:rPr>
          <w:noProof w:val="0"/>
          <w:sz w:val="24"/>
          <w:szCs w:val="24"/>
          <w:lang w:val="nb-NO"/>
        </w:rPr>
        <w:t xml:space="preserve">Mat og drikke </w:t>
      </w:r>
      <w:r w:rsidRPr="0E715B59" w:rsidR="0E715B59">
        <w:rPr>
          <w:noProof w:val="0"/>
          <w:sz w:val="24"/>
          <w:szCs w:val="24"/>
          <w:lang w:val="nb-NO"/>
        </w:rPr>
        <w:t>kostregistreres</w:t>
      </w:r>
      <w:r w:rsidRPr="0E715B59" w:rsidR="0E715B59">
        <w:rPr>
          <w:noProof w:val="0"/>
          <w:sz w:val="24"/>
          <w:szCs w:val="24"/>
          <w:lang w:val="nb-NO"/>
        </w:rPr>
        <w:t xml:space="preserve"> i </w:t>
      </w:r>
      <w:r w:rsidRPr="0E715B59" w:rsidR="0E715B59">
        <w:rPr>
          <w:noProof w:val="0"/>
          <w:sz w:val="24"/>
          <w:szCs w:val="24"/>
          <w:lang w:val="nb-NO"/>
        </w:rPr>
        <w:t>Meona</w:t>
      </w:r>
      <w:r w:rsidRPr="0E715B59" w:rsidR="0E715B59">
        <w:rPr>
          <w:noProof w:val="0"/>
          <w:sz w:val="24"/>
          <w:szCs w:val="24"/>
          <w:lang w:val="nb-NO"/>
        </w:rPr>
        <w:t xml:space="preserve"> (kostregistreringsskjema kan brukes som hjelpemiddel).</w:t>
      </w:r>
    </w:p>
    <w:p w:rsidR="57FEDE8B" w:rsidP="0E715B59" w14:paraId="3E34857E" w14:textId="44D4EAC8">
      <w:pPr>
        <w:pStyle w:val="ListParagraph"/>
        <w:numPr>
          <w:ilvl w:val="0"/>
          <w:numId w:val="22"/>
        </w:numPr>
        <w:bidi w:val="0"/>
        <w:spacing w:line="360" w:lineRule="auto"/>
        <w:rPr>
          <w:noProof w:val="0"/>
          <w:sz w:val="24"/>
          <w:szCs w:val="24"/>
          <w:lang w:val="nb-NO"/>
        </w:rPr>
      </w:pPr>
      <w:r w:rsidRPr="0E715B59" w:rsidR="0E715B59">
        <w:rPr>
          <w:noProof w:val="0"/>
          <w:sz w:val="24"/>
          <w:szCs w:val="24"/>
          <w:lang w:val="nb-NO"/>
        </w:rPr>
        <w:t xml:space="preserve">Totalt </w:t>
      </w:r>
      <w:r w:rsidRPr="0E715B59" w:rsidR="0E715B59">
        <w:rPr>
          <w:noProof w:val="0"/>
          <w:sz w:val="24"/>
          <w:szCs w:val="24"/>
          <w:lang w:val="nb-NO"/>
        </w:rPr>
        <w:t>energiinntak</w:t>
      </w:r>
      <w:r w:rsidRPr="0E715B59" w:rsidR="0E715B59">
        <w:rPr>
          <w:noProof w:val="0"/>
          <w:sz w:val="24"/>
          <w:szCs w:val="24"/>
          <w:lang w:val="nb-NO"/>
        </w:rPr>
        <w:t xml:space="preserve"> beregnes i </w:t>
      </w:r>
      <w:r w:rsidRPr="0E715B59" w:rsidR="0E715B59">
        <w:rPr>
          <w:noProof w:val="0"/>
          <w:sz w:val="24"/>
          <w:szCs w:val="24"/>
          <w:lang w:val="nb-NO"/>
        </w:rPr>
        <w:t>Meona</w:t>
      </w:r>
      <w:r w:rsidRPr="0E715B59" w:rsidR="0E715B59">
        <w:rPr>
          <w:noProof w:val="0"/>
          <w:sz w:val="24"/>
          <w:szCs w:val="24"/>
          <w:lang w:val="nb-NO"/>
        </w:rPr>
        <w:t>.</w:t>
      </w:r>
    </w:p>
    <w:p w:rsidR="57FEDE8B" w:rsidP="0E715B59" w14:paraId="6097A91C" w14:textId="0E728E15">
      <w:pPr>
        <w:pStyle w:val="ListParagraph"/>
        <w:numPr>
          <w:ilvl w:val="0"/>
          <w:numId w:val="22"/>
        </w:numPr>
        <w:bidi w:val="0"/>
        <w:spacing w:line="360" w:lineRule="auto"/>
        <w:rPr>
          <w:noProof w:val="0"/>
          <w:sz w:val="24"/>
          <w:szCs w:val="24"/>
          <w:lang w:val="nb-NO"/>
        </w:rPr>
      </w:pPr>
      <w:r w:rsidRPr="1D438AC5" w:rsidR="1D438AC5">
        <w:rPr>
          <w:noProof w:val="0"/>
          <w:sz w:val="24"/>
          <w:szCs w:val="24"/>
          <w:lang w:val="nb-NO"/>
        </w:rPr>
        <w:t xml:space="preserve">Parenteral ernæring skal medregnes i </w:t>
      </w:r>
      <w:r w:rsidRPr="1D438AC5" w:rsidR="1D438AC5">
        <w:rPr>
          <w:noProof w:val="0"/>
          <w:sz w:val="24"/>
          <w:szCs w:val="24"/>
          <w:lang w:val="nb-NO"/>
        </w:rPr>
        <w:t>pasientens væskeregnskap, der 1 ml PN tilsvarer 1 ml væske.</w:t>
      </w:r>
    </w:p>
    <w:p w:rsidR="57FEDE8B" w:rsidP="0E715B59" w14:paraId="26608612" w14:textId="5F836DDA">
      <w:pPr>
        <w:pStyle w:val="ListParagraph"/>
        <w:bidi w:val="0"/>
        <w:spacing w:line="360" w:lineRule="auto"/>
        <w:ind w:left="720"/>
        <w:rPr>
          <w:noProof w:val="0"/>
          <w:sz w:val="24"/>
          <w:szCs w:val="24"/>
          <w:lang w:val="nb-NO"/>
        </w:rPr>
      </w:pPr>
    </w:p>
    <w:p w:rsidR="57FEDE8B" w:rsidP="0E715B59" w14:paraId="5BAF8612" w14:textId="450A24B7">
      <w:pPr>
        <w:pStyle w:val="Heading3"/>
        <w:bidi w:val="0"/>
        <w:spacing w:line="360" w:lineRule="auto"/>
        <w:rPr>
          <w:noProof w:val="0"/>
          <w:sz w:val="24"/>
          <w:szCs w:val="24"/>
          <w:lang w:val="nb-NO"/>
        </w:rPr>
      </w:pPr>
      <w:bookmarkStart w:id="22" w:name="_Toc256000021"/>
      <w:r w:rsidRPr="107F0A2D" w:rsidR="107F0A2D">
        <w:rPr>
          <w:noProof w:val="0"/>
          <w:sz w:val="24"/>
          <w:szCs w:val="24"/>
          <w:lang w:val="nb-NO"/>
        </w:rPr>
        <w:t>Energiinnhold</w:t>
      </w:r>
      <w:bookmarkEnd w:id="22"/>
    </w:p>
    <w:p w:rsidR="0E715B59" w:rsidP="73275EAB" w14:paraId="0818E30A" w14:textId="347B2401">
      <w:pPr>
        <w:spacing w:before="240" w:beforeAutospacing="0" w:after="240" w:afterAutospacing="0" w:line="360" w:lineRule="auto"/>
        <w:rPr>
          <w:rFonts w:ascii="Calibri" w:eastAsia="Calibri" w:hAnsi="Calibri" w:cs="Calibri"/>
          <w:noProof w:val="0"/>
          <w:sz w:val="24"/>
          <w:szCs w:val="24"/>
          <w:lang w:val="nb-NO"/>
        </w:rPr>
      </w:pPr>
      <w:r w:rsidRPr="73275EAB" w:rsidR="73275EAB">
        <w:rPr>
          <w:rFonts w:ascii="Calibri" w:eastAsia="Calibri" w:hAnsi="Calibri" w:cs="Calibri"/>
          <w:noProof w:val="0"/>
          <w:sz w:val="24"/>
          <w:szCs w:val="24"/>
          <w:lang w:val="nb-NO"/>
        </w:rPr>
        <w:t>Energiinnholdet kan variere avhengig av hvilke tilsetninger som er gjort. Det vises til rekvisisjonsskjema (</w:t>
      </w:r>
      <w:hyperlink r:id="rId5">
        <w:r w:rsidRPr="73275EAB" w:rsidR="73275EAB">
          <w:rPr>
            <w:rStyle w:val="Hyperlink"/>
            <w:rFonts w:ascii="Calibri" w:eastAsia="Calibri" w:hAnsi="Calibri" w:cs="Calibri"/>
            <w:noProof w:val="0"/>
            <w:sz w:val="24"/>
            <w:szCs w:val="24"/>
            <w:lang w:val="nb-NO"/>
          </w:rPr>
          <w:t>Legemiddelportalen</w:t>
        </w:r>
      </w:hyperlink>
      <w:r w:rsidRPr="73275EAB" w:rsidR="73275EAB">
        <w:rPr>
          <w:rFonts w:ascii="Calibri" w:eastAsia="Calibri" w:hAnsi="Calibri" w:cs="Calibri"/>
          <w:noProof w:val="0"/>
          <w:sz w:val="24"/>
          <w:szCs w:val="24"/>
          <w:lang w:val="nb-NO"/>
        </w:rPr>
        <w:t>)</w:t>
      </w:r>
      <w:r w:rsidRPr="73275EAB" w:rsidR="73275EAB">
        <w:rPr>
          <w:rFonts w:ascii="Calibri" w:eastAsia="Calibri" w:hAnsi="Calibri" w:cs="Calibri"/>
          <w:noProof w:val="0"/>
          <w:sz w:val="24"/>
          <w:szCs w:val="24"/>
          <w:lang w:val="nb-NO"/>
        </w:rPr>
        <w:t xml:space="preserve"> for detaljer, da dette er det mest brukte og relevante hjelpemiddelet i klinisk praksis. Rekvisisjonsskjema angir både totalt energiinnhold i hele poser og beregnet energi i aktuelle delvolum basert på væskebehov per kg kroppsvekt per døgn for aktuelle aldersgrupper.</w:t>
      </w:r>
    </w:p>
    <w:p w:rsidR="0E715B59" w:rsidP="73275EAB" w14:paraId="56FCABD7" w14:textId="54B61E9F">
      <w:pPr>
        <w:spacing w:before="240" w:beforeAutospacing="0" w:after="240" w:afterAutospacing="0" w:line="360" w:lineRule="auto"/>
        <w:rPr>
          <w:rFonts w:ascii="Calibri" w:eastAsia="Calibri" w:hAnsi="Calibri" w:cs="Calibri"/>
          <w:noProof w:val="0"/>
          <w:sz w:val="24"/>
          <w:szCs w:val="24"/>
          <w:lang w:val="nb-NO"/>
        </w:rPr>
      </w:pPr>
      <w:r w:rsidRPr="73275EAB" w:rsidR="73275EAB">
        <w:rPr>
          <w:rFonts w:ascii="Calibri" w:eastAsia="Calibri" w:hAnsi="Calibri" w:cs="Calibri"/>
          <w:noProof w:val="0"/>
          <w:sz w:val="24"/>
          <w:szCs w:val="24"/>
          <w:lang w:val="nb-NO"/>
        </w:rPr>
        <w:t>Det er viktig å være oppmerksom på at energiinnholdet vil påvirkes dersom det gis delvolum av posen, særlig ved mange tilsetninger i relativt lite totalvolum. For mest mulig nøyaktig beregning kan det benyttes hjelpeskjema hvor alle tilsetninger og administrert volum legges inn.</w:t>
      </w:r>
    </w:p>
    <w:p w:rsidR="1D438AC5" w:rsidP="1D438AC5" w14:paraId="0E8BF653" w14:textId="018DFDCD">
      <w:pPr>
        <w:spacing w:line="360" w:lineRule="auto"/>
        <w:ind w:left="0"/>
        <w:rPr>
          <w:rFonts w:ascii="Calibri" w:eastAsia="Calibri" w:hAnsi="Calibri" w:cs="Calibri"/>
          <w:noProof w:val="0"/>
          <w:sz w:val="24"/>
          <w:szCs w:val="24"/>
          <w:lang w:val="nb-NO"/>
        </w:rPr>
      </w:pPr>
    </w:p>
    <w:p w:rsidR="4EE173BD" w:rsidP="0E715B59" w14:paraId="6EAA548C" w14:textId="41780848">
      <w:pPr>
        <w:pStyle w:val="Heading2"/>
        <w:bidi w:val="0"/>
        <w:spacing w:line="360" w:lineRule="auto"/>
        <w:rPr>
          <w:b/>
          <w:bCs/>
          <w:noProof w:val="0"/>
          <w:sz w:val="24"/>
          <w:szCs w:val="24"/>
          <w:lang w:val="nb-NO"/>
        </w:rPr>
      </w:pPr>
      <w:bookmarkStart w:id="23" w:name="_Toc256000022"/>
      <w:r w:rsidRPr="107F0A2D" w:rsidR="107F0A2D">
        <w:rPr>
          <w:b/>
          <w:bCs/>
          <w:noProof w:val="0"/>
          <w:sz w:val="24"/>
          <w:szCs w:val="24"/>
          <w:lang w:val="nb-NO"/>
        </w:rPr>
        <w:t xml:space="preserve">Risiko for </w:t>
      </w:r>
      <w:r w:rsidRPr="107F0A2D" w:rsidR="107F0A2D">
        <w:rPr>
          <w:b/>
          <w:bCs/>
          <w:noProof w:val="0"/>
          <w:sz w:val="24"/>
          <w:szCs w:val="24"/>
          <w:lang w:val="nb-NO"/>
        </w:rPr>
        <w:t>reernæringssyndrom</w:t>
      </w:r>
      <w:bookmarkEnd w:id="23"/>
    </w:p>
    <w:p w:rsidR="1D438AC5" w:rsidP="1D438AC5" w14:paraId="42B510B3" w14:textId="022FE768">
      <w:pPr>
        <w:spacing w:line="360" w:lineRule="auto"/>
        <w:rPr>
          <w:rFonts w:asciiTheme="minorAscii" w:eastAsiaTheme="minorAscii" w:hAnsiTheme="minorAscii" w:cstheme="minorAscii"/>
          <w:b w:val="0"/>
          <w:bCs w:val="0"/>
          <w:i w:val="0"/>
          <w:iCs w:val="0"/>
          <w:caps w:val="0"/>
          <w:smallCaps w:val="0"/>
          <w:noProof w:val="0"/>
          <w:color w:val="000000" w:themeColor="text1" w:themeShade="FF" w:themeTint="FF"/>
          <w:sz w:val="24"/>
          <w:szCs w:val="24"/>
          <w:lang w:val="nb-NO"/>
        </w:rPr>
      </w:pPr>
      <w:r w:rsidRPr="1D438AC5">
        <w:rPr>
          <w:noProof w:val="0"/>
          <w:sz w:val="24"/>
          <w:szCs w:val="24"/>
          <w:lang w:val="nb-NO"/>
        </w:rPr>
        <w:t>Ved langvarig underernæring kan plutselig tilførsel av energi gi alvorlige metabolske forstyrrelser. Pasienten er i risiko dersom ett av følgende kriterier foreligger:</w:t>
      </w:r>
    </w:p>
    <w:p w:rsidR="1D438AC5" w:rsidP="73B2E4AD" w14:paraId="04DC04F7" w14:textId="2C865FC1">
      <w:pPr>
        <w:pStyle w:val="ListParagraph"/>
        <w:numPr>
          <w:ilvl w:val="0"/>
          <w:numId w:val="3"/>
        </w:numPr>
        <w:bidi w:val="0"/>
        <w:spacing w:line="360" w:lineRule="auto"/>
        <w:rPr>
          <w:rFonts w:asciiTheme="minorAscii" w:eastAsiaTheme="minorAscii" w:hAnsiTheme="minorAscii" w:cstheme="minorAscii"/>
          <w:b w:val="0"/>
          <w:bCs w:val="0"/>
          <w:i w:val="0"/>
          <w:iCs w:val="0"/>
          <w:caps w:val="0"/>
          <w:smallCaps w:val="0"/>
          <w:noProof w:val="0"/>
          <w:color w:val="000000" w:themeColor="text1" w:themeShade="FF" w:themeTint="FF"/>
          <w:sz w:val="24"/>
          <w:szCs w:val="24"/>
          <w:lang w:val="nb-NO"/>
        </w:rPr>
      </w:pPr>
      <w:r w:rsidRPr="73B2E4AD" w:rsidR="73B2E4AD">
        <w:rPr>
          <w:rFonts w:asciiTheme="minorAscii" w:eastAsiaTheme="minorAscii" w:hAnsiTheme="minorAscii" w:cstheme="minorAscii"/>
          <w:b w:val="0"/>
          <w:bCs w:val="0"/>
          <w:i w:val="0"/>
          <w:iCs w:val="0"/>
          <w:caps w:val="0"/>
          <w:smallCaps w:val="0"/>
          <w:noProof w:val="0"/>
          <w:color w:val="000000" w:themeColor="text1" w:themeShade="FF" w:themeTint="FF"/>
          <w:sz w:val="24"/>
          <w:szCs w:val="24"/>
          <w:lang w:val="nb-NO"/>
        </w:rPr>
        <w:t xml:space="preserve">KMI &lt;grad 3 eller -3 SDS for </w:t>
      </w:r>
      <w:r w:rsidRPr="73B2E4AD" w:rsidR="73B2E4AD">
        <w:rPr>
          <w:rFonts w:asciiTheme="minorAscii" w:eastAsiaTheme="minorAscii" w:hAnsiTheme="minorAscii" w:cstheme="minorAscii"/>
          <w:b w:val="0"/>
          <w:bCs w:val="0"/>
          <w:i w:val="0"/>
          <w:iCs w:val="0"/>
          <w:caps w:val="0"/>
          <w:smallCaps w:val="0"/>
          <w:noProof w:val="0"/>
          <w:color w:val="000000" w:themeColor="text1" w:themeShade="FF" w:themeTint="FF"/>
          <w:sz w:val="24"/>
          <w:szCs w:val="24"/>
          <w:lang w:val="nb-NO"/>
        </w:rPr>
        <w:t>alder.</w:t>
      </w:r>
    </w:p>
    <w:p w:rsidR="1D438AC5" w:rsidP="1FAF0D73" w14:paraId="632EF4E6" w14:textId="342AFF80">
      <w:pPr>
        <w:pStyle w:val="ListParagraph"/>
        <w:numPr>
          <w:ilvl w:val="0"/>
          <w:numId w:val="3"/>
        </w:numPr>
        <w:bidi w:val="0"/>
        <w:spacing w:line="360" w:lineRule="auto"/>
        <w:rPr>
          <w:rFonts w:asciiTheme="minorAscii" w:eastAsiaTheme="minorAscii" w:hAnsiTheme="minorAscii" w:cstheme="minorAscii"/>
          <w:b w:val="0"/>
          <w:bCs w:val="0"/>
          <w:i w:val="0"/>
          <w:iCs w:val="0"/>
          <w:caps w:val="0"/>
          <w:smallCaps w:val="0"/>
          <w:noProof w:val="0"/>
          <w:color w:val="000000" w:themeColor="text1" w:themeShade="FF" w:themeTint="FF"/>
          <w:sz w:val="24"/>
          <w:szCs w:val="24"/>
          <w:lang w:val="nb-NO"/>
        </w:rPr>
      </w:pPr>
      <w:r w:rsidRPr="1FAF0D73" w:rsidR="1FAF0D73">
        <w:rPr>
          <w:rFonts w:asciiTheme="minorAscii" w:eastAsiaTheme="minorAscii" w:hAnsiTheme="minorAscii" w:cstheme="minorAscii"/>
          <w:b w:val="0"/>
          <w:bCs w:val="0"/>
          <w:i w:val="0"/>
          <w:iCs w:val="0"/>
          <w:caps w:val="0"/>
          <w:smallCaps w:val="0"/>
          <w:noProof w:val="0"/>
          <w:color w:val="000000" w:themeColor="text1" w:themeShade="FF" w:themeTint="FF"/>
          <w:sz w:val="24"/>
          <w:szCs w:val="24"/>
          <w:lang w:val="nb-NO"/>
        </w:rPr>
        <w:t>Vekttap på &gt;15 % siste 3-6 måneder.</w:t>
      </w:r>
    </w:p>
    <w:p w:rsidR="1D438AC5" w:rsidP="1D438AC5" w14:paraId="4579B9DD" w14:textId="25485DD4">
      <w:pPr>
        <w:pStyle w:val="ListParagraph"/>
        <w:numPr>
          <w:ilvl w:val="0"/>
          <w:numId w:val="3"/>
        </w:numPr>
        <w:bidi w:val="0"/>
        <w:spacing w:line="360" w:lineRule="auto"/>
        <w:rPr>
          <w:rFonts w:asciiTheme="minorAscii" w:eastAsiaTheme="minorAscii" w:hAnsiTheme="minorAscii" w:cstheme="minorAscii"/>
          <w:b w:val="0"/>
          <w:bCs w:val="0"/>
          <w:i w:val="0"/>
          <w:iCs w:val="0"/>
          <w:caps w:val="0"/>
          <w:smallCaps w:val="0"/>
          <w:noProof w:val="0"/>
          <w:color w:val="000000" w:themeColor="text1" w:themeShade="FF" w:themeTint="FF"/>
          <w:sz w:val="24"/>
          <w:szCs w:val="24"/>
          <w:lang w:val="nb-NO"/>
        </w:rPr>
      </w:pPr>
      <w:r w:rsidRPr="1D438AC5">
        <w:rPr>
          <w:rFonts w:asciiTheme="minorAscii" w:eastAsiaTheme="minorAscii" w:hAnsiTheme="minorAscii" w:cstheme="minorAscii"/>
          <w:b w:val="0"/>
          <w:bCs w:val="0"/>
          <w:i w:val="0"/>
          <w:iCs w:val="0"/>
          <w:caps w:val="0"/>
          <w:smallCaps w:val="0"/>
          <w:noProof w:val="0"/>
          <w:color w:val="000000" w:themeColor="text1" w:themeShade="FF" w:themeTint="FF"/>
          <w:sz w:val="24"/>
          <w:szCs w:val="24"/>
          <w:lang w:val="nb-NO"/>
        </w:rPr>
        <w:t>Minimalt matinntak &gt; 10 dager.</w:t>
      </w:r>
    </w:p>
    <w:p w:rsidR="1D438AC5" w:rsidP="1D438AC5" w14:paraId="1802D5EF" w14:textId="72753B7F">
      <w:pPr>
        <w:pStyle w:val="ListParagraph"/>
        <w:numPr>
          <w:ilvl w:val="0"/>
          <w:numId w:val="3"/>
        </w:numPr>
        <w:bidi w:val="0"/>
        <w:spacing w:line="360" w:lineRule="auto"/>
        <w:rPr>
          <w:rFonts w:asciiTheme="minorAscii" w:eastAsiaTheme="minorAscii" w:hAnsiTheme="minorAscii" w:cstheme="minorAscii"/>
          <w:b w:val="0"/>
          <w:bCs w:val="0"/>
          <w:i w:val="0"/>
          <w:iCs w:val="0"/>
          <w:caps w:val="0"/>
          <w:smallCaps w:val="0"/>
          <w:noProof w:val="0"/>
          <w:color w:val="000000" w:themeColor="text1" w:themeShade="FF" w:themeTint="FF"/>
          <w:sz w:val="24"/>
          <w:szCs w:val="24"/>
          <w:lang w:val="nb-NO"/>
        </w:rPr>
      </w:pPr>
      <w:r w:rsidRPr="1D438AC5">
        <w:rPr>
          <w:rFonts w:asciiTheme="minorAscii" w:eastAsiaTheme="minorAscii" w:hAnsiTheme="minorAscii" w:cstheme="minorAscii"/>
          <w:b w:val="0"/>
          <w:bCs w:val="0"/>
          <w:i w:val="0"/>
          <w:iCs w:val="0"/>
          <w:caps w:val="0"/>
          <w:smallCaps w:val="0"/>
          <w:noProof w:val="0"/>
          <w:color w:val="000000" w:themeColor="text1" w:themeShade="FF" w:themeTint="FF"/>
          <w:sz w:val="24"/>
          <w:szCs w:val="24"/>
          <w:lang w:val="nb-NO"/>
        </w:rPr>
        <w:t>Lav plasma-konsentrasjon av kalium, fosfat eller magnesium før oppstart av ernæring.</w:t>
      </w:r>
    </w:p>
    <w:p w:rsidR="1D438AC5" w:rsidP="1D438AC5" w14:paraId="36A0EEE8" w14:textId="453178FE">
      <w:pPr>
        <w:shd w:val="clear" w:color="auto" w:fill="FFFFFF" w:themeFill="background1"/>
        <w:bidi w:val="0"/>
        <w:spacing w:before="0" w:beforeAutospacing="0" w:after="0" w:afterAutospacing="0"/>
        <w:rPr>
          <w:rFonts w:asciiTheme="minorAscii" w:eastAsiaTheme="minorAscii" w:hAnsiTheme="minorAscii" w:cstheme="minorAscii"/>
          <w:b w:val="0"/>
          <w:bCs w:val="0"/>
          <w:sz w:val="24"/>
          <w:szCs w:val="24"/>
        </w:rPr>
      </w:pPr>
    </w:p>
    <w:p w:rsidR="1D438AC5" w:rsidP="1D438AC5" w14:paraId="4EA643A0" w14:textId="67A0CEA6">
      <w:pPr>
        <w:shd w:val="clear" w:color="auto" w:fill="FFFFFF" w:themeFill="background1"/>
        <w:bidi w:val="0"/>
        <w:spacing w:before="0" w:beforeAutospacing="0" w:after="0" w:afterAutospacing="0"/>
        <w:rPr>
          <w:rFonts w:asciiTheme="minorAscii" w:eastAsiaTheme="minorAscii" w:hAnsiTheme="minorAscii" w:cstheme="minorAscii"/>
          <w:b w:val="0"/>
          <w:bCs w:val="0"/>
          <w:sz w:val="24"/>
          <w:szCs w:val="24"/>
        </w:rPr>
      </w:pPr>
      <w:r w:rsidRPr="1D438AC5">
        <w:rPr>
          <w:rFonts w:asciiTheme="minorAscii" w:eastAsiaTheme="minorAscii" w:hAnsiTheme="minorAscii" w:cstheme="minorAscii"/>
          <w:b w:val="0"/>
          <w:bCs w:val="0"/>
          <w:sz w:val="24"/>
          <w:szCs w:val="24"/>
        </w:rPr>
        <w:t xml:space="preserve">Pasienten er i risiko dersom </w:t>
      </w:r>
      <w:r w:rsidRPr="1D438AC5">
        <w:rPr>
          <w:rFonts w:asciiTheme="minorAscii" w:eastAsiaTheme="minorAscii" w:hAnsiTheme="minorAscii" w:cstheme="minorAscii"/>
          <w:b w:val="0"/>
          <w:bCs w:val="0"/>
          <w:sz w:val="24"/>
          <w:szCs w:val="24"/>
        </w:rPr>
        <w:t>to av</w:t>
      </w:r>
      <w:r w:rsidRPr="1D438AC5">
        <w:rPr>
          <w:rFonts w:asciiTheme="minorAscii" w:eastAsiaTheme="minorAscii" w:hAnsiTheme="minorAscii" w:cstheme="minorAscii"/>
          <w:b w:val="0"/>
          <w:bCs w:val="0"/>
          <w:sz w:val="24"/>
          <w:szCs w:val="24"/>
        </w:rPr>
        <w:t xml:space="preserve"> følgende kriterier foreligger:</w:t>
      </w:r>
    </w:p>
    <w:p w:rsidR="1D438AC5" w:rsidP="1D438AC5" w14:paraId="39FB81A9" w14:textId="4E8870AF">
      <w:pPr>
        <w:pStyle w:val="ListParagraph"/>
        <w:numPr>
          <w:ilvl w:val="0"/>
          <w:numId w:val="2"/>
        </w:numPr>
        <w:shd w:val="clear" w:color="auto" w:fill="FFFFFF" w:themeFill="background1"/>
        <w:bidi w:val="0"/>
        <w:spacing w:before="0" w:beforeAutospacing="0" w:after="0" w:afterAutospacing="0"/>
        <w:rPr>
          <w:rFonts w:asciiTheme="minorAscii" w:eastAsiaTheme="minorAscii" w:hAnsiTheme="minorAscii" w:cstheme="minorAscii"/>
          <w:b w:val="0"/>
          <w:bCs w:val="0"/>
          <w:i w:val="0"/>
          <w:iCs w:val="0"/>
          <w:caps w:val="0"/>
          <w:smallCaps w:val="0"/>
          <w:noProof w:val="0"/>
          <w:color w:val="000000" w:themeColor="text1" w:themeShade="FF" w:themeTint="FF"/>
          <w:sz w:val="24"/>
          <w:szCs w:val="24"/>
          <w:lang w:val="nb-NO"/>
        </w:rPr>
      </w:pPr>
      <w:r w:rsidRPr="1D438AC5">
        <w:rPr>
          <w:rFonts w:asciiTheme="minorAscii" w:eastAsiaTheme="minorAscii" w:hAnsiTheme="minorAscii" w:cstheme="minorAscii"/>
          <w:b w:val="0"/>
          <w:bCs w:val="0"/>
          <w:i w:val="0"/>
          <w:iCs w:val="0"/>
          <w:caps w:val="0"/>
          <w:smallCaps w:val="0"/>
          <w:noProof w:val="0"/>
          <w:color w:val="000000" w:themeColor="text1" w:themeShade="FF" w:themeTint="FF"/>
          <w:sz w:val="24"/>
          <w:szCs w:val="24"/>
          <w:lang w:val="nb-NO"/>
        </w:rPr>
        <w:t>KMI &lt; grad 1 eller -1 SDS for alder.</w:t>
      </w:r>
    </w:p>
    <w:p w:rsidR="1D438AC5" w:rsidP="1FAF0D73" w14:paraId="74545B75" w14:textId="685DB683">
      <w:pPr>
        <w:pStyle w:val="ListParagraph"/>
        <w:numPr>
          <w:ilvl w:val="0"/>
          <w:numId w:val="2"/>
        </w:numPr>
        <w:shd w:val="clear" w:color="auto" w:fill="FFFFFF" w:themeFill="background1"/>
        <w:bidi w:val="0"/>
        <w:spacing w:before="0" w:beforeAutospacing="0" w:after="0" w:afterAutospacing="0"/>
        <w:rPr>
          <w:rFonts w:asciiTheme="minorAscii" w:eastAsiaTheme="minorAscii" w:hAnsiTheme="minorAscii" w:cstheme="minorAscii"/>
          <w:b w:val="0"/>
          <w:bCs w:val="0"/>
          <w:i w:val="0"/>
          <w:iCs w:val="0"/>
          <w:caps w:val="0"/>
          <w:smallCaps w:val="0"/>
          <w:noProof w:val="0"/>
          <w:color w:val="000000" w:themeColor="text1" w:themeShade="FF" w:themeTint="FF"/>
          <w:sz w:val="24"/>
          <w:szCs w:val="24"/>
          <w:lang w:val="nb-NO"/>
        </w:rPr>
      </w:pPr>
      <w:r w:rsidRPr="1FAF0D73" w:rsidR="1FAF0D73">
        <w:rPr>
          <w:rFonts w:asciiTheme="minorAscii" w:eastAsiaTheme="minorAscii" w:hAnsiTheme="minorAscii" w:cstheme="minorAscii"/>
          <w:b w:val="0"/>
          <w:bCs w:val="0"/>
          <w:i w:val="0"/>
          <w:iCs w:val="0"/>
          <w:caps w:val="0"/>
          <w:smallCaps w:val="0"/>
          <w:noProof w:val="0"/>
          <w:color w:val="000000" w:themeColor="text1" w:themeShade="FF" w:themeTint="FF"/>
          <w:sz w:val="24"/>
          <w:szCs w:val="24"/>
          <w:lang w:val="nb-NO"/>
        </w:rPr>
        <w:t>Vekttap på &gt; 10 % siste 3-6 måneder.</w:t>
      </w:r>
    </w:p>
    <w:p w:rsidR="1D438AC5" w:rsidP="1D438AC5" w14:paraId="73D173FF" w14:textId="786ACC36">
      <w:pPr>
        <w:pStyle w:val="ListParagraph"/>
        <w:numPr>
          <w:ilvl w:val="0"/>
          <w:numId w:val="2"/>
        </w:numPr>
        <w:shd w:val="clear" w:color="auto" w:fill="FFFFFF" w:themeFill="background1"/>
        <w:bidi w:val="0"/>
        <w:spacing w:before="0" w:beforeAutospacing="0" w:after="0" w:afterAutospacing="0"/>
        <w:rPr>
          <w:rFonts w:asciiTheme="minorAscii" w:eastAsiaTheme="minorAscii" w:hAnsiTheme="minorAscii" w:cstheme="minorAscii"/>
          <w:b w:val="0"/>
          <w:bCs w:val="0"/>
          <w:i w:val="0"/>
          <w:iCs w:val="0"/>
          <w:caps w:val="0"/>
          <w:smallCaps w:val="0"/>
          <w:noProof w:val="0"/>
          <w:color w:val="000000" w:themeColor="text1" w:themeShade="FF" w:themeTint="FF"/>
          <w:sz w:val="24"/>
          <w:szCs w:val="24"/>
          <w:lang w:val="nb-NO"/>
        </w:rPr>
      </w:pPr>
      <w:r w:rsidRPr="1D438AC5">
        <w:rPr>
          <w:rFonts w:asciiTheme="minorAscii" w:eastAsiaTheme="minorAscii" w:hAnsiTheme="minorAscii" w:cstheme="minorAscii"/>
          <w:b w:val="0"/>
          <w:bCs w:val="0"/>
          <w:i w:val="0"/>
          <w:iCs w:val="0"/>
          <w:caps w:val="0"/>
          <w:smallCaps w:val="0"/>
          <w:noProof w:val="0"/>
          <w:color w:val="000000" w:themeColor="text1" w:themeShade="FF" w:themeTint="FF"/>
          <w:sz w:val="24"/>
          <w:szCs w:val="24"/>
          <w:lang w:val="nb-NO"/>
        </w:rPr>
        <w:t>Svært lavt matinntak &gt; 5 dager.</w:t>
      </w:r>
    </w:p>
    <w:p w:rsidR="4EE173BD" w:rsidP="0E715B59" w14:paraId="23B06C21" w14:textId="4D8F4BD3">
      <w:pPr>
        <w:bidi w:val="0"/>
        <w:spacing w:line="360" w:lineRule="auto"/>
        <w:ind w:left="0"/>
        <w:rPr>
          <w:b/>
          <w:bCs/>
          <w:noProof w:val="0"/>
          <w:sz w:val="24"/>
          <w:szCs w:val="24"/>
          <w:lang w:val="nb-NO"/>
        </w:rPr>
      </w:pPr>
    </w:p>
    <w:p w:rsidR="00510BDF" w:rsidP="4E16C336" w14:paraId="4B3E9AE5" w14:textId="7535E4A1">
      <w:pPr>
        <w:spacing w:line="360" w:lineRule="auto"/>
        <w:ind w:left="431"/>
        <w:rPr>
          <w:noProof w:val="0"/>
          <w:lang w:val="nb-NO"/>
        </w:rPr>
      </w:pPr>
    </w:p>
    <w:p w:rsidR="00DF7BA8" w:rsidP="0876D121" w14:paraId="4B3E9AE7" w14:textId="6E03DE97">
      <w:pPr>
        <w:pStyle w:val="Heading1"/>
        <w:spacing w:line="360" w:lineRule="auto"/>
      </w:pPr>
      <w:bookmarkStart w:id="24" w:name="_Toc256000023"/>
      <w:r w:rsidR="107F0A2D">
        <w:t>Referanser</w:t>
      </w:r>
      <w:bookmarkEnd w:id="24"/>
      <w:r w:rsidR="107F0A2D">
        <w:t xml:space="preserve"> </w:t>
      </w:r>
    </w:p>
    <w:p w:rsidR="00510BDF" w:rsidP="107F0A2D" w14:paraId="4B3E9AE8" w14:textId="77777777">
      <w:pPr>
        <w:pStyle w:val="Heading2"/>
        <w:spacing w:line="360" w:lineRule="auto"/>
        <w:rPr>
          <w:rFonts w:cstheme="minorAscii"/>
          <w:b/>
          <w:bCs/>
        </w:rPr>
      </w:pPr>
      <w:bookmarkStart w:id="25" w:name="_Toc256000024"/>
      <w:r w:rsidRPr="107F0A2D" w:rsidR="107F0A2D">
        <w:rPr>
          <w:b/>
          <w:bCs/>
        </w:rPr>
        <w:t>Interne referanser</w:t>
      </w:r>
      <w:bookmarkEnd w:id="25"/>
      <w:r w:rsidRPr="107F0A2D" w:rsidR="107F0A2D">
        <w:rPr>
          <w:b/>
          <w:bCs/>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2268"/>
        <w:gridCol w:w="6803"/>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1250" w:type="pct"/>
            <w:tcBorders>
              <w:top w:val="nil"/>
              <w:left w:val="nil"/>
              <w:bottom w:val="nil"/>
              <w:right w:val="nil"/>
            </w:tcBorders>
          </w:tcPr>
          <w:p w:rsidP="0E715B59">
            <w:pPr>
              <w:numPr>
                <w:ilvl w:val="0"/>
                <w:numId w:val="0"/>
              </w:numPr>
              <w:spacing w:line="360" w:lineRule="auto"/>
              <w:rPr>
                <w:b w:val="0"/>
                <w:color w:val="0000FF"/>
                <w:u w:val="single"/>
              </w:rPr>
            </w:pPr>
            <w:bookmarkStart w:id="26" w:name="EK_Referanse"/>
            <w:hyperlink r:id="rId7" w:history="1">
              <w:r>
                <w:rPr>
                  <w:b w:val="0"/>
                  <w:color w:val="0000FF"/>
                  <w:u w:val="single"/>
                </w:rPr>
                <w:t>1.2.1.2-03</w:t>
              </w:r>
            </w:hyperlink>
          </w:p>
        </w:tc>
        <w:tc>
          <w:tcPr>
            <w:tcW w:w="3750" w:type="pct"/>
            <w:tcBorders>
              <w:top w:val="nil"/>
              <w:left w:val="nil"/>
              <w:bottom w:val="nil"/>
              <w:right w:val="nil"/>
            </w:tcBorders>
          </w:tcPr>
          <w:p w:rsidP="0E715B59">
            <w:pPr>
              <w:numPr>
                <w:ilvl w:val="0"/>
                <w:numId w:val="0"/>
              </w:numPr>
              <w:spacing w:line="360" w:lineRule="auto"/>
              <w:rPr>
                <w:b w:val="0"/>
                <w:color w:val="0000FF"/>
                <w:u w:val="single"/>
              </w:rPr>
            </w:pPr>
            <w:hyperlink r:id="rId7" w:history="1">
              <w:r>
                <w:rPr>
                  <w:b w:val="0"/>
                  <w:color w:val="0000FF"/>
                  <w:u w:val="single"/>
                </w:rPr>
                <w:t>Infusjonssett, ulike typer, skiftefrekvens</w:t>
              </w:r>
            </w:hyperlink>
          </w:p>
        </w:tc>
      </w:tr>
      <w:tr>
        <w:tblPrEx>
          <w:tblW w:w="5000" w:type="pct"/>
          <w:tblCellMar>
            <w:left w:w="108" w:type="dxa"/>
            <w:right w:w="108" w:type="dxa"/>
          </w:tblCellMar>
        </w:tblPrEx>
        <w:tc>
          <w:tcPr>
            <w:tcW w:w="1250" w:type="pct"/>
            <w:tcBorders>
              <w:top w:val="nil"/>
              <w:left w:val="nil"/>
              <w:bottom w:val="nil"/>
              <w:right w:val="nil"/>
            </w:tcBorders>
          </w:tcPr>
          <w:p w:rsidP="0E715B59">
            <w:pPr>
              <w:numPr>
                <w:ilvl w:val="0"/>
                <w:numId w:val="0"/>
              </w:numPr>
              <w:spacing w:line="360" w:lineRule="auto"/>
              <w:rPr>
                <w:b w:val="0"/>
                <w:color w:val="0000FF"/>
                <w:u w:val="single"/>
              </w:rPr>
            </w:pPr>
            <w:hyperlink r:id="rId8" w:history="1">
              <w:r>
                <w:rPr>
                  <w:b w:val="0"/>
                  <w:color w:val="0000FF"/>
                  <w:u w:val="single"/>
                </w:rPr>
                <w:t>1.2.1.2.1-02</w:t>
              </w:r>
            </w:hyperlink>
          </w:p>
        </w:tc>
        <w:tc>
          <w:tcPr>
            <w:tcW w:w="3750" w:type="pct"/>
            <w:tcBorders>
              <w:top w:val="nil"/>
              <w:left w:val="nil"/>
              <w:bottom w:val="nil"/>
              <w:right w:val="nil"/>
            </w:tcBorders>
          </w:tcPr>
          <w:p w:rsidP="0E715B59">
            <w:pPr>
              <w:numPr>
                <w:ilvl w:val="0"/>
                <w:numId w:val="0"/>
              </w:numPr>
              <w:spacing w:line="360" w:lineRule="auto"/>
              <w:rPr>
                <w:b w:val="0"/>
                <w:color w:val="0000FF"/>
                <w:u w:val="single"/>
              </w:rPr>
            </w:pPr>
            <w:hyperlink r:id="rId8" w:history="1">
              <w:r>
                <w:rPr>
                  <w:b w:val="0"/>
                  <w:color w:val="0000FF"/>
                  <w:u w:val="single"/>
                </w:rPr>
                <w:t>Blodprøvetaking fra sentralt venekateter (SVK) hos voksne og barn ≤ 18 år</w:t>
              </w:r>
            </w:hyperlink>
          </w:p>
        </w:tc>
      </w:tr>
      <w:tr>
        <w:tblPrEx>
          <w:tblW w:w="5000" w:type="pct"/>
          <w:tblCellMar>
            <w:left w:w="108" w:type="dxa"/>
            <w:right w:w="108" w:type="dxa"/>
          </w:tblCellMar>
        </w:tblPrEx>
        <w:tc>
          <w:tcPr>
            <w:tcW w:w="1250" w:type="pct"/>
            <w:tcBorders>
              <w:top w:val="nil"/>
              <w:left w:val="nil"/>
              <w:bottom w:val="nil"/>
              <w:right w:val="nil"/>
            </w:tcBorders>
          </w:tcPr>
          <w:p w:rsidP="0E715B59">
            <w:pPr>
              <w:numPr>
                <w:ilvl w:val="0"/>
                <w:numId w:val="0"/>
              </w:numPr>
              <w:spacing w:line="360" w:lineRule="auto"/>
              <w:rPr>
                <w:b w:val="0"/>
                <w:color w:val="0000FF"/>
                <w:u w:val="single"/>
              </w:rPr>
            </w:pPr>
            <w:hyperlink r:id="rId9" w:history="1">
              <w:r>
                <w:rPr>
                  <w:b w:val="0"/>
                  <w:color w:val="0000FF"/>
                  <w:u w:val="single"/>
                </w:rPr>
                <w:t>1.2.1.2.1-07</w:t>
              </w:r>
            </w:hyperlink>
          </w:p>
        </w:tc>
        <w:tc>
          <w:tcPr>
            <w:tcW w:w="3750" w:type="pct"/>
            <w:tcBorders>
              <w:top w:val="nil"/>
              <w:left w:val="nil"/>
              <w:bottom w:val="nil"/>
              <w:right w:val="nil"/>
            </w:tcBorders>
          </w:tcPr>
          <w:p w:rsidP="0E715B59">
            <w:pPr>
              <w:numPr>
                <w:ilvl w:val="0"/>
                <w:numId w:val="0"/>
              </w:numPr>
              <w:spacing w:line="360" w:lineRule="auto"/>
              <w:rPr>
                <w:b w:val="0"/>
                <w:color w:val="0000FF"/>
                <w:u w:val="single"/>
              </w:rPr>
            </w:pPr>
            <w:hyperlink r:id="rId9" w:history="1">
              <w:r>
                <w:rPr>
                  <w:b w:val="0"/>
                  <w:color w:val="0000FF"/>
                  <w:u w:val="single"/>
                </w:rPr>
                <w:t>Intravenøs terapi og blodprøvetaking</w:t>
              </w:r>
            </w:hyperlink>
          </w:p>
        </w:tc>
      </w:tr>
      <w:tr>
        <w:tblPrEx>
          <w:tblW w:w="5000" w:type="pct"/>
          <w:tblCellMar>
            <w:left w:w="108" w:type="dxa"/>
            <w:right w:w="108" w:type="dxa"/>
          </w:tblCellMar>
        </w:tblPrEx>
        <w:tc>
          <w:tcPr>
            <w:tcW w:w="1250" w:type="pct"/>
            <w:tcBorders>
              <w:top w:val="nil"/>
              <w:left w:val="nil"/>
              <w:bottom w:val="nil"/>
              <w:right w:val="nil"/>
            </w:tcBorders>
          </w:tcPr>
          <w:p w:rsidP="0E715B59">
            <w:pPr>
              <w:numPr>
                <w:ilvl w:val="0"/>
                <w:numId w:val="0"/>
              </w:numPr>
              <w:spacing w:line="360" w:lineRule="auto"/>
              <w:rPr>
                <w:b w:val="0"/>
                <w:color w:val="0000FF"/>
                <w:u w:val="single"/>
              </w:rPr>
            </w:pPr>
            <w:hyperlink r:id="rId10" w:history="1">
              <w:r>
                <w:rPr>
                  <w:b w:val="0"/>
                  <w:color w:val="0000FF"/>
                  <w:u w:val="single"/>
                </w:rPr>
                <w:t>1.2.1.2.2.2.1-04</w:t>
              </w:r>
            </w:hyperlink>
          </w:p>
        </w:tc>
        <w:tc>
          <w:tcPr>
            <w:tcW w:w="3750" w:type="pct"/>
            <w:tcBorders>
              <w:top w:val="nil"/>
              <w:left w:val="nil"/>
              <w:bottom w:val="nil"/>
              <w:right w:val="nil"/>
            </w:tcBorders>
          </w:tcPr>
          <w:p w:rsidP="0E715B59">
            <w:pPr>
              <w:numPr>
                <w:ilvl w:val="0"/>
                <w:numId w:val="0"/>
              </w:numPr>
              <w:spacing w:line="360" w:lineRule="auto"/>
              <w:rPr>
                <w:b w:val="0"/>
                <w:color w:val="0000FF"/>
                <w:u w:val="single"/>
              </w:rPr>
            </w:pPr>
            <w:hyperlink r:id="rId10" w:history="1">
              <w:r>
                <w:rPr>
                  <w:b w:val="0"/>
                  <w:color w:val="0000FF"/>
                  <w:u w:val="single"/>
                </w:rPr>
                <w:t>Sentralt venekateter (SVK) for korttidsbruk. Barn ≤ 18 år</w:t>
              </w:r>
            </w:hyperlink>
          </w:p>
        </w:tc>
      </w:tr>
      <w:tr>
        <w:tblPrEx>
          <w:tblW w:w="5000" w:type="pct"/>
          <w:tblCellMar>
            <w:left w:w="108" w:type="dxa"/>
            <w:right w:w="108" w:type="dxa"/>
          </w:tblCellMar>
        </w:tblPrEx>
        <w:tc>
          <w:tcPr>
            <w:tcW w:w="1250" w:type="pct"/>
            <w:tcBorders>
              <w:top w:val="nil"/>
              <w:left w:val="nil"/>
              <w:bottom w:val="nil"/>
              <w:right w:val="nil"/>
            </w:tcBorders>
          </w:tcPr>
          <w:p w:rsidP="0E715B59">
            <w:pPr>
              <w:numPr>
                <w:ilvl w:val="0"/>
                <w:numId w:val="0"/>
              </w:numPr>
              <w:spacing w:line="360" w:lineRule="auto"/>
              <w:rPr>
                <w:b w:val="0"/>
                <w:color w:val="0000FF"/>
                <w:u w:val="single"/>
              </w:rPr>
            </w:pPr>
            <w:hyperlink r:id="rId11" w:history="1">
              <w:r>
                <w:rPr>
                  <w:b w:val="0"/>
                  <w:color w:val="0000FF"/>
                  <w:u w:val="single"/>
                </w:rPr>
                <w:t>1.2.1.4-04</w:t>
              </w:r>
            </w:hyperlink>
          </w:p>
        </w:tc>
        <w:tc>
          <w:tcPr>
            <w:tcW w:w="3750" w:type="pct"/>
            <w:tcBorders>
              <w:top w:val="nil"/>
              <w:left w:val="nil"/>
              <w:bottom w:val="nil"/>
              <w:right w:val="nil"/>
            </w:tcBorders>
          </w:tcPr>
          <w:p w:rsidP="0E715B59">
            <w:pPr>
              <w:numPr>
                <w:ilvl w:val="0"/>
                <w:numId w:val="0"/>
              </w:numPr>
              <w:spacing w:line="360" w:lineRule="auto"/>
              <w:rPr>
                <w:b w:val="0"/>
                <w:color w:val="0000FF"/>
                <w:u w:val="single"/>
              </w:rPr>
            </w:pPr>
            <w:hyperlink r:id="rId11" w:history="1">
              <w:r>
                <w:rPr>
                  <w:b w:val="0"/>
                  <w:color w:val="0000FF"/>
                  <w:u w:val="single"/>
                </w:rPr>
                <w:t>Oppstart av intravenøs ernæring for voksne pasienter over 18 år</w:t>
              </w:r>
            </w:hyperlink>
          </w:p>
        </w:tc>
      </w:tr>
      <w:tr>
        <w:tblPrEx>
          <w:tblW w:w="5000" w:type="pct"/>
          <w:tblCellMar>
            <w:left w:w="108" w:type="dxa"/>
            <w:right w:w="108" w:type="dxa"/>
          </w:tblCellMar>
        </w:tblPrEx>
        <w:tc>
          <w:tcPr>
            <w:tcW w:w="1250" w:type="pct"/>
            <w:tcBorders>
              <w:top w:val="nil"/>
              <w:left w:val="nil"/>
              <w:bottom w:val="nil"/>
              <w:right w:val="nil"/>
            </w:tcBorders>
          </w:tcPr>
          <w:p w:rsidP="0E715B59">
            <w:pPr>
              <w:numPr>
                <w:ilvl w:val="0"/>
                <w:numId w:val="0"/>
              </w:numPr>
              <w:spacing w:line="360" w:lineRule="auto"/>
              <w:rPr>
                <w:b w:val="0"/>
                <w:color w:val="0000FF"/>
                <w:u w:val="single"/>
              </w:rPr>
            </w:pPr>
            <w:hyperlink r:id="rId12" w:history="1">
              <w:r>
                <w:rPr>
                  <w:b w:val="0"/>
                  <w:color w:val="0000FF"/>
                  <w:u w:val="single"/>
                </w:rPr>
                <w:t>1.2.2.3-01</w:t>
              </w:r>
            </w:hyperlink>
          </w:p>
        </w:tc>
        <w:tc>
          <w:tcPr>
            <w:tcW w:w="3750" w:type="pct"/>
            <w:tcBorders>
              <w:top w:val="nil"/>
              <w:left w:val="nil"/>
              <w:bottom w:val="nil"/>
              <w:right w:val="nil"/>
            </w:tcBorders>
          </w:tcPr>
          <w:p w:rsidP="0E715B59">
            <w:pPr>
              <w:numPr>
                <w:ilvl w:val="0"/>
                <w:numId w:val="0"/>
              </w:numPr>
              <w:spacing w:line="360" w:lineRule="auto"/>
              <w:rPr>
                <w:b w:val="0"/>
                <w:color w:val="0000FF"/>
                <w:u w:val="single"/>
              </w:rPr>
            </w:pPr>
            <w:hyperlink r:id="rId12" w:history="1">
              <w:r>
                <w:rPr>
                  <w:b w:val="0"/>
                  <w:color w:val="0000FF"/>
                  <w:u w:val="single"/>
                </w:rPr>
                <w:t>Istandgjøring og merking av legemidler</w:t>
              </w:r>
            </w:hyperlink>
          </w:p>
        </w:tc>
      </w:tr>
      <w:tr>
        <w:tblPrEx>
          <w:tblW w:w="5000" w:type="pct"/>
          <w:tblCellMar>
            <w:left w:w="108" w:type="dxa"/>
            <w:right w:w="108" w:type="dxa"/>
          </w:tblCellMar>
        </w:tblPrEx>
        <w:tc>
          <w:tcPr>
            <w:tcW w:w="1250" w:type="pct"/>
            <w:tcBorders>
              <w:top w:val="nil"/>
              <w:left w:val="nil"/>
              <w:bottom w:val="nil"/>
              <w:right w:val="nil"/>
            </w:tcBorders>
          </w:tcPr>
          <w:p w:rsidP="0E715B59">
            <w:pPr>
              <w:numPr>
                <w:ilvl w:val="0"/>
                <w:numId w:val="0"/>
              </w:numPr>
              <w:spacing w:line="360" w:lineRule="auto"/>
              <w:rPr>
                <w:b w:val="0"/>
                <w:color w:val="0000FF"/>
                <w:u w:val="single"/>
              </w:rPr>
            </w:pPr>
            <w:hyperlink r:id="rId13" w:history="1">
              <w:r>
                <w:rPr>
                  <w:b w:val="0"/>
                  <w:color w:val="0000FF"/>
                  <w:u w:val="single"/>
                </w:rPr>
                <w:t>1.2.2.3-07</w:t>
              </w:r>
            </w:hyperlink>
          </w:p>
        </w:tc>
        <w:tc>
          <w:tcPr>
            <w:tcW w:w="3750" w:type="pct"/>
            <w:tcBorders>
              <w:top w:val="nil"/>
              <w:left w:val="nil"/>
              <w:bottom w:val="nil"/>
              <w:right w:val="nil"/>
            </w:tcBorders>
          </w:tcPr>
          <w:p w:rsidP="0E715B59">
            <w:pPr>
              <w:numPr>
                <w:ilvl w:val="0"/>
                <w:numId w:val="0"/>
              </w:numPr>
              <w:spacing w:line="360" w:lineRule="auto"/>
              <w:rPr>
                <w:b w:val="0"/>
                <w:color w:val="0000FF"/>
                <w:u w:val="single"/>
              </w:rPr>
            </w:pPr>
            <w:hyperlink r:id="rId13" w:history="1">
              <w:r>
                <w:rPr>
                  <w:b w:val="0"/>
                  <w:color w:val="0000FF"/>
                  <w:u w:val="single"/>
                </w:rPr>
                <w:t>Forlikelighet av infusjoner</w:t>
              </w:r>
            </w:hyperlink>
          </w:p>
        </w:tc>
      </w:tr>
      <w:tr>
        <w:tblPrEx>
          <w:tblW w:w="5000" w:type="pct"/>
          <w:tblCellMar>
            <w:left w:w="108" w:type="dxa"/>
            <w:right w:w="108" w:type="dxa"/>
          </w:tblCellMar>
        </w:tblPrEx>
        <w:tc>
          <w:tcPr>
            <w:tcW w:w="1250" w:type="pct"/>
            <w:tcBorders>
              <w:top w:val="nil"/>
              <w:left w:val="nil"/>
              <w:bottom w:val="nil"/>
              <w:right w:val="nil"/>
            </w:tcBorders>
          </w:tcPr>
          <w:p w:rsidP="0E715B59">
            <w:pPr>
              <w:numPr>
                <w:ilvl w:val="0"/>
                <w:numId w:val="0"/>
              </w:numPr>
              <w:spacing w:line="360" w:lineRule="auto"/>
              <w:rPr>
                <w:b w:val="0"/>
                <w:color w:val="0000FF"/>
                <w:u w:val="single"/>
              </w:rPr>
            </w:pPr>
            <w:hyperlink r:id="rId14" w:history="1">
              <w:r>
                <w:rPr>
                  <w:b w:val="0"/>
                  <w:color w:val="0000FF"/>
                  <w:u w:val="single"/>
                </w:rPr>
                <w:t>5.3.1-21</w:t>
              </w:r>
            </w:hyperlink>
          </w:p>
        </w:tc>
        <w:tc>
          <w:tcPr>
            <w:tcW w:w="3750" w:type="pct"/>
            <w:tcBorders>
              <w:top w:val="nil"/>
              <w:left w:val="nil"/>
              <w:bottom w:val="nil"/>
              <w:right w:val="nil"/>
            </w:tcBorders>
          </w:tcPr>
          <w:p w:rsidP="0E715B59">
            <w:pPr>
              <w:numPr>
                <w:ilvl w:val="0"/>
                <w:numId w:val="0"/>
              </w:numPr>
              <w:spacing w:line="360" w:lineRule="auto"/>
              <w:rPr>
                <w:b w:val="0"/>
                <w:color w:val="0000FF"/>
                <w:u w:val="single"/>
              </w:rPr>
            </w:pPr>
            <w:hyperlink r:id="rId14" w:history="1">
              <w:r>
                <w:rPr>
                  <w:b w:val="0"/>
                  <w:color w:val="0000FF"/>
                  <w:u w:val="single"/>
                </w:rPr>
                <w:t>Medisinrom opplæring BUK</w:t>
              </w:r>
            </w:hyperlink>
          </w:p>
        </w:tc>
      </w:tr>
      <w:tr>
        <w:tblPrEx>
          <w:tblW w:w="5000" w:type="pct"/>
          <w:tblCellMar>
            <w:left w:w="108" w:type="dxa"/>
            <w:right w:w="108" w:type="dxa"/>
          </w:tblCellMar>
        </w:tblPrEx>
        <w:tc>
          <w:tcPr>
            <w:tcW w:w="1250" w:type="pct"/>
            <w:tcBorders>
              <w:top w:val="nil"/>
              <w:left w:val="nil"/>
              <w:bottom w:val="nil"/>
              <w:right w:val="nil"/>
            </w:tcBorders>
          </w:tcPr>
          <w:p w:rsidP="0E715B59">
            <w:pPr>
              <w:numPr>
                <w:ilvl w:val="0"/>
                <w:numId w:val="0"/>
              </w:numPr>
              <w:spacing w:line="360" w:lineRule="auto"/>
              <w:rPr>
                <w:b w:val="0"/>
                <w:color w:val="0000FF"/>
                <w:u w:val="single"/>
              </w:rPr>
            </w:pPr>
            <w:hyperlink r:id="rId15" w:history="1">
              <w:r>
                <w:rPr>
                  <w:b w:val="0"/>
                  <w:color w:val="0000FF"/>
                  <w:u w:val="single"/>
                </w:rPr>
                <w:t>5.6.1-09</w:t>
              </w:r>
            </w:hyperlink>
          </w:p>
        </w:tc>
        <w:tc>
          <w:tcPr>
            <w:tcW w:w="3750" w:type="pct"/>
            <w:tcBorders>
              <w:top w:val="nil"/>
              <w:left w:val="nil"/>
              <w:bottom w:val="nil"/>
              <w:right w:val="nil"/>
            </w:tcBorders>
          </w:tcPr>
          <w:p w:rsidP="0E715B59">
            <w:pPr>
              <w:numPr>
                <w:ilvl w:val="0"/>
                <w:numId w:val="0"/>
              </w:numPr>
              <w:spacing w:line="360" w:lineRule="auto"/>
              <w:rPr>
                <w:b w:val="0"/>
                <w:color w:val="0000FF"/>
                <w:u w:val="single"/>
              </w:rPr>
            </w:pPr>
            <w:hyperlink r:id="rId15" w:history="1">
              <w:r>
                <w:rPr>
                  <w:b w:val="0"/>
                  <w:color w:val="0000FF"/>
                  <w:u w:val="single"/>
                </w:rPr>
                <w:t>Retningslinjer for legemiddelhåndtering ved Barne- og ungdomsklinikken</w:t>
              </w:r>
            </w:hyperlink>
          </w:p>
        </w:tc>
      </w:tr>
      <w:tr>
        <w:tblPrEx>
          <w:tblW w:w="5000" w:type="pct"/>
          <w:tblCellMar>
            <w:left w:w="108" w:type="dxa"/>
            <w:right w:w="108" w:type="dxa"/>
          </w:tblCellMar>
        </w:tblPrEx>
        <w:tc>
          <w:tcPr>
            <w:tcW w:w="1250" w:type="pct"/>
            <w:tcBorders>
              <w:top w:val="nil"/>
              <w:left w:val="nil"/>
              <w:bottom w:val="nil"/>
              <w:right w:val="nil"/>
            </w:tcBorders>
          </w:tcPr>
          <w:p w:rsidP="0E715B59">
            <w:pPr>
              <w:numPr>
                <w:ilvl w:val="0"/>
                <w:numId w:val="0"/>
              </w:numPr>
              <w:spacing w:line="360" w:lineRule="auto"/>
              <w:rPr>
                <w:b w:val="0"/>
                <w:color w:val="0000FF"/>
                <w:u w:val="single"/>
              </w:rPr>
            </w:pPr>
            <w:hyperlink r:id="rId16" w:history="1">
              <w:r>
                <w:rPr>
                  <w:b w:val="0"/>
                  <w:color w:val="0000FF"/>
                  <w:u w:val="single"/>
                </w:rPr>
                <w:t>5.6.1-13</w:t>
              </w:r>
            </w:hyperlink>
          </w:p>
        </w:tc>
        <w:tc>
          <w:tcPr>
            <w:tcW w:w="3750" w:type="pct"/>
            <w:tcBorders>
              <w:top w:val="nil"/>
              <w:left w:val="nil"/>
              <w:bottom w:val="nil"/>
              <w:right w:val="nil"/>
            </w:tcBorders>
          </w:tcPr>
          <w:p w:rsidP="0E715B59">
            <w:pPr>
              <w:numPr>
                <w:ilvl w:val="0"/>
                <w:numId w:val="0"/>
              </w:numPr>
              <w:spacing w:line="360" w:lineRule="auto"/>
              <w:rPr>
                <w:b w:val="0"/>
                <w:color w:val="0000FF"/>
                <w:u w:val="single"/>
              </w:rPr>
            </w:pPr>
            <w:hyperlink r:id="rId16" w:history="1">
              <w:r>
                <w:rPr>
                  <w:b w:val="0"/>
                  <w:color w:val="0000FF"/>
                  <w:u w:val="single"/>
                </w:rPr>
                <w:t xml:space="preserve">Filtrering av injeksjons- og infusjonsvæsker til barn </w:t>
              </w:r>
            </w:hyperlink>
          </w:p>
        </w:tc>
      </w:tr>
    </w:tbl>
    <w:p w:rsidR="00510BDF" w:rsidP="0E715B59" w14:paraId="4B3E9AED" w14:textId="16AA9DF8">
      <w:pPr>
        <w:spacing w:line="360" w:lineRule="auto"/>
        <w:rPr>
          <w:rFonts w:cstheme="minorAscii"/>
        </w:rPr>
      </w:pPr>
      <w:bookmarkEnd w:id="26"/>
    </w:p>
    <w:p w:rsidR="00510BDF" w:rsidP="0E715B59" w14:paraId="4B3E9AEE" w14:textId="77777777">
      <w:pPr>
        <w:pStyle w:val="Heading2"/>
        <w:spacing w:line="360" w:lineRule="auto"/>
        <w:rPr>
          <w:b/>
          <w:bCs/>
        </w:rPr>
      </w:pPr>
      <w:bookmarkStart w:id="27" w:name="_Toc256000025"/>
      <w:r w:rsidRPr="107F0A2D" w:rsidR="107F0A2D">
        <w:rPr>
          <w:b/>
          <w:bCs/>
        </w:rPr>
        <w:t>Eksterne referanser</w:t>
      </w:r>
      <w:bookmarkEnd w:id="27"/>
      <w:r w:rsidRPr="107F0A2D" w:rsidR="107F0A2D">
        <w:rPr>
          <w:b/>
          <w:bCs/>
        </w:rPr>
        <w:t xml:space="preserve"> </w:t>
      </w:r>
    </w:p>
    <w:p w:rsidR="00DF7BA8" w:rsidP="0E715B59" w14:paraId="29C5797E" w14:textId="2FB76E4E">
      <w:pPr>
        <w:spacing w:line="360" w:lineRule="auto"/>
        <w:ind w:left="283" w:hanging="283"/>
        <w:rPr>
          <w:rFonts w:ascii="Calibri" w:eastAsia="Calibri" w:hAnsi="Calibri" w:cs="Calibri"/>
          <w:noProof w:val="0"/>
          <w:sz w:val="22"/>
          <w:szCs w:val="22"/>
          <w:lang w:val="en-US"/>
        </w:rPr>
      </w:pPr>
      <w:r w:rsidRPr="0E715B59" w:rsidR="0E715B59">
        <w:rPr>
          <w:rFonts w:ascii="Calibri" w:eastAsia="Calibri" w:hAnsi="Calibri" w:cs="Calibri"/>
          <w:b w:val="0"/>
          <w:bCs w:val="0"/>
          <w:noProof w:val="0"/>
          <w:sz w:val="22"/>
          <w:szCs w:val="22"/>
          <w:lang w:val="en-US"/>
        </w:rPr>
        <w:t>Baxter AS. (</w:t>
      </w:r>
      <w:r w:rsidRPr="0E715B59" w:rsidR="0E715B59">
        <w:rPr>
          <w:rFonts w:ascii="Calibri" w:eastAsia="Calibri" w:hAnsi="Calibri" w:cs="Calibri"/>
          <w:b w:val="0"/>
          <w:bCs w:val="0"/>
          <w:noProof w:val="0"/>
          <w:sz w:val="22"/>
          <w:szCs w:val="22"/>
          <w:lang w:val="en-US"/>
        </w:rPr>
        <w:t>u.å</w:t>
      </w:r>
      <w:r w:rsidRPr="0E715B59" w:rsidR="0E715B59">
        <w:rPr>
          <w:rFonts w:ascii="Calibri" w:eastAsia="Calibri" w:hAnsi="Calibri" w:cs="Calibri"/>
          <w:b w:val="0"/>
          <w:bCs w:val="0"/>
          <w:noProof w:val="0"/>
          <w:sz w:val="22"/>
          <w:szCs w:val="22"/>
          <w:lang w:val="en-US"/>
        </w:rPr>
        <w:t>.).</w:t>
      </w:r>
      <w:r w:rsidRPr="0E715B59" w:rsidR="0E715B59">
        <w:rPr>
          <w:rFonts w:ascii="Calibri" w:eastAsia="Calibri" w:hAnsi="Calibri" w:cs="Calibri"/>
          <w:b w:val="0"/>
          <w:bCs w:val="0"/>
          <w:noProof w:val="0"/>
          <w:sz w:val="22"/>
          <w:szCs w:val="22"/>
          <w:lang w:val="en-US"/>
        </w:rPr>
        <w:t xml:space="preserve"> </w:t>
      </w:r>
      <w:r w:rsidRPr="0E715B59" w:rsidR="0E715B59">
        <w:rPr>
          <w:rFonts w:ascii="Calibri" w:eastAsia="Calibri" w:hAnsi="Calibri" w:cs="Calibri"/>
          <w:i/>
          <w:iCs/>
          <w:noProof w:val="0"/>
          <w:sz w:val="22"/>
          <w:szCs w:val="22"/>
          <w:lang w:val="en-US"/>
        </w:rPr>
        <w:t>Numeta</w:t>
      </w:r>
      <w:r w:rsidRPr="0E715B59" w:rsidR="0E715B59">
        <w:rPr>
          <w:rFonts w:ascii="Calibri" w:eastAsia="Calibri" w:hAnsi="Calibri" w:cs="Calibri"/>
          <w:i/>
          <w:iCs/>
          <w:noProof w:val="0"/>
          <w:sz w:val="22"/>
          <w:szCs w:val="22"/>
          <w:lang w:val="en-US"/>
        </w:rPr>
        <w:t xml:space="preserve"> «Baxter» – parenteral </w:t>
      </w:r>
      <w:r w:rsidRPr="0E715B59" w:rsidR="0E715B59">
        <w:rPr>
          <w:rFonts w:ascii="Calibri" w:eastAsia="Calibri" w:hAnsi="Calibri" w:cs="Calibri"/>
          <w:i/>
          <w:iCs/>
          <w:noProof w:val="0"/>
          <w:sz w:val="22"/>
          <w:szCs w:val="22"/>
          <w:lang w:val="en-US"/>
        </w:rPr>
        <w:t>ernæring</w:t>
      </w:r>
      <w:r w:rsidRPr="0E715B59" w:rsidR="0E715B59">
        <w:rPr>
          <w:rFonts w:ascii="Calibri" w:eastAsia="Calibri" w:hAnsi="Calibri" w:cs="Calibri"/>
          <w:i/>
          <w:iCs/>
          <w:noProof w:val="0"/>
          <w:sz w:val="22"/>
          <w:szCs w:val="22"/>
          <w:lang w:val="en-US"/>
        </w:rPr>
        <w:t xml:space="preserve"> </w:t>
      </w:r>
      <w:r w:rsidRPr="0E715B59" w:rsidR="0E715B59">
        <w:rPr>
          <w:rFonts w:ascii="Calibri" w:eastAsia="Calibri" w:hAnsi="Calibri" w:cs="Calibri"/>
          <w:i/>
          <w:iCs/>
          <w:noProof w:val="0"/>
          <w:sz w:val="22"/>
          <w:szCs w:val="22"/>
          <w:lang w:val="en-US"/>
        </w:rPr>
        <w:t>i</w:t>
      </w:r>
      <w:r w:rsidRPr="0E715B59" w:rsidR="0E715B59">
        <w:rPr>
          <w:rFonts w:ascii="Calibri" w:eastAsia="Calibri" w:hAnsi="Calibri" w:cs="Calibri"/>
          <w:i/>
          <w:iCs/>
          <w:noProof w:val="0"/>
          <w:sz w:val="22"/>
          <w:szCs w:val="22"/>
          <w:lang w:val="en-US"/>
        </w:rPr>
        <w:t xml:space="preserve"> </w:t>
      </w:r>
      <w:r w:rsidRPr="0E715B59" w:rsidR="0E715B59">
        <w:rPr>
          <w:rFonts w:ascii="Calibri" w:eastAsia="Calibri" w:hAnsi="Calibri" w:cs="Calibri"/>
          <w:i/>
          <w:iCs/>
          <w:noProof w:val="0"/>
          <w:sz w:val="22"/>
          <w:szCs w:val="22"/>
          <w:lang w:val="en-US"/>
        </w:rPr>
        <w:t>trekammerpose</w:t>
      </w:r>
      <w:r w:rsidRPr="0E715B59" w:rsidR="0E715B59">
        <w:rPr>
          <w:rFonts w:ascii="Calibri" w:eastAsia="Calibri" w:hAnsi="Calibri" w:cs="Calibri"/>
          <w:noProof w:val="0"/>
          <w:sz w:val="22"/>
          <w:szCs w:val="22"/>
          <w:lang w:val="en-US"/>
        </w:rPr>
        <w:t xml:space="preserve">. </w:t>
      </w:r>
      <w:r w:rsidRPr="0E715B59" w:rsidR="0E715B59">
        <w:rPr>
          <w:rFonts w:ascii="Calibri" w:eastAsia="Calibri" w:hAnsi="Calibri" w:cs="Calibri"/>
          <w:noProof w:val="0"/>
          <w:sz w:val="22"/>
          <w:szCs w:val="22"/>
          <w:lang w:val="en-US"/>
        </w:rPr>
        <w:t>Felleskatalogen</w:t>
      </w:r>
      <w:r w:rsidRPr="0E715B59" w:rsidR="0E715B59">
        <w:rPr>
          <w:rFonts w:ascii="Calibri" w:eastAsia="Calibri" w:hAnsi="Calibri" w:cs="Calibri"/>
          <w:noProof w:val="0"/>
          <w:sz w:val="22"/>
          <w:szCs w:val="22"/>
          <w:lang w:val="en-US"/>
        </w:rPr>
        <w:t xml:space="preserve">. </w:t>
      </w:r>
      <w:hyperlink r:id="rId17">
        <w:r w:rsidRPr="0E715B59" w:rsidR="0E715B59">
          <w:rPr>
            <w:rStyle w:val="Hyperlink"/>
            <w:rFonts w:ascii="Calibri" w:eastAsia="Calibri" w:hAnsi="Calibri" w:cs="Calibri"/>
            <w:noProof w:val="0"/>
            <w:lang w:val="en-US"/>
          </w:rPr>
          <w:t>https://www.felleskatalogen.no/medisin/numeta-baxter-573254</w:t>
        </w:r>
      </w:hyperlink>
    </w:p>
    <w:p w:rsidR="00DF7BA8" w:rsidP="0E715B59" w14:paraId="76B1ABCD" w14:textId="69255737">
      <w:pPr>
        <w:spacing w:line="360" w:lineRule="auto"/>
        <w:ind w:left="283" w:hanging="283"/>
        <w:rPr>
          <w:rFonts w:ascii="Calibri" w:eastAsia="Calibri" w:hAnsi="Calibri" w:cs="Calibri"/>
          <w:noProof w:val="0"/>
          <w:lang w:val="en-US"/>
        </w:rPr>
      </w:pPr>
    </w:p>
    <w:p w:rsidR="00DF7BA8" w:rsidP="0E715B59" w14:paraId="5393B4CB" w14:textId="19109D8B">
      <w:pPr>
        <w:spacing w:line="360" w:lineRule="auto"/>
        <w:ind w:left="283" w:hanging="283"/>
        <w:rPr>
          <w:rFonts w:ascii="Calibri" w:eastAsia="Calibri" w:hAnsi="Calibri" w:cs="Calibri"/>
          <w:noProof w:val="0"/>
          <w:sz w:val="22"/>
          <w:szCs w:val="22"/>
          <w:lang w:val="en-US"/>
        </w:rPr>
      </w:pPr>
      <w:r w:rsidRPr="0E715B59" w:rsidR="0E715B59">
        <w:rPr>
          <w:rFonts w:ascii="Calibri" w:eastAsia="Calibri" w:hAnsi="Calibri" w:cs="Calibri"/>
          <w:b w:val="0"/>
          <w:bCs w:val="0"/>
          <w:noProof w:val="0"/>
          <w:sz w:val="22"/>
          <w:szCs w:val="22"/>
          <w:lang w:val="en-US"/>
        </w:rPr>
        <w:t>Foreningen</w:t>
      </w:r>
      <w:r w:rsidRPr="0E715B59" w:rsidR="0E715B59">
        <w:rPr>
          <w:rFonts w:ascii="Calibri" w:eastAsia="Calibri" w:hAnsi="Calibri" w:cs="Calibri"/>
          <w:b w:val="0"/>
          <w:bCs w:val="0"/>
          <w:noProof w:val="0"/>
          <w:sz w:val="22"/>
          <w:szCs w:val="22"/>
          <w:lang w:val="en-US"/>
        </w:rPr>
        <w:t xml:space="preserve"> for </w:t>
      </w:r>
      <w:r w:rsidRPr="0E715B59" w:rsidR="0E715B59">
        <w:rPr>
          <w:rFonts w:ascii="Calibri" w:eastAsia="Calibri" w:hAnsi="Calibri" w:cs="Calibri"/>
          <w:b w:val="0"/>
          <w:bCs w:val="0"/>
          <w:noProof w:val="0"/>
          <w:sz w:val="22"/>
          <w:szCs w:val="22"/>
          <w:lang w:val="en-US"/>
        </w:rPr>
        <w:t>utgivelse</w:t>
      </w:r>
      <w:r w:rsidRPr="0E715B59" w:rsidR="0E715B59">
        <w:rPr>
          <w:rFonts w:ascii="Calibri" w:eastAsia="Calibri" w:hAnsi="Calibri" w:cs="Calibri"/>
          <w:b w:val="0"/>
          <w:bCs w:val="0"/>
          <w:noProof w:val="0"/>
          <w:sz w:val="22"/>
          <w:szCs w:val="22"/>
          <w:lang w:val="en-US"/>
        </w:rPr>
        <w:t xml:space="preserve"> av Norsk </w:t>
      </w:r>
      <w:r w:rsidRPr="0E715B59" w:rsidR="0E715B59">
        <w:rPr>
          <w:rFonts w:ascii="Calibri" w:eastAsia="Calibri" w:hAnsi="Calibri" w:cs="Calibri"/>
          <w:b w:val="0"/>
          <w:bCs w:val="0"/>
          <w:noProof w:val="0"/>
          <w:sz w:val="22"/>
          <w:szCs w:val="22"/>
          <w:lang w:val="en-US"/>
        </w:rPr>
        <w:t>legemiddelhåndbok</w:t>
      </w:r>
      <w:r w:rsidRPr="0E715B59" w:rsidR="0E715B59">
        <w:rPr>
          <w:rFonts w:ascii="Calibri" w:eastAsia="Calibri" w:hAnsi="Calibri" w:cs="Calibri"/>
          <w:b w:val="0"/>
          <w:bCs w:val="0"/>
          <w:noProof w:val="0"/>
          <w:sz w:val="22"/>
          <w:szCs w:val="22"/>
          <w:lang w:val="en-US"/>
        </w:rPr>
        <w:t xml:space="preserve">. (2017, 20. </w:t>
      </w:r>
      <w:r w:rsidRPr="0E715B59" w:rsidR="0E715B59">
        <w:rPr>
          <w:rFonts w:ascii="Calibri" w:eastAsia="Calibri" w:hAnsi="Calibri" w:cs="Calibri"/>
          <w:b w:val="0"/>
          <w:bCs w:val="0"/>
          <w:noProof w:val="0"/>
          <w:sz w:val="22"/>
          <w:szCs w:val="22"/>
          <w:lang w:val="en-US"/>
        </w:rPr>
        <w:t>februar</w:t>
      </w:r>
      <w:r w:rsidRPr="0E715B59" w:rsidR="0E715B59">
        <w:rPr>
          <w:rFonts w:ascii="Calibri" w:eastAsia="Calibri" w:hAnsi="Calibri" w:cs="Calibri"/>
          <w:b w:val="0"/>
          <w:bCs w:val="0"/>
          <w:noProof w:val="0"/>
          <w:sz w:val="22"/>
          <w:szCs w:val="22"/>
          <w:lang w:val="en-US"/>
        </w:rPr>
        <w:t>).</w:t>
      </w:r>
      <w:r w:rsidRPr="0E715B59" w:rsidR="0E715B59">
        <w:rPr>
          <w:rFonts w:ascii="Calibri" w:eastAsia="Calibri" w:hAnsi="Calibri" w:cs="Calibri"/>
          <w:noProof w:val="0"/>
          <w:sz w:val="22"/>
          <w:szCs w:val="22"/>
          <w:lang w:val="en-US"/>
        </w:rPr>
        <w:t xml:space="preserve"> </w:t>
      </w:r>
      <w:r w:rsidRPr="0E715B59" w:rsidR="0E715B59">
        <w:rPr>
          <w:rFonts w:ascii="Calibri" w:eastAsia="Calibri" w:hAnsi="Calibri" w:cs="Calibri"/>
          <w:i/>
          <w:iCs/>
          <w:noProof w:val="0"/>
          <w:sz w:val="22"/>
          <w:szCs w:val="22"/>
          <w:lang w:val="en-US"/>
        </w:rPr>
        <w:t xml:space="preserve">T23.1.4.2 Parenteral </w:t>
      </w:r>
      <w:r w:rsidRPr="0E715B59" w:rsidR="0E715B59">
        <w:rPr>
          <w:rFonts w:ascii="Calibri" w:eastAsia="Calibri" w:hAnsi="Calibri" w:cs="Calibri"/>
          <w:i/>
          <w:iCs/>
          <w:noProof w:val="0"/>
          <w:sz w:val="22"/>
          <w:szCs w:val="22"/>
          <w:lang w:val="en-US"/>
        </w:rPr>
        <w:t>ernæring</w:t>
      </w:r>
      <w:r w:rsidRPr="0E715B59" w:rsidR="0E715B59">
        <w:rPr>
          <w:rFonts w:ascii="Calibri" w:eastAsia="Calibri" w:hAnsi="Calibri" w:cs="Calibri"/>
          <w:i/>
          <w:iCs/>
          <w:noProof w:val="0"/>
          <w:sz w:val="22"/>
          <w:szCs w:val="22"/>
          <w:lang w:val="en-US"/>
        </w:rPr>
        <w:t xml:space="preserve"> av barn</w:t>
      </w:r>
      <w:r w:rsidRPr="0E715B59" w:rsidR="0E715B59">
        <w:rPr>
          <w:rFonts w:ascii="Calibri" w:eastAsia="Calibri" w:hAnsi="Calibri" w:cs="Calibri"/>
          <w:noProof w:val="0"/>
          <w:sz w:val="22"/>
          <w:szCs w:val="22"/>
          <w:lang w:val="en-US"/>
        </w:rPr>
        <w:t xml:space="preserve">. Norsk </w:t>
      </w:r>
      <w:r w:rsidRPr="0E715B59" w:rsidR="0E715B59">
        <w:rPr>
          <w:rFonts w:ascii="Calibri" w:eastAsia="Calibri" w:hAnsi="Calibri" w:cs="Calibri"/>
          <w:noProof w:val="0"/>
          <w:sz w:val="22"/>
          <w:szCs w:val="22"/>
          <w:lang w:val="en-US"/>
        </w:rPr>
        <w:t>legemiddelhåndbok</w:t>
      </w:r>
      <w:r w:rsidRPr="0E715B59" w:rsidR="0E715B59">
        <w:rPr>
          <w:rFonts w:ascii="Calibri" w:eastAsia="Calibri" w:hAnsi="Calibri" w:cs="Calibri"/>
          <w:noProof w:val="0"/>
          <w:sz w:val="22"/>
          <w:szCs w:val="22"/>
          <w:lang w:val="en-US"/>
        </w:rPr>
        <w:t xml:space="preserve">. </w:t>
      </w:r>
      <w:hyperlink r:id="rId18">
        <w:r w:rsidRPr="0E715B59" w:rsidR="0E715B59">
          <w:rPr>
            <w:rStyle w:val="Hyperlink"/>
            <w:rFonts w:ascii="Calibri" w:eastAsia="Calibri" w:hAnsi="Calibri" w:cs="Calibri"/>
            <w:noProof w:val="0"/>
            <w:lang w:val="en-US"/>
          </w:rPr>
          <w:t>https://www.legemiddelhandboka.no/T23.1.4.2/Parenteral_ernæring_av_barn</w:t>
        </w:r>
      </w:hyperlink>
    </w:p>
    <w:p w:rsidR="00DF7BA8" w:rsidP="0E715B59" w14:paraId="53A4CD90" w14:textId="711C5B3D">
      <w:pPr>
        <w:spacing w:line="360" w:lineRule="auto"/>
        <w:ind w:left="283" w:hanging="283"/>
        <w:rPr>
          <w:rFonts w:ascii="Calibri" w:eastAsia="Calibri" w:hAnsi="Calibri" w:cs="Calibri"/>
          <w:b w:val="0"/>
          <w:bCs w:val="0"/>
          <w:noProof w:val="0"/>
          <w:lang w:val="en-US"/>
        </w:rPr>
      </w:pPr>
    </w:p>
    <w:p w:rsidR="00DF7BA8" w:rsidP="0E715B59" w14:paraId="70474497" w14:textId="653F9ABD">
      <w:pPr>
        <w:spacing w:line="360" w:lineRule="auto"/>
        <w:ind w:left="283" w:hanging="283"/>
      </w:pPr>
      <w:r w:rsidRPr="0E715B59" w:rsidR="0E715B59">
        <w:rPr>
          <w:rFonts w:ascii="Calibri" w:eastAsia="Calibri" w:hAnsi="Calibri" w:cs="Calibri"/>
          <w:b w:val="0"/>
          <w:bCs w:val="0"/>
          <w:noProof w:val="0"/>
          <w:sz w:val="22"/>
          <w:szCs w:val="22"/>
          <w:lang w:val="de-DE"/>
        </w:rPr>
        <w:t xml:space="preserve">Fresenius Kabi </w:t>
      </w:r>
      <w:r w:rsidRPr="0E715B59" w:rsidR="0E715B59">
        <w:rPr>
          <w:rFonts w:ascii="Calibri" w:eastAsia="Calibri" w:hAnsi="Calibri" w:cs="Calibri"/>
          <w:b w:val="0"/>
          <w:bCs w:val="0"/>
          <w:noProof w:val="0"/>
          <w:sz w:val="22"/>
          <w:szCs w:val="22"/>
          <w:lang w:val="de-DE"/>
        </w:rPr>
        <w:t>Norge</w:t>
      </w:r>
      <w:r w:rsidRPr="0E715B59" w:rsidR="0E715B59">
        <w:rPr>
          <w:rFonts w:ascii="Calibri" w:eastAsia="Calibri" w:hAnsi="Calibri" w:cs="Calibri"/>
          <w:b w:val="0"/>
          <w:bCs w:val="0"/>
          <w:noProof w:val="0"/>
          <w:sz w:val="22"/>
          <w:szCs w:val="22"/>
          <w:lang w:val="de-DE"/>
        </w:rPr>
        <w:t xml:space="preserve"> AS. (2024). </w:t>
      </w:r>
      <w:r w:rsidRPr="0E715B59" w:rsidR="0E715B59">
        <w:rPr>
          <w:rFonts w:ascii="Calibri" w:eastAsia="Calibri" w:hAnsi="Calibri" w:cs="Calibri"/>
          <w:i/>
          <w:iCs/>
          <w:noProof w:val="0"/>
          <w:sz w:val="22"/>
          <w:szCs w:val="22"/>
          <w:lang w:val="de-DE"/>
        </w:rPr>
        <w:t>Innholds</w:t>
      </w:r>
      <w:r w:rsidRPr="0E715B59" w:rsidR="0E715B59">
        <w:rPr>
          <w:rFonts w:ascii="Calibri" w:eastAsia="Calibri" w:hAnsi="Calibri" w:cs="Calibri"/>
          <w:i/>
          <w:iCs/>
          <w:noProof w:val="0"/>
          <w:sz w:val="22"/>
          <w:szCs w:val="22"/>
          <w:lang w:val="de-DE"/>
        </w:rPr>
        <w:t xml:space="preserve">‑ </w:t>
      </w:r>
      <w:r w:rsidRPr="0E715B59" w:rsidR="0E715B59">
        <w:rPr>
          <w:rFonts w:ascii="Calibri" w:eastAsia="Calibri" w:hAnsi="Calibri" w:cs="Calibri"/>
          <w:i/>
          <w:iCs/>
          <w:noProof w:val="0"/>
          <w:sz w:val="22"/>
          <w:szCs w:val="22"/>
          <w:lang w:val="de-DE"/>
        </w:rPr>
        <w:t>og</w:t>
      </w:r>
      <w:r w:rsidRPr="0E715B59" w:rsidR="0E715B59">
        <w:rPr>
          <w:rFonts w:ascii="Calibri" w:eastAsia="Calibri" w:hAnsi="Calibri" w:cs="Calibri"/>
          <w:i/>
          <w:iCs/>
          <w:noProof w:val="0"/>
          <w:sz w:val="22"/>
          <w:szCs w:val="22"/>
          <w:lang w:val="de-DE"/>
        </w:rPr>
        <w:t xml:space="preserve"> </w:t>
      </w:r>
      <w:r w:rsidRPr="0E715B59" w:rsidR="0E715B59">
        <w:rPr>
          <w:rFonts w:ascii="Calibri" w:eastAsia="Calibri" w:hAnsi="Calibri" w:cs="Calibri"/>
          <w:i/>
          <w:iCs/>
          <w:noProof w:val="0"/>
          <w:sz w:val="22"/>
          <w:szCs w:val="22"/>
          <w:lang w:val="de-DE"/>
        </w:rPr>
        <w:t>tilsetningsguide</w:t>
      </w:r>
      <w:r w:rsidRPr="0E715B59" w:rsidR="0E715B59">
        <w:rPr>
          <w:rFonts w:ascii="Calibri" w:eastAsia="Calibri" w:hAnsi="Calibri" w:cs="Calibri"/>
          <w:i/>
          <w:iCs/>
          <w:noProof w:val="0"/>
          <w:sz w:val="22"/>
          <w:szCs w:val="22"/>
          <w:lang w:val="de-DE"/>
        </w:rPr>
        <w:t xml:space="preserve"> – </w:t>
      </w:r>
      <w:r w:rsidRPr="0E715B59" w:rsidR="0E715B59">
        <w:rPr>
          <w:rFonts w:ascii="Calibri" w:eastAsia="Calibri" w:hAnsi="Calibri" w:cs="Calibri"/>
          <w:i/>
          <w:iCs/>
          <w:noProof w:val="0"/>
          <w:sz w:val="22"/>
          <w:szCs w:val="22"/>
          <w:lang w:val="de-DE"/>
        </w:rPr>
        <w:t>SmofKabiven</w:t>
      </w:r>
      <w:r w:rsidRPr="0E715B59" w:rsidR="0E715B59">
        <w:rPr>
          <w:rFonts w:ascii="Calibri" w:eastAsia="Calibri" w:hAnsi="Calibri" w:cs="Calibri"/>
          <w:i/>
          <w:iCs/>
          <w:noProof w:val="0"/>
          <w:sz w:val="22"/>
          <w:szCs w:val="22"/>
          <w:lang w:val="de-DE"/>
        </w:rPr>
        <w:t>®</w:t>
      </w:r>
      <w:r w:rsidRPr="0E715B59" w:rsidR="0E715B59">
        <w:rPr>
          <w:rFonts w:ascii="Calibri" w:eastAsia="Calibri" w:hAnsi="Calibri" w:cs="Calibri"/>
          <w:noProof w:val="0"/>
          <w:sz w:val="22"/>
          <w:szCs w:val="22"/>
          <w:lang w:val="de-DE"/>
        </w:rPr>
        <w:t xml:space="preserve"> [PDF]. Fresenius Kabi. </w:t>
      </w:r>
      <w:hyperlink r:id="rId19">
        <w:r w:rsidRPr="0E715B59" w:rsidR="0E715B59">
          <w:rPr>
            <w:rStyle w:val="Hyperlink"/>
            <w:rFonts w:ascii="Calibri" w:eastAsia="Calibri" w:hAnsi="Calibri" w:cs="Calibri"/>
            <w:noProof w:val="0"/>
            <w:lang w:val="de-DE"/>
          </w:rPr>
          <w:t>https://www.fresenius-kabi.com/content/dam/fresenius-kabi/no/products/product-documents/smofkabiven-smofkabivenelektrolyfri-smofkabivenperifer/innhold-tilsetningsguide-smofkabiven.pdf</w:t>
        </w:r>
      </w:hyperlink>
    </w:p>
    <w:p w:rsidR="70FF626F" w:rsidP="0E715B59" w14:paraId="2DBDEE9B" w14:textId="456689BC">
      <w:pPr>
        <w:spacing w:line="360" w:lineRule="auto"/>
        <w:ind w:left="283" w:hanging="283"/>
        <w:rPr>
          <w:rFonts w:ascii="Calibri" w:eastAsia="Calibri" w:hAnsi="Calibri" w:cs="Calibri"/>
          <w:noProof w:val="0"/>
          <w:lang w:val="de-DE"/>
        </w:rPr>
      </w:pPr>
    </w:p>
    <w:p w:rsidR="73275EAB" w:rsidP="73275EAB" w14:paraId="4D0FD067" w14:textId="06AE6E3D">
      <w:pPr>
        <w:spacing w:line="360" w:lineRule="auto"/>
        <w:ind w:left="283" w:hanging="283"/>
        <w:rPr>
          <w:rFonts w:ascii="Calibri" w:eastAsia="Calibri" w:hAnsi="Calibri" w:cs="Calibri"/>
          <w:noProof w:val="0"/>
          <w:sz w:val="22"/>
          <w:szCs w:val="22"/>
          <w:lang w:val="de-DE"/>
        </w:rPr>
      </w:pPr>
      <w:r w:rsidRPr="73275EAB">
        <w:rPr>
          <w:rFonts w:ascii="Calibri" w:eastAsia="Calibri" w:hAnsi="Calibri" w:cs="Calibri"/>
          <w:noProof w:val="0"/>
          <w:lang w:val="de-DE"/>
        </w:rPr>
        <w:t>Innsiden</w:t>
      </w:r>
      <w:r w:rsidRPr="73275EAB">
        <w:rPr>
          <w:rFonts w:ascii="Calibri" w:eastAsia="Calibri" w:hAnsi="Calibri" w:cs="Calibri"/>
          <w:noProof w:val="0"/>
          <w:lang w:val="de-DE"/>
        </w:rPr>
        <w:t xml:space="preserve"> </w:t>
      </w:r>
      <w:r w:rsidRPr="73275EAB">
        <w:rPr>
          <w:rFonts w:ascii="Calibri" w:eastAsia="Calibri" w:hAnsi="Calibri" w:cs="Calibri"/>
          <w:noProof w:val="0"/>
          <w:lang w:val="de-DE"/>
        </w:rPr>
        <w:t>Helse</w:t>
      </w:r>
      <w:r w:rsidRPr="73275EAB">
        <w:rPr>
          <w:rFonts w:ascii="Calibri" w:eastAsia="Calibri" w:hAnsi="Calibri" w:cs="Calibri"/>
          <w:noProof w:val="0"/>
          <w:lang w:val="de-DE"/>
        </w:rPr>
        <w:t xml:space="preserve"> Bergen. </w:t>
      </w:r>
      <w:r w:rsidRPr="73275EAB">
        <w:rPr>
          <w:rFonts w:ascii="Calibri" w:eastAsia="Calibri" w:hAnsi="Calibri" w:cs="Calibri"/>
          <w:i/>
          <w:iCs/>
          <w:noProof w:val="0"/>
          <w:lang w:val="de-DE"/>
        </w:rPr>
        <w:t xml:space="preserve">Legemiddelportalen i </w:t>
      </w:r>
      <w:r w:rsidRPr="73275EAB">
        <w:rPr>
          <w:rFonts w:ascii="Calibri" w:eastAsia="Calibri" w:hAnsi="Calibri" w:cs="Calibri"/>
          <w:i/>
          <w:iCs/>
          <w:noProof w:val="0"/>
          <w:lang w:val="de-DE"/>
        </w:rPr>
        <w:t>Helse</w:t>
      </w:r>
      <w:r w:rsidRPr="73275EAB">
        <w:rPr>
          <w:rFonts w:ascii="Calibri" w:eastAsia="Calibri" w:hAnsi="Calibri" w:cs="Calibri"/>
          <w:i w:val="0"/>
          <w:iCs w:val="0"/>
          <w:noProof w:val="0"/>
          <w:lang w:val="de-DE"/>
        </w:rPr>
        <w:t xml:space="preserve"> Bergen. </w:t>
      </w:r>
      <w:hyperlink r:id="rId5">
        <w:r w:rsidRPr="73275EAB">
          <w:rPr>
            <w:rStyle w:val="Hyperlink"/>
            <w:rFonts w:ascii="Calibri" w:eastAsia="Calibri" w:hAnsi="Calibri" w:cs="Calibri"/>
            <w:noProof w:val="0"/>
            <w:lang w:val="de-DE"/>
          </w:rPr>
          <w:t>Legemiddelportalen i Helse Bergen – Hjemmeside</w:t>
        </w:r>
      </w:hyperlink>
    </w:p>
    <w:p w:rsidR="73275EAB" w:rsidP="73275EAB" w14:paraId="544B70BD" w14:textId="681BD0F3">
      <w:pPr>
        <w:spacing w:line="360" w:lineRule="auto"/>
        <w:ind w:left="283" w:hanging="283"/>
        <w:rPr>
          <w:rFonts w:ascii="Calibri" w:eastAsia="Calibri" w:hAnsi="Calibri" w:cs="Calibri"/>
          <w:noProof w:val="0"/>
          <w:lang w:val="de-DE"/>
        </w:rPr>
      </w:pPr>
    </w:p>
    <w:p w:rsidR="00DF7BA8" w:rsidP="73275EAB" w14:paraId="535FBED6" w14:textId="4915F0E5">
      <w:pPr>
        <w:spacing w:line="360" w:lineRule="auto"/>
        <w:ind w:left="283" w:hanging="283"/>
        <w:rPr>
          <w:rFonts w:ascii="Calibri" w:eastAsia="Calibri" w:hAnsi="Calibri" w:cs="Calibri"/>
          <w:noProof w:val="0"/>
          <w:sz w:val="22"/>
          <w:szCs w:val="22"/>
          <w:lang w:val="de-DE"/>
        </w:rPr>
      </w:pPr>
      <w:r w:rsidRPr="73275EAB" w:rsidR="73275EAB">
        <w:rPr>
          <w:rFonts w:ascii="Calibri" w:eastAsia="Calibri" w:hAnsi="Calibri" w:cs="Calibri"/>
          <w:b w:val="0"/>
          <w:bCs w:val="0"/>
          <w:noProof w:val="0"/>
          <w:sz w:val="22"/>
          <w:szCs w:val="22"/>
          <w:lang w:val="de-DE"/>
        </w:rPr>
        <w:t xml:space="preserve">Legemidler til barn. (2017). </w:t>
      </w:r>
      <w:r w:rsidRPr="73275EAB" w:rsidR="73275EAB">
        <w:rPr>
          <w:rFonts w:ascii="Calibri" w:eastAsia="Calibri" w:hAnsi="Calibri" w:cs="Calibri"/>
          <w:i/>
          <w:iCs/>
          <w:noProof w:val="0"/>
          <w:sz w:val="22"/>
          <w:szCs w:val="22"/>
          <w:lang w:val="de-DE"/>
        </w:rPr>
        <w:t>Hendelser å lære av: Går det bra å gi flere intravenøse legemidler samtidig?</w:t>
      </w:r>
      <w:r w:rsidRPr="73275EAB" w:rsidR="73275EAB">
        <w:rPr>
          <w:rFonts w:ascii="Calibri" w:eastAsia="Calibri" w:hAnsi="Calibri" w:cs="Calibri"/>
          <w:noProof w:val="0"/>
          <w:sz w:val="22"/>
          <w:szCs w:val="22"/>
          <w:lang w:val="de-DE"/>
        </w:rPr>
        <w:t xml:space="preserve"> </w:t>
      </w:r>
      <w:hyperlink r:id="rId20">
        <w:r w:rsidRPr="73275EAB" w:rsidR="73275EAB">
          <w:rPr>
            <w:rStyle w:val="Hyperlink"/>
            <w:rFonts w:ascii="Calibri" w:eastAsia="Calibri" w:hAnsi="Calibri" w:cs="Calibri"/>
            <w:noProof w:val="0"/>
            <w:lang w:val="de-DE"/>
          </w:rPr>
          <w:t>https://www.legemidlertilbarn.no/nyheter/2017-hendelser-a-laere-av-gar-det-bra-a-gi-flere-intravenose-legemidler-samtidig</w:t>
        </w:r>
      </w:hyperlink>
    </w:p>
    <w:p w:rsidR="57FEDE8B" w:rsidP="0E715B59" w14:paraId="54CB2C83" w14:textId="299E1BB1">
      <w:pPr>
        <w:spacing w:line="360" w:lineRule="auto"/>
        <w:ind w:left="283" w:hanging="283"/>
        <w:rPr>
          <w:rFonts w:ascii="Calibri" w:eastAsia="Calibri" w:hAnsi="Calibri" w:cs="Calibri"/>
          <w:noProof w:val="0"/>
          <w:sz w:val="22"/>
          <w:szCs w:val="22"/>
          <w:lang w:val="nb-NO"/>
        </w:rPr>
      </w:pPr>
      <w:r w:rsidRPr="0E715B59" w:rsidR="0E715B59">
        <w:rPr>
          <w:rFonts w:ascii="Calibri" w:eastAsia="Calibri" w:hAnsi="Calibri" w:cs="Calibri"/>
          <w:b w:val="0"/>
          <w:bCs w:val="0"/>
          <w:noProof w:val="0"/>
          <w:sz w:val="22"/>
          <w:szCs w:val="22"/>
          <w:lang w:val="nb-NO"/>
        </w:rPr>
        <w:t xml:space="preserve">Tjora, E., Thomassen, R. A., &amp; Moltu, S. J. (2021). </w:t>
      </w:r>
      <w:r w:rsidRPr="0E715B59" w:rsidR="0E715B59">
        <w:rPr>
          <w:rFonts w:ascii="Calibri" w:eastAsia="Calibri" w:hAnsi="Calibri" w:cs="Calibri"/>
          <w:i/>
          <w:iCs/>
          <w:noProof w:val="0"/>
          <w:sz w:val="22"/>
          <w:szCs w:val="22"/>
          <w:lang w:val="nb-NO"/>
        </w:rPr>
        <w:t>5.9 Parenteral ernæring etter første levemåned</w:t>
      </w:r>
      <w:r w:rsidRPr="0E715B59" w:rsidR="0E715B59">
        <w:rPr>
          <w:rFonts w:ascii="Calibri" w:eastAsia="Calibri" w:hAnsi="Calibri" w:cs="Calibri"/>
          <w:noProof w:val="0"/>
          <w:sz w:val="22"/>
          <w:szCs w:val="22"/>
          <w:lang w:val="nb-NO"/>
        </w:rPr>
        <w:t xml:space="preserve">. I </w:t>
      </w:r>
      <w:r w:rsidRPr="0E715B59" w:rsidR="0E715B59">
        <w:rPr>
          <w:rFonts w:ascii="Calibri" w:eastAsia="Calibri" w:hAnsi="Calibri" w:cs="Calibri"/>
          <w:i/>
          <w:iCs/>
          <w:noProof w:val="0"/>
          <w:sz w:val="22"/>
          <w:szCs w:val="22"/>
          <w:lang w:val="nb-NO"/>
        </w:rPr>
        <w:t>Generell veileder i pediatri</w:t>
      </w:r>
      <w:r w:rsidRPr="0E715B59" w:rsidR="0E715B59">
        <w:rPr>
          <w:rFonts w:ascii="Calibri" w:eastAsia="Calibri" w:hAnsi="Calibri" w:cs="Calibri"/>
          <w:noProof w:val="0"/>
          <w:sz w:val="22"/>
          <w:szCs w:val="22"/>
          <w:lang w:val="nb-NO"/>
        </w:rPr>
        <w:t xml:space="preserve">. Helsebiblioteket. </w:t>
      </w:r>
      <w:hyperlink r:id="rId21">
        <w:r w:rsidRPr="0E715B59" w:rsidR="0E715B59">
          <w:rPr>
            <w:rStyle w:val="Hyperlink"/>
            <w:rFonts w:ascii="Calibri" w:eastAsia="Calibri" w:hAnsi="Calibri" w:cs="Calibri"/>
            <w:noProof w:val="0"/>
            <w:lang w:val="nb-NO"/>
          </w:rPr>
          <w:t>https://www.helsebiblioteket.no/innhold/retningslinjer/pediatri/generell-veileder-i-pediatri/5.mage-tarm-lever-og-ernaering/5.9-parenteral-ernaering-etter-forste-levemaned</w:t>
        </w:r>
      </w:hyperlink>
    </w:p>
    <w:p w:rsidR="00935DE6" w:rsidRPr="009D023B" w:rsidP="0E715B59" w14:paraId="4B3E9AF6" w14:textId="77777777">
      <w:pPr>
        <w:spacing w:line="360" w:lineRule="auto"/>
      </w:pPr>
    </w:p>
    <w:p w:rsidR="009D023B" w:rsidRPr="005F0E8F" w:rsidP="0E715B59" w14:paraId="4B3E9AF7" w14:textId="77777777">
      <w:pPr>
        <w:pStyle w:val="Heading1"/>
        <w:spacing w:line="360" w:lineRule="auto"/>
      </w:pPr>
      <w:bookmarkStart w:id="28" w:name="_Toc256000026"/>
      <w:r w:rsidR="107F0A2D">
        <w:t>Endringer siden forrige versjon</w:t>
      </w:r>
      <w:bookmarkEnd w:id="28"/>
    </w:p>
    <w:p w:rsidR="009D023B" w:rsidP="0E715B59" w14:paraId="4B3E9AF8" w14:textId="77777777">
      <w:pPr>
        <w:spacing w:line="360" w:lineRule="auto"/>
        <w:rPr>
          <w:rFonts w:cstheme="minorAscii"/>
          <w:color w:val="000080"/>
        </w:rPr>
      </w:pPr>
      <w:r w:rsidRPr="0E715B59">
        <w:rPr>
          <w:rFonts w:cstheme="minorAscii"/>
          <w:color w:val="000080"/>
        </w:rPr>
        <w:fldChar w:fldCharType="begin" w:fldLock="1"/>
      </w:r>
      <w:r w:rsidRPr="0E715B59">
        <w:rPr>
          <w:rFonts w:cstheme="minorAscii"/>
          <w:color w:val="000080"/>
        </w:rPr>
        <w:instrText xml:space="preserve"> DOCVARIABLE EK_Merknad </w:instrText>
      </w:r>
      <w:r w:rsidRPr="0E715B59">
        <w:rPr>
          <w:rFonts w:cstheme="minorAscii"/>
          <w:color w:val="000080"/>
        </w:rPr>
        <w:fldChar w:fldCharType="separate"/>
      </w:r>
      <w:r w:rsidRPr="0E715B59">
        <w:rPr>
          <w:rFonts w:cstheme="minorAscii"/>
          <w:color w:val="000080"/>
        </w:rPr>
        <w:t>[]</w:t>
      </w:r>
      <w:r w:rsidRPr="0E715B59">
        <w:rPr>
          <w:rFonts w:cstheme="minorAscii"/>
          <w:color w:val="000080"/>
        </w:rPr>
        <w:fldChar w:fldCharType="end"/>
      </w:r>
    </w:p>
    <w:p w:rsidR="009D023B" w:rsidRPr="00E754D7" w:rsidP="0E715B59" w14:paraId="4B3E9AF9" w14:textId="77777777">
      <w:pPr>
        <w:spacing w:line="360" w:lineRule="auto"/>
        <w:rPr>
          <w:rFonts w:cstheme="minorAscii"/>
          <w:color w:val="000080"/>
        </w:rPr>
      </w:pPr>
    </w:p>
    <w:sectPr w:rsidSect="00D03EED">
      <w:headerReference w:type="even" r:id="rId22"/>
      <w:headerReference w:type="default" r:id="rId23"/>
      <w:footerReference w:type="even" r:id="rId24"/>
      <w:footerReference w:type="default" r:id="rId25"/>
      <w:headerReference w:type="first" r:id="rId26"/>
      <w:footerReference w:type="first" r:id="rId27"/>
      <w:type w:val="continuous"/>
      <w:pgSz w:w="11907" w:h="16840" w:orient="portrait" w:code="9"/>
      <w:pgMar w:top="851" w:right="1418" w:bottom="851" w:left="1418" w:header="851" w:footer="454" w:gutter="0"/>
      <w:pgNumType w:start="1"/>
      <w:cols w:space="708"/>
      <w:formProt w:val="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w:tbl>
    <w:tblPr>
      <w:tblW w:w="0" w:type="auto"/>
      <w:jc w:val="center"/>
      <w:tblBorders>
        <w:top w:val="single" w:sz="4" w:space="0" w:color="auto"/>
      </w:tblBorders>
      <w:tblLayout w:type="fixed"/>
      <w:tblCellMar>
        <w:left w:w="70" w:type="dxa"/>
        <w:right w:w="70" w:type="dxa"/>
      </w:tblCellMar>
      <w:tblLook w:val="0000"/>
    </w:tblPr>
    <w:tblGrid>
      <w:gridCol w:w="4927"/>
      <w:gridCol w:w="4074"/>
    </w:tblGrid>
    <w:tr w14:paraId="4B3E9B02" w14:textId="77777777">
      <w:tblPrEx>
        <w:tblW w:w="0" w:type="auto"/>
        <w:jc w:val="center"/>
        <w:tblBorders>
          <w:top w:val="single" w:sz="4" w:space="0" w:color="auto"/>
        </w:tblBorders>
        <w:tblLayout w:type="fixed"/>
        <w:tblCellMar>
          <w:left w:w="70" w:type="dxa"/>
          <w:right w:w="70" w:type="dxa"/>
        </w:tblCellMar>
        <w:tblLook w:val="0000"/>
      </w:tblPrEx>
      <w:trPr>
        <w:trHeight w:val="128"/>
        <w:jc w:val="center"/>
      </w:trPr>
      <w:tc>
        <w:tcPr>
          <w:tcW w:w="4927" w:type="dxa"/>
          <w:tcBorders>
            <w:right w:val="single" w:sz="4" w:space="0" w:color="auto"/>
          </w:tcBorders>
        </w:tcPr>
        <w:p w:rsidR="00485214" w14:paraId="4B3E9B00" w14:textId="5864CCF2">
          <w:pPr>
            <w:pStyle w:val="Footer"/>
            <w:rPr>
              <w:sz w:val="16"/>
            </w:rPr>
          </w:pPr>
          <w:r>
            <w:rPr>
              <w:noProof/>
              <w:sz w:val="16"/>
            </w:rPr>
            <mc:AlternateContent>
              <mc:Choice Requires="wps">
                <w:drawing>
                  <wp:anchor distT="0" distB="0" distL="0" distR="0" simplePos="0" relativeHeight="251660288" behindDoc="0" locked="0" layoutInCell="1" allowOverlap="1">
                    <wp:simplePos x="0" y="0"/>
                    <wp:positionH relativeFrom="page">
                      <wp:align>left</wp:align>
                    </wp:positionH>
                    <wp:positionV relativeFrom="page">
                      <wp:align>bottom</wp:align>
                    </wp:positionV>
                    <wp:extent cx="1405255" cy="345440"/>
                    <wp:effectExtent l="0" t="0" r="4445" b="0"/>
                    <wp:wrapNone/>
                    <wp:docPr id="665727826" name="Tekstboks 2" descr="Følsomhet Intern (gul)">
                      <a:extLst xmlns:a="http://schemas.openxmlformats.org/drawingml/2006/main">
                        <a:ext xmlns:a="http://schemas.openxmlformats.org/drawingml/2006/main"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xmlns:wps="http://schemas.microsoft.com/office/word/2010/wordprocessingShape">
                          <wps:cNvSpPr txBox="1"/>
                          <wps:spPr>
                            <a:xfrm>
                              <a:off x="0" y="0"/>
                              <a:ext cx="1405255" cy="345440"/>
                            </a:xfrm>
                            <a:prstGeom prst="rect">
                              <a:avLst/>
                            </a:prstGeom>
                            <a:noFill/>
                            <a:ln>
                              <a:noFill/>
                            </a:ln>
                          </wps:spPr>
                          <wps:txbx>
                            <w:txbxContent>
                              <w:p w:rsidR="00E35541" w:rsidRPr="00E35541" w:rsidP="00E35541" w14:paraId="7FECB468" w14:textId="77777777">
                                <w:pPr>
                                  <w:rPr>
                                    <w:rFonts w:ascii="Calibri" w:eastAsia="Calibri" w:hAnsi="Calibri" w:cs="Calibri"/>
                                    <w:noProof/>
                                    <w:color w:val="000000"/>
                                    <w:sz w:val="20"/>
                                  </w:rPr>
                                </w:pPr>
                                <w:r w:rsidRPr="00E35541">
                                  <w:rPr>
                                    <w:rFonts w:ascii="Calibri" w:eastAsia="Calibri" w:hAnsi="Calibri" w:cs="Calibri"/>
                                    <w:noProof/>
                                    <w:color w:val="000000"/>
                                    <w:sz w:val="20"/>
                                  </w:rPr>
                                  <w:t>Følsomhet Intern (gul)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Tekstboks 2" o:spid="_x0000_s2049" type="#_x0000_t202" alt="Følsomhet Intern (gul)" style="width:110.65pt;height:27.2pt;margin-top:0;margin-left:0;mso-position-horizontal:left;mso-position-horizontal-relative:page;mso-position-vertical:bottom;mso-position-vertical-relative:page;mso-wrap-distance-bottom:0;mso-wrap-distance-left:0;mso-wrap-distance-right:0;mso-wrap-distance-top:0;mso-wrap-style:none;position:absolute;visibility:visible;v-text-anchor:bottom;z-index:251661312" filled="f" stroked="f">
                    <v:fill o:detectmouseclick="t"/>
                    <v:textbox style="mso-fit-shape-to-text:t" inset="20pt,0,0,15pt">
                      <w:txbxContent>
                        <w:p w:rsidR="00E35541" w:rsidRPr="00E35541" w:rsidP="00E35541" w14:paraId="102133D7" w14:textId="64CE6EC2">
                          <w:pPr>
                            <w:rPr>
                              <w:rFonts w:ascii="Calibri" w:eastAsia="Calibri" w:hAnsi="Calibri" w:cs="Calibri"/>
                              <w:noProof/>
                              <w:color w:val="000000"/>
                              <w:sz w:val="20"/>
                            </w:rPr>
                          </w:pPr>
                          <w:r w:rsidRPr="00E35541">
                            <w:rPr>
                              <w:rFonts w:ascii="Calibri" w:eastAsia="Calibri" w:hAnsi="Calibri" w:cs="Calibri"/>
                              <w:noProof/>
                              <w:color w:val="000000"/>
                              <w:sz w:val="20"/>
                            </w:rPr>
                            <w:t>Følsomhet Intern (gul)</w:t>
                          </w:r>
                        </w:p>
                      </w:txbxContent>
                    </v:textbox>
                  </v:shape>
                </w:pict>
              </mc:Fallback>
            </mc:AlternateContent>
          </w:r>
          <w:r>
            <w:rPr>
              <w:sz w:val="16"/>
            </w:rPr>
            <w:t xml:space="preserve">Side </w:t>
          </w:r>
          <w:r>
            <w:rPr>
              <w:rStyle w:val="PageNumber"/>
              <w:sz w:val="16"/>
            </w:rPr>
            <w:fldChar w:fldCharType="begin"/>
          </w:r>
          <w:r>
            <w:rPr>
              <w:rStyle w:val="PageNumber"/>
              <w:sz w:val="16"/>
            </w:rPr>
            <w:instrText xml:space="preserve"> PAGE </w:instrText>
          </w:r>
          <w:r>
            <w:rPr>
              <w:rStyle w:val="PageNumber"/>
              <w:sz w:val="16"/>
            </w:rPr>
            <w:fldChar w:fldCharType="separate"/>
          </w:r>
          <w:r w:rsidR="008A218A">
            <w:rPr>
              <w:rStyle w:val="PageNumber"/>
              <w:noProof/>
              <w:sz w:val="16"/>
            </w:rPr>
            <w:t>1</w:t>
          </w:r>
          <w:r>
            <w:rPr>
              <w:rStyle w:val="PageNumber"/>
              <w:sz w:val="16"/>
            </w:rPr>
            <w:fldChar w:fldCharType="end"/>
          </w:r>
          <w:r>
            <w:rPr>
              <w:sz w:val="16"/>
            </w:rPr>
            <w:t xml:space="preserve"> av </w:t>
          </w:r>
          <w:r>
            <w:rPr>
              <w:rStyle w:val="PageNumber"/>
              <w:sz w:val="16"/>
            </w:rPr>
            <w:fldChar w:fldCharType="begin"/>
          </w:r>
          <w:r>
            <w:rPr>
              <w:rStyle w:val="PageNumber"/>
              <w:sz w:val="16"/>
            </w:rPr>
            <w:instrText xml:space="preserve"> NUMPAGES </w:instrText>
          </w:r>
          <w:r>
            <w:rPr>
              <w:rStyle w:val="PageNumber"/>
              <w:sz w:val="16"/>
            </w:rPr>
            <w:fldChar w:fldCharType="separate"/>
          </w:r>
          <w:r w:rsidR="008A218A">
            <w:rPr>
              <w:rStyle w:val="PageNumber"/>
              <w:noProof/>
              <w:sz w:val="16"/>
            </w:rPr>
            <w:t>1</w:t>
          </w:r>
          <w:r>
            <w:rPr>
              <w:rStyle w:val="PageNumber"/>
              <w:sz w:val="16"/>
            </w:rPr>
            <w:fldChar w:fldCharType="end"/>
          </w:r>
        </w:p>
      </w:tc>
      <w:tc>
        <w:tcPr>
          <w:tcW w:w="4074" w:type="dxa"/>
          <w:tcBorders>
            <w:left w:val="single" w:sz="4" w:space="0" w:color="auto"/>
          </w:tcBorders>
        </w:tcPr>
        <w:p w:rsidR="00485214" w14:paraId="4B3E9B01" w14:textId="77777777">
          <w:pPr>
            <w:pStyle w:val="Footer"/>
            <w:rPr>
              <w:sz w:val="16"/>
            </w:rPr>
          </w:pPr>
          <w:r>
            <w:rPr>
              <w:sz w:val="16"/>
            </w:rPr>
            <w:t xml:space="preserve">Ref. nr.: </w:t>
          </w:r>
          <w:r>
            <w:rPr>
              <w:color w:val="000080"/>
              <w:sz w:val="16"/>
            </w:rPr>
            <w:fldChar w:fldCharType="begin" w:fldLock="1"/>
          </w:r>
          <w:r>
            <w:rPr>
              <w:color w:val="000080"/>
              <w:sz w:val="16"/>
            </w:rPr>
            <w:instrText xml:space="preserve"> DOCPROPERTY EK_RefNr </w:instrText>
          </w:r>
          <w:r>
            <w:rPr>
              <w:color w:val="000080"/>
              <w:sz w:val="16"/>
            </w:rPr>
            <w:fldChar w:fldCharType="separate"/>
          </w:r>
          <w:r>
            <w:rPr>
              <w:color w:val="000080"/>
              <w:sz w:val="16"/>
            </w:rPr>
            <w:t>5.3.1-24</w:t>
          </w:r>
          <w:r>
            <w:rPr>
              <w:color w:val="000080"/>
              <w:sz w:val="16"/>
            </w:rPr>
            <w:fldChar w:fldCharType="end"/>
          </w:r>
        </w:p>
      </w:tc>
    </w:tr>
  </w:tbl>
  <w:p w:rsidR="00485214" w14:paraId="4B3E9B03" w14:textId="77777777">
    <w:pPr>
      <w:pStyle w:val="Footer"/>
      <w:ind w:firstLine="70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w:tbl>
    <w:tblPr>
      <w:tblW w:w="0" w:type="auto"/>
      <w:jc w:val="center"/>
      <w:tblBorders>
        <w:top w:val="single" w:sz="4" w:space="0" w:color="auto"/>
      </w:tblBorders>
      <w:tblLayout w:type="fixed"/>
      <w:tblCellMar>
        <w:left w:w="70" w:type="dxa"/>
        <w:right w:w="70" w:type="dxa"/>
      </w:tblCellMar>
      <w:tblLook w:val="0000"/>
    </w:tblPr>
    <w:tblGrid>
      <w:gridCol w:w="1701"/>
      <w:gridCol w:w="2268"/>
      <w:gridCol w:w="3402"/>
      <w:gridCol w:w="1296"/>
    </w:tblGrid>
    <w:tr w14:paraId="4B3E9B08" w14:textId="77777777" w:rsidTr="009E1AE8">
      <w:tblPrEx>
        <w:tblW w:w="0" w:type="auto"/>
        <w:jc w:val="center"/>
        <w:tblBorders>
          <w:top w:val="single" w:sz="4" w:space="0" w:color="auto"/>
        </w:tblBorders>
        <w:tblLayout w:type="fixed"/>
        <w:tblCellMar>
          <w:left w:w="70" w:type="dxa"/>
          <w:right w:w="70" w:type="dxa"/>
        </w:tblCellMar>
        <w:tblLook w:val="0000"/>
      </w:tblPrEx>
      <w:trPr>
        <w:trHeight w:val="270"/>
        <w:jc w:val="center"/>
      </w:trPr>
      <w:tc>
        <w:tcPr>
          <w:tcW w:w="1701" w:type="dxa"/>
          <w:tcBorders>
            <w:right w:val="single" w:sz="4" w:space="0" w:color="auto"/>
          </w:tcBorders>
        </w:tcPr>
        <w:p w:rsidR="009B041D" w:rsidRPr="004568C8" w:rsidP="007E4125" w14:paraId="4B3E9B04" w14:textId="0AD9C485">
          <w:pPr>
            <w:pStyle w:val="Footer"/>
            <w:rPr>
              <w:color w:val="000080"/>
              <w:sz w:val="16"/>
            </w:rPr>
          </w:pPr>
          <w:r>
            <w:rPr>
              <w:noProof/>
              <w:sz w:val="16"/>
            </w:rPr>
            <mc:AlternateContent>
              <mc:Choice Requires="wps">
                <w:drawing>
                  <wp:anchor distT="0" distB="0" distL="0" distR="0" simplePos="0" relativeHeight="251662336" behindDoc="0" locked="0" layoutInCell="1" allowOverlap="1">
                    <wp:simplePos x="0" y="0"/>
                    <wp:positionH relativeFrom="page">
                      <wp:align>left</wp:align>
                    </wp:positionH>
                    <wp:positionV relativeFrom="page">
                      <wp:align>bottom</wp:align>
                    </wp:positionV>
                    <wp:extent cx="991235" cy="500380"/>
                    <wp:effectExtent l="0" t="0" r="18415" b="0"/>
                    <wp:wrapNone/>
                    <wp:docPr id="911443191" name="Tekstboks 3" descr="Følsomhet Intern (gul)">
                      <a:extLst xmlns:a="http://schemas.openxmlformats.org/drawingml/2006/main">
                        <a:ext xmlns:a="http://schemas.openxmlformats.org/drawingml/2006/main"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xmlns:wps="http://schemas.microsoft.com/office/word/2010/wordprocessingShape">
                          <wps:cNvSpPr txBox="1"/>
                          <wps:spPr>
                            <a:xfrm>
                              <a:off x="0" y="0"/>
                              <a:ext cx="991235" cy="500380"/>
                            </a:xfrm>
                            <a:prstGeom prst="rect">
                              <a:avLst/>
                            </a:prstGeom>
                            <a:noFill/>
                            <a:ln>
                              <a:noFill/>
                            </a:ln>
                          </wps:spPr>
                          <wps:txbx>
                            <w:txbxContent>
                              <w:p w:rsidR="00E35541" w:rsidRPr="00E35541" w:rsidP="00E35541" w14:paraId="0AA0B521" w14:textId="77777777">
                                <w:pPr>
                                  <w:rPr>
                                    <w:rFonts w:ascii="Calibri" w:eastAsia="Calibri" w:hAnsi="Calibri" w:cs="Calibri"/>
                                    <w:noProof/>
                                    <w:color w:val="000000"/>
                                    <w:sz w:val="20"/>
                                  </w:rPr>
                                </w:pPr>
                                <w:r w:rsidRPr="00E35541">
                                  <w:rPr>
                                    <w:rFonts w:ascii="Calibri" w:eastAsia="Calibri" w:hAnsi="Calibri" w:cs="Calibri"/>
                                    <w:noProof/>
                                    <w:color w:val="000000"/>
                                    <w:sz w:val="20"/>
                                  </w:rPr>
                                  <w:t>Følsomhet Intern (gul)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Tekstboks 3" o:spid="_x0000_s2050" type="#_x0000_t202" alt="Følsomhet Intern (gul)" style="width:78.05pt;height:39.4pt;margin-top:0;margin-left:0;mso-position-horizontal:left;mso-position-horizontal-relative:page;mso-position-vertical:bottom;mso-position-vertical-relative:page;mso-wrap-distance-bottom:0;mso-wrap-distance-left:0;mso-wrap-distance-right:0;mso-wrap-distance-top:0;mso-wrap-style:none;position:absolute;visibility:visible;v-text-anchor:bottom;z-index:251663360" filled="f" stroked="f">
                    <v:fill o:detectmouseclick="t"/>
                    <v:textbox style="mso-fit-shape-to-text:t" inset="20pt,0,0,15pt">
                      <w:txbxContent>
                        <w:p w:rsidR="00E35541" w:rsidRPr="00E35541" w:rsidP="00E35541" w14:paraId="7BF07474" w14:textId="52B06EBD">
                          <w:pPr>
                            <w:rPr>
                              <w:rFonts w:ascii="Calibri" w:eastAsia="Calibri" w:hAnsi="Calibri" w:cs="Calibri"/>
                              <w:noProof/>
                              <w:color w:val="000000"/>
                              <w:sz w:val="20"/>
                            </w:rPr>
                          </w:pPr>
                          <w:r w:rsidRPr="00E35541">
                            <w:rPr>
                              <w:rFonts w:ascii="Calibri" w:eastAsia="Calibri" w:hAnsi="Calibri" w:cs="Calibri"/>
                              <w:noProof/>
                              <w:color w:val="000000"/>
                              <w:sz w:val="20"/>
                            </w:rPr>
                            <w:t>Følsomhet Intern (gul)</w:t>
                          </w:r>
                        </w:p>
                      </w:txbxContent>
                    </v:textbox>
                  </v:shape>
                </w:pict>
              </mc:Fallback>
            </mc:AlternateContent>
          </w:r>
          <w:r>
            <w:rPr>
              <w:sz w:val="16"/>
            </w:rPr>
            <w:t xml:space="preserve">Dok.id: </w:t>
          </w:r>
          <w:r>
            <w:rPr>
              <w:color w:val="000080"/>
              <w:sz w:val="16"/>
            </w:rPr>
            <w:fldChar w:fldCharType="begin" w:fldLock="1"/>
          </w:r>
          <w:r>
            <w:rPr>
              <w:color w:val="000080"/>
              <w:sz w:val="16"/>
            </w:rPr>
            <w:instrText xml:space="preserve"> DOCPROPERTY EK_DokumentID </w:instrText>
          </w:r>
          <w:r>
            <w:rPr>
              <w:color w:val="000080"/>
              <w:sz w:val="16"/>
            </w:rPr>
            <w:fldChar w:fldCharType="separate"/>
          </w:r>
          <w:r>
            <w:rPr>
              <w:color w:val="000080"/>
              <w:sz w:val="16"/>
            </w:rPr>
            <w:t>D83877</w:t>
          </w:r>
          <w:r>
            <w:rPr>
              <w:color w:val="000080"/>
              <w:sz w:val="16"/>
            </w:rPr>
            <w:fldChar w:fldCharType="end"/>
          </w:r>
        </w:p>
      </w:tc>
      <w:tc>
        <w:tcPr>
          <w:tcW w:w="2268" w:type="dxa"/>
          <w:tcBorders>
            <w:right w:val="single" w:sz="4" w:space="0" w:color="auto"/>
          </w:tcBorders>
        </w:tcPr>
        <w:p w:rsidR="009B041D" w:rsidRPr="009B041D" w:rsidP="007E4125" w14:paraId="4B3E9B05" w14:textId="77777777">
          <w:pPr>
            <w:pStyle w:val="Footer"/>
            <w:rPr>
              <w:color w:val="000080"/>
              <w:sz w:val="16"/>
            </w:rPr>
          </w:pPr>
          <w:r>
            <w:rPr>
              <w:color w:val="000080"/>
              <w:sz w:val="16"/>
            </w:rPr>
            <w:t xml:space="preserve">Ref.nr: </w:t>
          </w:r>
          <w:r>
            <w:rPr>
              <w:color w:val="000080"/>
              <w:sz w:val="16"/>
            </w:rPr>
            <w:fldChar w:fldCharType="begin" w:fldLock="1"/>
          </w:r>
          <w:r>
            <w:rPr>
              <w:color w:val="000080"/>
              <w:sz w:val="16"/>
            </w:rPr>
            <w:instrText xml:space="preserve"> DOCPROPERTY EK_RefNr </w:instrText>
          </w:r>
          <w:r>
            <w:rPr>
              <w:color w:val="000080"/>
              <w:sz w:val="16"/>
            </w:rPr>
            <w:fldChar w:fldCharType="separate"/>
          </w:r>
          <w:r>
            <w:rPr>
              <w:color w:val="000080"/>
              <w:sz w:val="16"/>
            </w:rPr>
            <w:t>5.3.1-24</w:t>
          </w:r>
          <w:r>
            <w:rPr>
              <w:color w:val="000080"/>
              <w:sz w:val="16"/>
            </w:rPr>
            <w:fldChar w:fldCharType="end"/>
          </w:r>
        </w:p>
      </w:tc>
      <w:tc>
        <w:tcPr>
          <w:tcW w:w="3402" w:type="dxa"/>
          <w:tcBorders>
            <w:left w:val="single" w:sz="4" w:space="0" w:color="auto"/>
            <w:right w:val="single" w:sz="4" w:space="0" w:color="auto"/>
          </w:tcBorders>
        </w:tcPr>
        <w:p w:rsidR="009B041D" w:rsidRPr="00D320CC" w:rsidP="007E4125" w14:paraId="4B3E9B06" w14:textId="77777777">
          <w:pPr>
            <w:pStyle w:val="Footer"/>
            <w:jc w:val="center"/>
            <w:rPr>
              <w:color w:val="000080"/>
              <w:sz w:val="16"/>
            </w:rPr>
          </w:pPr>
          <w:r>
            <w:rPr>
              <w:color w:val="000080"/>
              <w:sz w:val="16"/>
            </w:rPr>
            <w:fldChar w:fldCharType="begin" w:fldLock="1"/>
          </w:r>
          <w:r>
            <w:rPr>
              <w:color w:val="000080"/>
              <w:sz w:val="16"/>
            </w:rPr>
            <w:instrText xml:space="preserve"> DOCPROPERTY EK_EKPrintMerke </w:instrText>
          </w:r>
          <w:r>
            <w:rPr>
              <w:color w:val="000080"/>
              <w:sz w:val="16"/>
            </w:rPr>
            <w:fldChar w:fldCharType="separate"/>
          </w:r>
          <w:r>
            <w:rPr>
              <w:color w:val="000080"/>
              <w:sz w:val="16"/>
            </w:rPr>
            <w:t>Uoffisiell utskrift er kun gyldig på utskriftsdato</w:t>
          </w:r>
          <w:r>
            <w:rPr>
              <w:color w:val="000080"/>
              <w:sz w:val="16"/>
            </w:rPr>
            <w:fldChar w:fldCharType="end"/>
          </w:r>
        </w:p>
      </w:tc>
      <w:tc>
        <w:tcPr>
          <w:tcW w:w="1296" w:type="dxa"/>
          <w:tcBorders>
            <w:left w:val="single" w:sz="4" w:space="0" w:color="auto"/>
          </w:tcBorders>
        </w:tcPr>
        <w:p w:rsidR="009B041D" w:rsidP="007E4125" w14:paraId="4B3E9B07" w14:textId="77777777">
          <w:pPr>
            <w:pStyle w:val="Footer"/>
            <w:jc w:val="right"/>
            <w:rPr>
              <w:sz w:val="16"/>
            </w:rPr>
          </w:pPr>
          <w:r>
            <w:rPr>
              <w:sz w:val="16"/>
            </w:rPr>
            <w:t xml:space="preserve">Side </w:t>
          </w:r>
          <w:r>
            <w:rPr>
              <w:rStyle w:val="PageNumber"/>
              <w:sz w:val="16"/>
            </w:rPr>
            <w:fldChar w:fldCharType="begin"/>
          </w:r>
          <w:r>
            <w:rPr>
              <w:rStyle w:val="PageNumber"/>
              <w:sz w:val="16"/>
            </w:rPr>
            <w:instrText xml:space="preserve"> PAGE </w:instrText>
          </w:r>
          <w:r>
            <w:rPr>
              <w:rStyle w:val="PageNumber"/>
              <w:sz w:val="16"/>
            </w:rPr>
            <w:fldChar w:fldCharType="separate"/>
          </w:r>
          <w:r>
            <w:rPr>
              <w:rStyle w:val="PageNumber"/>
              <w:rFonts w:asciiTheme="minorHAnsi" w:hAnsiTheme="minorHAnsi"/>
              <w:sz w:val="16"/>
              <w:lang w:val="nb-NO" w:eastAsia="nb-NO" w:bidi="ar-SA"/>
            </w:rPr>
            <w:t>10</w:t>
          </w:r>
          <w:r>
            <w:rPr>
              <w:rStyle w:val="PageNumber"/>
              <w:sz w:val="16"/>
            </w:rPr>
            <w:fldChar w:fldCharType="end"/>
          </w:r>
          <w:r>
            <w:rPr>
              <w:sz w:val="16"/>
            </w:rPr>
            <w:t xml:space="preserve"> av </w:t>
          </w:r>
          <w:r>
            <w:rPr>
              <w:rStyle w:val="PageNumber"/>
              <w:sz w:val="16"/>
            </w:rPr>
            <w:fldChar w:fldCharType="begin"/>
          </w:r>
          <w:r>
            <w:rPr>
              <w:rStyle w:val="PageNumber"/>
              <w:sz w:val="16"/>
            </w:rPr>
            <w:instrText xml:space="preserve"> NUMPAGES </w:instrText>
          </w:r>
          <w:r>
            <w:rPr>
              <w:rStyle w:val="PageNumber"/>
              <w:sz w:val="16"/>
            </w:rPr>
            <w:fldChar w:fldCharType="separate"/>
          </w:r>
          <w:r>
            <w:rPr>
              <w:rStyle w:val="PageNumber"/>
              <w:sz w:val="16"/>
            </w:rPr>
            <w:t>10</w:t>
          </w:r>
          <w:r>
            <w:rPr>
              <w:rStyle w:val="PageNumber"/>
              <w:sz w:val="16"/>
            </w:rPr>
            <w:fldChar w:fldCharType="end"/>
          </w:r>
        </w:p>
      </w:tc>
    </w:tr>
  </w:tbl>
  <w:p w:rsidR="00B24A00" w:rsidRPr="009E0D59" w:rsidP="00B24A00" w14:paraId="4B3E9B09" w14:textId="77777777">
    <w:pPr>
      <w:pStyle w:val="Footer"/>
      <w:rPr>
        <w:color w:val="FFFFFF"/>
        <w:sz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w:tbl>
    <w:tblPr>
      <w:tblW w:w="8478" w:type="dxa"/>
      <w:jc w:val="center"/>
      <w:tblBorders>
        <w:top w:val="single" w:sz="4" w:space="0" w:color="auto"/>
      </w:tblBorders>
      <w:tblLayout w:type="fixed"/>
      <w:tblCellMar>
        <w:left w:w="70" w:type="dxa"/>
        <w:right w:w="70" w:type="dxa"/>
      </w:tblCellMar>
      <w:tblLook w:val="0000"/>
    </w:tblPr>
    <w:tblGrid>
      <w:gridCol w:w="2268"/>
      <w:gridCol w:w="4395"/>
      <w:gridCol w:w="1815"/>
    </w:tblGrid>
    <w:tr w14:paraId="4B3E9B1D" w14:textId="77777777" w:rsidTr="004B40D7">
      <w:tblPrEx>
        <w:tblW w:w="8478" w:type="dxa"/>
        <w:jc w:val="center"/>
        <w:tblBorders>
          <w:top w:val="single" w:sz="4" w:space="0" w:color="auto"/>
        </w:tblBorders>
        <w:tblLayout w:type="fixed"/>
        <w:tblCellMar>
          <w:left w:w="70" w:type="dxa"/>
          <w:right w:w="70" w:type="dxa"/>
        </w:tblCellMar>
        <w:tblLook w:val="0000"/>
      </w:tblPrEx>
      <w:trPr>
        <w:trHeight w:val="394"/>
        <w:jc w:val="center"/>
      </w:trPr>
      <w:tc>
        <w:tcPr>
          <w:tcW w:w="2268" w:type="dxa"/>
          <w:tcBorders>
            <w:right w:val="single" w:sz="4" w:space="0" w:color="auto"/>
          </w:tcBorders>
        </w:tcPr>
        <w:p w:rsidR="004B40D7" w:rsidRPr="009B041D" w:rsidP="007E4125" w14:paraId="4B3E9B1A" w14:textId="01CEDCED">
          <w:pPr>
            <w:pStyle w:val="Footer"/>
            <w:rPr>
              <w:color w:val="000080"/>
              <w:sz w:val="16"/>
            </w:rPr>
          </w:pPr>
          <w:r>
            <w:rPr>
              <w:color w:val="000080"/>
              <w:sz w:val="16"/>
            </w:rPr>
            <w:t xml:space="preserve">Ref.nr: </w:t>
          </w:r>
          <w:r>
            <w:rPr>
              <w:color w:val="000080"/>
              <w:sz w:val="16"/>
            </w:rPr>
            <w:fldChar w:fldCharType="begin" w:fldLock="1"/>
          </w:r>
          <w:r>
            <w:rPr>
              <w:color w:val="000080"/>
              <w:sz w:val="16"/>
            </w:rPr>
            <w:instrText xml:space="preserve"> DOCPROPERTY EK_RefNr </w:instrText>
          </w:r>
          <w:r>
            <w:rPr>
              <w:color w:val="000080"/>
              <w:sz w:val="16"/>
            </w:rPr>
            <w:fldChar w:fldCharType="separate"/>
          </w:r>
          <w:r>
            <w:rPr>
              <w:color w:val="000080"/>
              <w:sz w:val="16"/>
            </w:rPr>
            <w:t>5.3.1-24</w:t>
          </w:r>
          <w:r>
            <w:rPr>
              <w:color w:val="000080"/>
              <w:sz w:val="16"/>
            </w:rPr>
            <w:fldChar w:fldCharType="end"/>
          </w:r>
        </w:p>
      </w:tc>
      <w:tc>
        <w:tcPr>
          <w:tcW w:w="4395" w:type="dxa"/>
          <w:tcBorders>
            <w:left w:val="single" w:sz="4" w:space="0" w:color="auto"/>
            <w:right w:val="single" w:sz="4" w:space="0" w:color="auto"/>
          </w:tcBorders>
        </w:tcPr>
        <w:p w:rsidR="004B40D7" w:rsidRPr="00D320CC" w:rsidP="007E4125" w14:paraId="4B3E9B1B" w14:textId="77777777">
          <w:pPr>
            <w:pStyle w:val="Footer"/>
            <w:jc w:val="center"/>
            <w:rPr>
              <w:color w:val="000080"/>
              <w:sz w:val="16"/>
            </w:rPr>
          </w:pPr>
          <w:r>
            <w:rPr>
              <w:color w:val="000080"/>
              <w:sz w:val="16"/>
            </w:rPr>
            <w:fldChar w:fldCharType="begin" w:fldLock="1"/>
          </w:r>
          <w:r>
            <w:rPr>
              <w:color w:val="000080"/>
              <w:sz w:val="16"/>
            </w:rPr>
            <w:instrText xml:space="preserve"> DOCPROPERTY EK_EKPrintMerke </w:instrText>
          </w:r>
          <w:r>
            <w:rPr>
              <w:color w:val="000080"/>
              <w:sz w:val="16"/>
            </w:rPr>
            <w:fldChar w:fldCharType="separate"/>
          </w:r>
          <w:r>
            <w:rPr>
              <w:color w:val="000080"/>
              <w:sz w:val="16"/>
            </w:rPr>
            <w:t>Uoffisiell utskrift er kun gyldig på utskriftsdato</w:t>
          </w:r>
          <w:r>
            <w:rPr>
              <w:color w:val="000080"/>
              <w:sz w:val="16"/>
            </w:rPr>
            <w:fldChar w:fldCharType="end"/>
          </w:r>
        </w:p>
      </w:tc>
      <w:tc>
        <w:tcPr>
          <w:tcW w:w="1815" w:type="dxa"/>
          <w:tcBorders>
            <w:left w:val="single" w:sz="4" w:space="0" w:color="auto"/>
          </w:tcBorders>
        </w:tcPr>
        <w:p w:rsidR="004B40D7" w:rsidP="007E4125" w14:paraId="4B3E9B1C" w14:textId="77777777">
          <w:pPr>
            <w:pStyle w:val="Footer"/>
            <w:jc w:val="right"/>
            <w:rPr>
              <w:sz w:val="16"/>
            </w:rPr>
          </w:pPr>
          <w:r>
            <w:rPr>
              <w:sz w:val="16"/>
            </w:rPr>
            <w:t xml:space="preserve">Side </w:t>
          </w:r>
          <w:r>
            <w:rPr>
              <w:rStyle w:val="PageNumber"/>
              <w:sz w:val="16"/>
            </w:rPr>
            <w:fldChar w:fldCharType="begin"/>
          </w:r>
          <w:r>
            <w:rPr>
              <w:rStyle w:val="PageNumber"/>
              <w:sz w:val="16"/>
            </w:rPr>
            <w:instrText xml:space="preserve"> PAGE </w:instrText>
          </w:r>
          <w:r>
            <w:rPr>
              <w:rStyle w:val="PageNumber"/>
              <w:sz w:val="16"/>
            </w:rPr>
            <w:fldChar w:fldCharType="separate"/>
          </w:r>
          <w:r>
            <w:rPr>
              <w:rStyle w:val="PageNumber"/>
              <w:rFonts w:asciiTheme="minorHAnsi" w:hAnsiTheme="minorHAnsi"/>
              <w:sz w:val="16"/>
              <w:lang w:val="nb-NO" w:eastAsia="nb-NO" w:bidi="ar-SA"/>
            </w:rPr>
            <w:t>1</w:t>
          </w:r>
          <w:r>
            <w:rPr>
              <w:rStyle w:val="PageNumber"/>
              <w:sz w:val="16"/>
            </w:rPr>
            <w:fldChar w:fldCharType="end"/>
          </w:r>
          <w:r>
            <w:rPr>
              <w:sz w:val="16"/>
            </w:rPr>
            <w:t xml:space="preserve"> av </w:t>
          </w:r>
          <w:r>
            <w:rPr>
              <w:rStyle w:val="PageNumber"/>
              <w:sz w:val="16"/>
            </w:rPr>
            <w:fldChar w:fldCharType="begin"/>
          </w:r>
          <w:r>
            <w:rPr>
              <w:rStyle w:val="PageNumber"/>
              <w:sz w:val="16"/>
            </w:rPr>
            <w:instrText xml:space="preserve"> NUMPAGES </w:instrText>
          </w:r>
          <w:r>
            <w:rPr>
              <w:rStyle w:val="PageNumber"/>
              <w:sz w:val="16"/>
            </w:rPr>
            <w:fldChar w:fldCharType="separate"/>
          </w:r>
          <w:r>
            <w:rPr>
              <w:rStyle w:val="PageNumber"/>
              <w:sz w:val="16"/>
            </w:rPr>
            <w:t>10</w:t>
          </w:r>
          <w:r>
            <w:rPr>
              <w:rStyle w:val="PageNumber"/>
              <w:sz w:val="16"/>
            </w:rPr>
            <w:fldChar w:fldCharType="end"/>
          </w:r>
        </w:p>
      </w:tc>
    </w:tr>
  </w:tbl>
  <w:p w:rsidR="00B24A00" w:rsidP="00B24A00" w14:paraId="4B3E9B1E" w14:textId="77FE0FCA">
    <w:pPr>
      <w:pStyle w:val="Footer"/>
      <w:rPr>
        <w:color w:val="FFFFFF"/>
        <w:sz w:val="16"/>
      </w:rPr>
    </w:pPr>
    <w:r>
      <w:rPr>
        <w:noProof/>
        <w:color w:val="000080"/>
        <w:sz w:val="16"/>
      </w:rPr>
      <mc:AlternateContent>
        <mc:Choice Requires="wps">
          <w:drawing>
            <wp:anchor distT="0" distB="0" distL="0" distR="0" simplePos="0" relativeHeight="251658240" behindDoc="0" locked="0" layoutInCell="1" allowOverlap="1">
              <wp:simplePos x="0" y="0"/>
              <wp:positionH relativeFrom="page">
                <wp:posOffset>878840</wp:posOffset>
              </wp:positionH>
              <wp:positionV relativeFrom="page">
                <wp:posOffset>10151745</wp:posOffset>
              </wp:positionV>
              <wp:extent cx="1351280" cy="500380"/>
              <wp:effectExtent l="0" t="0" r="6350" b="0"/>
              <wp:wrapNone/>
              <wp:docPr id="613900499" name="Tekstboks 1" descr="Følsomhet Intern (gul)">
                <a:extLst xmlns:a="http://schemas.openxmlformats.org/drawingml/2006/main">
                  <a:ext xmlns:a="http://schemas.openxmlformats.org/drawingml/2006/main"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xmlns:wps="http://schemas.microsoft.com/office/word/2010/wordprocessingShape">
                    <wps:cNvSpPr txBox="1"/>
                    <wps:spPr>
                      <a:xfrm>
                        <a:off x="0" y="0"/>
                        <a:ext cx="1351280" cy="500380"/>
                      </a:xfrm>
                      <a:prstGeom prst="rect">
                        <a:avLst/>
                      </a:prstGeom>
                      <a:noFill/>
                      <a:ln>
                        <a:noFill/>
                      </a:ln>
                    </wps:spPr>
                    <wps:txbx>
                      <w:txbxContent>
                        <w:p w:rsidR="00E35541" w:rsidRPr="006D516B" w:rsidP="00E35541" w14:paraId="4E76F9D5" w14:textId="77777777">
                          <w:pPr>
                            <w:rPr>
                              <w:rFonts w:ascii="Calibri" w:eastAsia="Calibri" w:hAnsi="Calibri" w:cs="Calibri"/>
                              <w:noProof/>
                              <w:color w:val="000000"/>
                              <w:sz w:val="16"/>
                              <w:szCs w:val="16"/>
                            </w:rPr>
                          </w:pPr>
                          <w:r w:rsidRPr="006D516B">
                            <w:rPr>
                              <w:rFonts w:ascii="Calibri" w:eastAsia="Calibri" w:hAnsi="Calibri" w:cs="Calibri"/>
                              <w:noProof/>
                              <w:color w:val="000000"/>
                              <w:sz w:val="16"/>
                              <w:szCs w:val="16"/>
                            </w:rPr>
                            <w:t>Følsomhet Intern (gul)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Tekstboks 1" o:spid="_x0000_s2051" type="#_x0000_t202" alt="Følsomhet Intern (gul)" style="width:106.4pt;height:39.4pt;margin-top:799.35pt;margin-left:69.2pt;mso-position-horizontal-relative:page;mso-position-vertical-relative:page;mso-wrap-distance-bottom:0;mso-wrap-distance-left:0;mso-wrap-distance-right:0;mso-wrap-distance-top:0;mso-wrap-style:none;position:absolute;visibility:visible;v-text-anchor:bottom;z-index:251659264" filled="f" stroked="f">
              <v:textbox style="mso-fit-shape-to-text:t" inset="20pt,0,0,15pt">
                <w:txbxContent>
                  <w:p w:rsidR="00E35541" w:rsidRPr="006D516B" w:rsidP="00E35541" w14:paraId="2217F70B" w14:textId="77777777">
                    <w:pPr>
                      <w:rPr>
                        <w:rFonts w:ascii="Calibri" w:eastAsia="Calibri" w:hAnsi="Calibri" w:cs="Calibri"/>
                        <w:noProof/>
                        <w:color w:val="000000"/>
                        <w:sz w:val="16"/>
                        <w:szCs w:val="16"/>
                      </w:rPr>
                    </w:pPr>
                    <w:r w:rsidRPr="006D516B">
                      <w:rPr>
                        <w:rFonts w:ascii="Calibri" w:eastAsia="Calibri" w:hAnsi="Calibri" w:cs="Calibri"/>
                        <w:noProof/>
                        <w:color w:val="000000"/>
                        <w:sz w:val="16"/>
                        <w:szCs w:val="16"/>
                      </w:rPr>
                      <w:t>Følsomhet Intern (gul)</w:t>
                    </w:r>
                  </w:p>
                </w:txbxContent>
              </v:textbox>
            </v:shape>
          </w:pict>
        </mc:Fallback>
      </mc:AlternateContent>
    </w:r>
    <w:r>
      <w:rPr>
        <w:color w:val="FFFFFF"/>
        <w:sz w:val="16"/>
      </w:rPr>
      <w:t xml:space="preserve">Bedriftsnavn: </w:t>
    </w:r>
    <w:r>
      <w:rPr>
        <w:color w:val="FFFFFF"/>
        <w:sz w:val="16"/>
      </w:rPr>
      <w:fldChar w:fldCharType="begin" w:fldLock="1"/>
    </w:r>
    <w:r>
      <w:rPr>
        <w:color w:val="FFFFFF"/>
        <w:sz w:val="16"/>
      </w:rPr>
      <w:instrText xml:space="preserve"> DOCPROPERTY EK_Bedriftsnavn </w:instrText>
    </w:r>
    <w:r>
      <w:rPr>
        <w:color w:val="FFFFFF"/>
        <w:sz w:val="16"/>
      </w:rPr>
      <w:fldChar w:fldCharType="separate"/>
    </w:r>
    <w:r>
      <w:rPr>
        <w:color w:val="FFFFFF"/>
        <w:sz w:val="16"/>
      </w:rPr>
      <w:t>Helse Bergen</w:t>
    </w:r>
    <w:r>
      <w:rPr>
        <w:color w:val="FFFFFF"/>
        <w:sz w:val="16"/>
      </w:rP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w:p w:rsidR="00485214" w:rsidRPr="00D03EED" w:rsidP="00D03EED" w14:paraId="4B3E9AFA" w14:textId="77777777">
    <w:pPr>
      <w:pStyle w:val="Header"/>
      <w:rPr>
        <w:color w:val="000080"/>
      </w:rPr>
    </w:pPr>
    <w:r>
      <w:rPr>
        <w:color w:val="000080"/>
      </w:rPr>
      <w:fldChar w:fldCharType="begin" w:fldLock="1"/>
    </w:r>
    <w:r>
      <w:rPr>
        <w:color w:val="000080"/>
      </w:rPr>
      <w:instrText xml:space="preserve"> DOCPROPERTY EK_Bedriftsnavn </w:instrText>
    </w:r>
    <w:r>
      <w:rPr>
        <w:color w:val="000080"/>
      </w:rPr>
      <w:fldChar w:fldCharType="separate"/>
    </w:r>
    <w:r>
      <w:rPr>
        <w:color w:val="000080"/>
      </w:rPr>
      <w:t>Helse Bergen</w:t>
    </w:r>
    <w:r>
      <w:rPr>
        <w:color w:val="000080"/>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w:tbl>
    <w:tblPr>
      <w:tblW w:w="0" w:type="auto"/>
      <w:tblInd w:w="70" w:type="dxa"/>
      <w:tblBorders>
        <w:top w:val="single" w:sz="4" w:space="0" w:color="auto"/>
        <w:insideH w:val="single" w:sz="4" w:space="0" w:color="auto"/>
        <w:insideV w:val="single" w:sz="4" w:space="0" w:color="auto"/>
      </w:tblBorders>
      <w:tblLayout w:type="fixed"/>
      <w:tblCellMar>
        <w:left w:w="70" w:type="dxa"/>
        <w:right w:w="70" w:type="dxa"/>
      </w:tblCellMar>
      <w:tblLook w:val="0000"/>
    </w:tblPr>
    <w:tblGrid>
      <w:gridCol w:w="8010"/>
      <w:gridCol w:w="992"/>
    </w:tblGrid>
    <w:tr w14:paraId="4B3E9AFE" w14:textId="77777777">
      <w:tblPrEx>
        <w:tblW w:w="0" w:type="auto"/>
        <w:tblInd w:w="70" w:type="dxa"/>
        <w:tblBorders>
          <w:top w:val="single" w:sz="4" w:space="0" w:color="auto"/>
          <w:insideH w:val="single" w:sz="4" w:space="0" w:color="auto"/>
          <w:insideV w:val="single" w:sz="4" w:space="0" w:color="auto"/>
        </w:tblBorders>
        <w:tblLayout w:type="fixed"/>
        <w:tblCellMar>
          <w:left w:w="70" w:type="dxa"/>
          <w:right w:w="70" w:type="dxa"/>
        </w:tblCellMar>
        <w:tblLook w:val="0000"/>
      </w:tblPrEx>
      <w:trPr>
        <w:trHeight w:val="576"/>
      </w:trPr>
      <w:tc>
        <w:tcPr>
          <w:tcW w:w="8010" w:type="dxa"/>
          <w:tcBorders>
            <w:top w:val="single" w:sz="4" w:space="0" w:color="auto"/>
            <w:left w:val="single" w:sz="4" w:space="0" w:color="auto"/>
            <w:bottom w:val="single" w:sz="4" w:space="0" w:color="auto"/>
          </w:tcBorders>
          <w:vAlign w:val="bottom"/>
        </w:tcPr>
        <w:p w:rsidR="00485214" w14:paraId="4B3E9AFB" w14:textId="77777777">
          <w:pPr>
            <w:pStyle w:val="Header"/>
            <w:jc w:val="center"/>
            <w:rPr>
              <w:sz w:val="28"/>
            </w:rPr>
          </w:pPr>
          <w:r>
            <w:rPr>
              <w:sz w:val="28"/>
            </w:rPr>
            <w:fldChar w:fldCharType="begin" w:fldLock="1"/>
          </w:r>
          <w:r>
            <w:rPr>
              <w:color w:val="000080"/>
              <w:sz w:val="28"/>
            </w:rPr>
            <w:instrText xml:space="preserve"> DOCPROPERTY EK_DokTittel </w:instrText>
          </w:r>
          <w:r>
            <w:rPr>
              <w:sz w:val="28"/>
            </w:rPr>
            <w:fldChar w:fldCharType="separate"/>
          </w:r>
          <w:r>
            <w:rPr>
              <w:color w:val="000080"/>
              <w:sz w:val="28"/>
            </w:rPr>
            <w:t>Parenteral ernæring. BUK, Barn &lt; 18 år</w:t>
          </w:r>
          <w:r>
            <w:rPr>
              <w:sz w:val="28"/>
            </w:rPr>
            <w:fldChar w:fldCharType="end"/>
          </w:r>
        </w:p>
      </w:tc>
      <w:tc>
        <w:tcPr>
          <w:tcW w:w="992" w:type="dxa"/>
          <w:tcBorders>
            <w:bottom w:val="single" w:sz="4" w:space="0" w:color="auto"/>
            <w:right w:val="single" w:sz="4" w:space="0" w:color="auto"/>
          </w:tcBorders>
        </w:tcPr>
        <w:p w:rsidR="00485214" w14:paraId="4B3E9AFC" w14:textId="77777777">
          <w:pPr>
            <w:pStyle w:val="Header"/>
            <w:jc w:val="left"/>
            <w:rPr>
              <w:sz w:val="12"/>
            </w:rPr>
          </w:pPr>
        </w:p>
        <w:p w:rsidR="00485214" w14:paraId="4B3E9AFD" w14:textId="77777777">
          <w:pPr>
            <w:pStyle w:val="Header"/>
            <w:jc w:val="left"/>
            <w:rPr>
              <w:sz w:val="28"/>
            </w:rPr>
          </w:pPr>
          <w:r>
            <w:rPr>
              <w:sz w:val="16"/>
            </w:rPr>
            <w:t xml:space="preserve">Versjon: </w:t>
          </w:r>
          <w:r>
            <w:rPr>
              <w:sz w:val="16"/>
            </w:rPr>
            <w:fldChar w:fldCharType="begin" w:fldLock="1"/>
          </w:r>
          <w:r>
            <w:rPr>
              <w:color w:val="000080"/>
              <w:sz w:val="16"/>
            </w:rPr>
            <w:instrText xml:space="preserve"> DOCPROPERTY EK_Utgave </w:instrText>
          </w:r>
          <w:r>
            <w:rPr>
              <w:sz w:val="16"/>
            </w:rPr>
            <w:fldChar w:fldCharType="separate"/>
          </w:r>
          <w:r>
            <w:rPr>
              <w:color w:val="000080"/>
              <w:sz w:val="16"/>
            </w:rPr>
            <w:t>1.00</w:t>
          </w:r>
          <w:r>
            <w:rPr>
              <w:sz w:val="16"/>
            </w:rPr>
            <w:fldChar w:fldCharType="end"/>
          </w:r>
        </w:p>
      </w:tc>
    </w:tr>
  </w:tbl>
  <w:p w:rsidR="00485214" w14:paraId="4B3E9AFF"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w:tbl>
    <w:tblPr>
      <w:tblW w:w="96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1859"/>
      <w:gridCol w:w="4940"/>
      <w:gridCol w:w="2879"/>
    </w:tblGrid>
    <w:tr w14:paraId="4B3E9B0C" w14:textId="77777777" w:rsidTr="009D023B">
      <w:tblPrEx>
        <w:tblW w:w="96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Ex>
      <w:trPr>
        <w:cantSplit/>
        <w:trHeight w:val="465"/>
      </w:trPr>
      <w:tc>
        <w:tcPr>
          <w:tcW w:w="1859" w:type="dxa"/>
          <w:vAlign w:val="center"/>
        </w:tcPr>
        <w:p w:rsidR="00485214" w14:paraId="4B3E9B0A" w14:textId="77777777">
          <w:pPr>
            <w:pStyle w:val="Header"/>
            <w:jc w:val="center"/>
            <w:rPr>
              <w:sz w:val="16"/>
            </w:rPr>
          </w:pPr>
          <w:r>
            <w:rPr>
              <w:noProof/>
              <w:sz w:val="16"/>
            </w:rPr>
            <w:drawing>
              <wp:inline distT="0" distB="0" distL="0" distR="0">
                <wp:extent cx="1091565" cy="208915"/>
                <wp:effectExtent l="0" t="0" r="0" b="635"/>
                <wp:docPr id="1"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bhf.png"/>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1091565" cy="208915"/>
                        </a:xfrm>
                        <a:prstGeom prst="rect">
                          <a:avLst/>
                        </a:prstGeom>
                      </pic:spPr>
                    </pic:pic>
                  </a:graphicData>
                </a:graphic>
              </wp:inline>
            </w:drawing>
          </w:r>
        </w:p>
      </w:tc>
      <w:tc>
        <w:tcPr>
          <w:tcW w:w="7819" w:type="dxa"/>
          <w:gridSpan w:val="2"/>
          <w:vAlign w:val="bottom"/>
        </w:tcPr>
        <w:p w:rsidR="00485214" w14:paraId="4B3E9B0B" w14:textId="77777777">
          <w:pPr>
            <w:pStyle w:val="Header"/>
            <w:jc w:val="center"/>
            <w:rPr>
              <w:sz w:val="28"/>
            </w:rPr>
          </w:pPr>
          <w:r>
            <w:rPr>
              <w:sz w:val="28"/>
            </w:rPr>
            <w:fldChar w:fldCharType="begin" w:fldLock="1"/>
          </w:r>
          <w:r>
            <w:rPr>
              <w:color w:val="000080"/>
              <w:sz w:val="28"/>
            </w:rPr>
            <w:instrText xml:space="preserve"> DOCPROPERTY EK_DokTittel </w:instrText>
          </w:r>
          <w:r>
            <w:rPr>
              <w:sz w:val="28"/>
            </w:rPr>
            <w:fldChar w:fldCharType="separate"/>
          </w:r>
          <w:r>
            <w:rPr>
              <w:color w:val="000080"/>
              <w:sz w:val="28"/>
            </w:rPr>
            <w:t>Parenteral ernæring. BUK, Barn &lt; 18 år</w:t>
          </w:r>
          <w:r>
            <w:rPr>
              <w:sz w:val="28"/>
            </w:rPr>
            <w:fldChar w:fldCharType="end"/>
          </w:r>
        </w:p>
      </w:tc>
    </w:tr>
    <w:tr w14:paraId="4B3E9B0F" w14:textId="77777777" w:rsidTr="00540375">
      <w:tblPrEx>
        <w:tblW w:w="9678" w:type="dxa"/>
        <w:tblLayout w:type="fixed"/>
        <w:tblCellMar>
          <w:left w:w="70" w:type="dxa"/>
          <w:right w:w="70" w:type="dxa"/>
        </w:tblCellMar>
        <w:tblLook w:val="0000"/>
      </w:tblPrEx>
      <w:trPr>
        <w:cantSplit/>
        <w:trHeight w:val="228"/>
      </w:trPr>
      <w:tc>
        <w:tcPr>
          <w:tcW w:w="6799" w:type="dxa"/>
          <w:gridSpan w:val="2"/>
          <w:vAlign w:val="bottom"/>
        </w:tcPr>
        <w:p w:rsidR="00FD5284" w14:paraId="4B3E9B0D" w14:textId="77777777">
          <w:pPr>
            <w:pStyle w:val="Header"/>
            <w:jc w:val="left"/>
            <w:rPr>
              <w:sz w:val="16"/>
            </w:rPr>
          </w:pPr>
          <w:r>
            <w:rPr>
              <w:sz w:val="16"/>
            </w:rPr>
            <w:t xml:space="preserve">Kategori: </w:t>
          </w:r>
          <w:r>
            <w:rPr>
              <w:sz w:val="16"/>
            </w:rPr>
            <w:fldChar w:fldCharType="begin" w:fldLock="1"/>
          </w:r>
          <w:r>
            <w:rPr>
              <w:sz w:val="16"/>
            </w:rPr>
            <w:instrText xml:space="preserve"> DOCPROPERTY EK_S01MT3 </w:instrText>
          </w:r>
          <w:r>
            <w:rPr>
              <w:sz w:val="16"/>
            </w:rPr>
            <w:fldChar w:fldCharType="separate"/>
          </w:r>
          <w:r>
            <w:rPr>
              <w:sz w:val="16"/>
            </w:rPr>
            <w:t>[]</w:t>
          </w:r>
          <w:r>
            <w:rPr>
              <w:sz w:val="16"/>
            </w:rPr>
            <w:fldChar w:fldCharType="end"/>
          </w:r>
        </w:p>
      </w:tc>
      <w:tc>
        <w:tcPr>
          <w:tcW w:w="2879" w:type="dxa"/>
          <w:vAlign w:val="bottom"/>
        </w:tcPr>
        <w:p w:rsidR="00FD5284" w:rsidRPr="005F0E8F" w:rsidP="00540375" w14:paraId="4B3E9B0E" w14:textId="77777777">
          <w:pPr>
            <w:pStyle w:val="Header"/>
            <w:jc w:val="left"/>
            <w:rPr>
              <w:color w:val="000080"/>
              <w:sz w:val="16"/>
            </w:rPr>
          </w:pPr>
          <w:r>
            <w:rPr>
              <w:sz w:val="16"/>
            </w:rPr>
            <w:t>Gyldig fra/</w:t>
          </w:r>
          <w:r w:rsidRPr="005F0E8F">
            <w:rPr>
              <w:sz w:val="16"/>
            </w:rPr>
            <w:t>til</w:t>
          </w:r>
          <w:r>
            <w:rPr>
              <w:color w:val="000080"/>
              <w:sz w:val="16"/>
            </w:rPr>
            <w:t>:</w:t>
          </w:r>
          <w:r>
            <w:rPr>
              <w:color w:val="000080"/>
              <w:sz w:val="16"/>
            </w:rPr>
            <w:fldChar w:fldCharType="begin" w:fldLock="1"/>
          </w:r>
          <w:r>
            <w:rPr>
              <w:color w:val="000080"/>
              <w:sz w:val="16"/>
            </w:rPr>
            <w:instrText xml:space="preserve"> DOCPROPERTY EK_GjelderFra </w:instrText>
          </w:r>
          <w:r>
            <w:rPr>
              <w:color w:val="000080"/>
              <w:sz w:val="16"/>
            </w:rPr>
            <w:fldChar w:fldCharType="separate"/>
          </w:r>
          <w:r>
            <w:rPr>
              <w:color w:val="000080"/>
              <w:sz w:val="16"/>
            </w:rPr>
            <w:t>30.09.2026</w:t>
          </w:r>
          <w:r>
            <w:rPr>
              <w:color w:val="000080"/>
              <w:sz w:val="16"/>
            </w:rPr>
            <w:fldChar w:fldCharType="end"/>
          </w:r>
          <w:r>
            <w:rPr>
              <w:color w:val="000080"/>
              <w:sz w:val="16"/>
            </w:rPr>
            <w:t>/</w:t>
          </w:r>
          <w:r>
            <w:rPr>
              <w:color w:val="000080"/>
              <w:sz w:val="16"/>
            </w:rPr>
            <w:fldChar w:fldCharType="begin" w:fldLock="1"/>
          </w:r>
          <w:r>
            <w:rPr>
              <w:color w:val="000080"/>
              <w:sz w:val="16"/>
            </w:rPr>
            <w:instrText xml:space="preserve"> DOCPROPERTY EK_GjelderTil </w:instrText>
          </w:r>
          <w:r>
            <w:rPr>
              <w:color w:val="000080"/>
              <w:sz w:val="16"/>
            </w:rPr>
            <w:fldChar w:fldCharType="separate"/>
          </w:r>
          <w:r>
            <w:rPr>
              <w:color w:val="000080"/>
              <w:sz w:val="16"/>
            </w:rPr>
            <w:t>30.09.2029</w:t>
          </w:r>
          <w:r>
            <w:rPr>
              <w:color w:val="000080"/>
              <w:sz w:val="16"/>
            </w:rPr>
            <w:fldChar w:fldCharType="end"/>
          </w:r>
        </w:p>
      </w:tc>
    </w:tr>
    <w:tr w14:paraId="4B3E9B12" w14:textId="77777777" w:rsidTr="00540375">
      <w:tblPrEx>
        <w:tblW w:w="9678" w:type="dxa"/>
        <w:tblLayout w:type="fixed"/>
        <w:tblCellMar>
          <w:left w:w="70" w:type="dxa"/>
          <w:right w:w="70" w:type="dxa"/>
        </w:tblCellMar>
        <w:tblLook w:val="0000"/>
      </w:tblPrEx>
      <w:trPr>
        <w:cantSplit/>
        <w:trHeight w:val="168"/>
      </w:trPr>
      <w:tc>
        <w:tcPr>
          <w:tcW w:w="6799" w:type="dxa"/>
          <w:gridSpan w:val="2"/>
        </w:tcPr>
        <w:p w:rsidR="005F0E8F" w14:paraId="4B3E9B10" w14:textId="77777777">
          <w:pPr>
            <w:rPr>
              <w:sz w:val="16"/>
            </w:rPr>
          </w:pPr>
          <w:r>
            <w:rPr>
              <w:sz w:val="16"/>
            </w:rPr>
            <w:t xml:space="preserve">Organisatorisk plassering: </w:t>
          </w:r>
          <w:r>
            <w:rPr>
              <w:sz w:val="16"/>
            </w:rPr>
            <w:fldChar w:fldCharType="begin" w:fldLock="1"/>
          </w:r>
          <w:r>
            <w:rPr>
              <w:sz w:val="16"/>
            </w:rPr>
            <w:instrText xml:space="preserve"> DOCPROPERTY EK_S00MT1 </w:instrText>
          </w:r>
          <w:r>
            <w:rPr>
              <w:sz w:val="16"/>
            </w:rPr>
            <w:fldChar w:fldCharType="separate"/>
          </w:r>
          <w:r>
            <w:rPr>
              <w:sz w:val="16"/>
            </w:rPr>
            <w:t>Helse Bergen HF/Barne- og ungdomsklinikken</w:t>
          </w:r>
          <w:r>
            <w:rPr>
              <w:sz w:val="16"/>
            </w:rPr>
            <w:fldChar w:fldCharType="end"/>
          </w:r>
        </w:p>
      </w:tc>
      <w:tc>
        <w:tcPr>
          <w:tcW w:w="2879" w:type="dxa"/>
          <w:vAlign w:val="bottom"/>
        </w:tcPr>
        <w:p w:rsidR="005F0E8F" w14:paraId="4B3E9B11" w14:textId="77777777">
          <w:pPr>
            <w:pStyle w:val="Header"/>
            <w:jc w:val="left"/>
            <w:rPr>
              <w:sz w:val="16"/>
            </w:rPr>
          </w:pPr>
          <w:r>
            <w:rPr>
              <w:sz w:val="16"/>
            </w:rPr>
            <w:t xml:space="preserve">Versjon: </w:t>
          </w:r>
          <w:r>
            <w:rPr>
              <w:sz w:val="16"/>
            </w:rPr>
            <w:fldChar w:fldCharType="begin" w:fldLock="1"/>
          </w:r>
          <w:r>
            <w:rPr>
              <w:color w:val="000080"/>
              <w:sz w:val="16"/>
            </w:rPr>
            <w:instrText xml:space="preserve"> DOCPROPERTY EK_Utgave </w:instrText>
          </w:r>
          <w:r>
            <w:rPr>
              <w:sz w:val="16"/>
            </w:rPr>
            <w:fldChar w:fldCharType="separate"/>
          </w:r>
          <w:r>
            <w:rPr>
              <w:color w:val="000080"/>
              <w:sz w:val="16"/>
            </w:rPr>
            <w:t>1.00</w:t>
          </w:r>
          <w:r>
            <w:rPr>
              <w:sz w:val="16"/>
            </w:rPr>
            <w:fldChar w:fldCharType="end"/>
          </w:r>
        </w:p>
      </w:tc>
    </w:tr>
    <w:tr w14:paraId="4B3E9B15" w14:textId="77777777" w:rsidTr="00540375">
      <w:tblPrEx>
        <w:tblW w:w="9678" w:type="dxa"/>
        <w:tblLayout w:type="fixed"/>
        <w:tblCellMar>
          <w:left w:w="70" w:type="dxa"/>
          <w:right w:w="70" w:type="dxa"/>
        </w:tblCellMar>
        <w:tblLook w:val="0000"/>
      </w:tblPrEx>
      <w:trPr>
        <w:trHeight w:val="252"/>
      </w:trPr>
      <w:tc>
        <w:tcPr>
          <w:tcW w:w="6799" w:type="dxa"/>
          <w:gridSpan w:val="2"/>
        </w:tcPr>
        <w:p w:rsidR="00FD5284" w:rsidP="00FD5284" w14:paraId="4B3E9B13" w14:textId="77777777">
          <w:pPr>
            <w:pStyle w:val="Header"/>
            <w:jc w:val="left"/>
            <w:rPr>
              <w:sz w:val="16"/>
            </w:rPr>
          </w:pPr>
          <w:r>
            <w:rPr>
              <w:sz w:val="16"/>
            </w:rPr>
            <w:t xml:space="preserve">Godkjenner: </w:t>
          </w:r>
          <w:r>
            <w:rPr>
              <w:color w:val="000080"/>
              <w:sz w:val="16"/>
            </w:rPr>
            <w:fldChar w:fldCharType="begin" w:fldLock="1"/>
          </w:r>
          <w:r>
            <w:rPr>
              <w:color w:val="000080"/>
              <w:sz w:val="16"/>
            </w:rPr>
            <w:instrText xml:space="preserve"> DOCPROPERTY EK_Signatur </w:instrText>
          </w:r>
          <w:r>
            <w:rPr>
              <w:color w:val="000080"/>
              <w:sz w:val="16"/>
            </w:rPr>
            <w:fldChar w:fldCharType="separate"/>
          </w:r>
          <w:r>
            <w:rPr>
              <w:color w:val="000080"/>
              <w:sz w:val="16"/>
            </w:rPr>
            <w:t>Aarvik, Anette Tysnes</w:t>
          </w:r>
          <w:r>
            <w:rPr>
              <w:color w:val="000080"/>
              <w:sz w:val="16"/>
            </w:rPr>
            <w:fldChar w:fldCharType="end"/>
          </w:r>
          <w:r>
            <w:rPr>
              <w:color w:val="000080"/>
              <w:sz w:val="16"/>
            </w:rPr>
            <w:t xml:space="preserve"> </w:t>
          </w:r>
        </w:p>
      </w:tc>
      <w:tc>
        <w:tcPr>
          <w:tcW w:w="2879" w:type="dxa"/>
        </w:tcPr>
        <w:p w:rsidR="00FD5284" w:rsidP="00FD5284" w14:paraId="4B3E9B14" w14:textId="77777777">
          <w:pPr>
            <w:rPr>
              <w:sz w:val="16"/>
            </w:rPr>
          </w:pPr>
          <w:r>
            <w:rPr>
              <w:color w:val="000080"/>
              <w:sz w:val="16"/>
            </w:rPr>
            <w:fldChar w:fldCharType="begin" w:fldLock="1"/>
          </w:r>
          <w:r>
            <w:rPr>
              <w:color w:val="000080"/>
              <w:sz w:val="16"/>
            </w:rPr>
            <w:instrText xml:space="preserve"> DOCPROPERTY EK_DokType </w:instrText>
          </w:r>
          <w:r>
            <w:rPr>
              <w:color w:val="000080"/>
              <w:sz w:val="16"/>
            </w:rPr>
            <w:fldChar w:fldCharType="separate"/>
          </w:r>
          <w:r>
            <w:rPr>
              <w:color w:val="000080"/>
              <w:sz w:val="16"/>
            </w:rPr>
            <w:t>Retningslinje</w:t>
          </w:r>
          <w:r>
            <w:rPr>
              <w:color w:val="000080"/>
              <w:sz w:val="16"/>
            </w:rPr>
            <w:fldChar w:fldCharType="end"/>
          </w:r>
        </w:p>
      </w:tc>
    </w:tr>
    <w:tr w14:paraId="4B3E9B18" w14:textId="77777777" w:rsidTr="00540375">
      <w:tblPrEx>
        <w:tblW w:w="9678" w:type="dxa"/>
        <w:tblLayout w:type="fixed"/>
        <w:tblCellMar>
          <w:left w:w="70" w:type="dxa"/>
          <w:right w:w="70" w:type="dxa"/>
        </w:tblCellMar>
        <w:tblLook w:val="0000"/>
      </w:tblPrEx>
      <w:trPr>
        <w:trHeight w:val="153"/>
      </w:trPr>
      <w:tc>
        <w:tcPr>
          <w:tcW w:w="6799" w:type="dxa"/>
          <w:gridSpan w:val="2"/>
        </w:tcPr>
        <w:p w:rsidR="00FD5284" w:rsidP="00FD5284" w14:paraId="4B3E9B16" w14:textId="77777777">
          <w:pPr>
            <w:rPr>
              <w:sz w:val="16"/>
            </w:rPr>
          </w:pPr>
          <w:r>
            <w:rPr>
              <w:sz w:val="16"/>
            </w:rPr>
            <w:t>Dok</w:t>
          </w:r>
          <w:r>
            <w:rPr>
              <w:sz w:val="16"/>
            </w:rPr>
            <w:t xml:space="preserve">. ansvarlig: </w:t>
          </w:r>
          <w:r>
            <w:rPr>
              <w:color w:val="000080"/>
              <w:sz w:val="16"/>
            </w:rPr>
            <w:fldChar w:fldCharType="begin" w:fldLock="1"/>
          </w:r>
          <w:r>
            <w:rPr>
              <w:color w:val="000080"/>
              <w:sz w:val="16"/>
            </w:rPr>
            <w:instrText xml:space="preserve"> DOCPROPERTY EK_UText1 </w:instrText>
          </w:r>
          <w:r>
            <w:rPr>
              <w:color w:val="000080"/>
              <w:sz w:val="16"/>
            </w:rPr>
            <w:fldChar w:fldCharType="separate"/>
          </w:r>
          <w:r>
            <w:rPr>
              <w:color w:val="000080"/>
              <w:sz w:val="16"/>
            </w:rPr>
            <w:t>Tjora, Erling</w:t>
          </w:r>
          <w:r>
            <w:rPr>
              <w:color w:val="000080"/>
              <w:sz w:val="16"/>
            </w:rPr>
            <w:fldChar w:fldCharType="end"/>
          </w:r>
          <w:r>
            <w:rPr>
              <w:color w:val="000080"/>
              <w:sz w:val="16"/>
            </w:rPr>
            <w:t xml:space="preserve"> </w:t>
          </w:r>
        </w:p>
      </w:tc>
      <w:tc>
        <w:tcPr>
          <w:tcW w:w="2879" w:type="dxa"/>
        </w:tcPr>
        <w:p w:rsidR="00FD5284" w14:paraId="4B3E9B17" w14:textId="77777777">
          <w:pPr>
            <w:rPr>
              <w:sz w:val="16"/>
            </w:rPr>
          </w:pPr>
          <w:r w:rsidRPr="005F0E8F">
            <w:rPr>
              <w:sz w:val="16"/>
            </w:rPr>
            <w:t>Dok.id</w:t>
          </w:r>
          <w:r>
            <w:rPr>
              <w:sz w:val="16"/>
            </w:rPr>
            <w:t xml:space="preserve">: </w:t>
          </w:r>
          <w:r>
            <w:rPr>
              <w:color w:val="000080"/>
              <w:sz w:val="16"/>
            </w:rPr>
            <w:fldChar w:fldCharType="begin" w:fldLock="1"/>
          </w:r>
          <w:r>
            <w:rPr>
              <w:color w:val="000080"/>
              <w:sz w:val="16"/>
            </w:rPr>
            <w:instrText xml:space="preserve"> DOCPROPERTY EK_DokumentID </w:instrText>
          </w:r>
          <w:r>
            <w:rPr>
              <w:color w:val="000080"/>
              <w:sz w:val="16"/>
            </w:rPr>
            <w:fldChar w:fldCharType="separate"/>
          </w:r>
          <w:r>
            <w:rPr>
              <w:color w:val="000080"/>
              <w:sz w:val="16"/>
            </w:rPr>
            <w:t>D83877</w:t>
          </w:r>
          <w:r>
            <w:rPr>
              <w:color w:val="000080"/>
              <w:sz w:val="16"/>
            </w:rPr>
            <w:fldChar w:fldCharType="end"/>
          </w:r>
        </w:p>
      </w:tc>
    </w:tr>
  </w:tbl>
  <w:p w:rsidR="00485214" w14:paraId="4B3E9B19" w14:textId="77777777">
    <w:pPr>
      <w:pStyle w:val="Header"/>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w:abstractNum w:abstractNumId="0">
    <w:nsid w:val="FFFFFF7C"/>
    <w:multiLevelType w:val="singleLevel"/>
    <w:tmpl w:val="07A25486"/>
    <w:lvl w:ilvl="0">
      <w:start w:val="1"/>
      <w:numFmt w:val="decimal"/>
      <w:lvlText w:val="%1."/>
      <w:lvlJc w:val="left"/>
      <w:pPr>
        <w:tabs>
          <w:tab w:val="num" w:pos="1492"/>
        </w:tabs>
        <w:ind w:left="1492" w:hanging="360"/>
      </w:pPr>
    </w:lvl>
  </w:abstractNum>
  <w:abstractNum w:abstractNumId="1">
    <w:nsid w:val="FFFFFF7D"/>
    <w:multiLevelType w:val="singleLevel"/>
    <w:tmpl w:val="9E10453A"/>
    <w:lvl w:ilvl="0">
      <w:start w:val="1"/>
      <w:numFmt w:val="decimal"/>
      <w:lvlText w:val="%1."/>
      <w:lvlJc w:val="left"/>
      <w:pPr>
        <w:tabs>
          <w:tab w:val="num" w:pos="1209"/>
        </w:tabs>
        <w:ind w:left="1209" w:hanging="360"/>
      </w:pPr>
    </w:lvl>
  </w:abstractNum>
  <w:abstractNum w:abstractNumId="2">
    <w:nsid w:val="FFFFFF7E"/>
    <w:multiLevelType w:val="singleLevel"/>
    <w:tmpl w:val="2D9898B4"/>
    <w:lvl w:ilvl="0">
      <w:start w:val="1"/>
      <w:numFmt w:val="decimal"/>
      <w:lvlText w:val="%1."/>
      <w:lvlJc w:val="left"/>
      <w:pPr>
        <w:tabs>
          <w:tab w:val="num" w:pos="926"/>
        </w:tabs>
        <w:ind w:left="926" w:hanging="360"/>
      </w:pPr>
    </w:lvl>
  </w:abstractNum>
  <w:abstractNum w:abstractNumId="3">
    <w:nsid w:val="FFFFFF7F"/>
    <w:multiLevelType w:val="singleLevel"/>
    <w:tmpl w:val="2DAA4B56"/>
    <w:lvl w:ilvl="0">
      <w:start w:val="1"/>
      <w:numFmt w:val="decimal"/>
      <w:lvlText w:val="%1."/>
      <w:lvlJc w:val="left"/>
      <w:pPr>
        <w:tabs>
          <w:tab w:val="num" w:pos="643"/>
        </w:tabs>
        <w:ind w:left="643" w:hanging="360"/>
      </w:pPr>
    </w:lvl>
  </w:abstractNum>
  <w:abstractNum w:abstractNumId="4">
    <w:nsid w:val="FFFFFF80"/>
    <w:multiLevelType w:val="singleLevel"/>
    <w:tmpl w:val="875C338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798EBF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4121EFE"/>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81E6D4D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95288EAE"/>
    <w:lvl w:ilvl="0">
      <w:start w:val="1"/>
      <w:numFmt w:val="decimal"/>
      <w:lvlText w:val="%1."/>
      <w:lvlJc w:val="left"/>
      <w:pPr>
        <w:tabs>
          <w:tab w:val="num" w:pos="360"/>
        </w:tabs>
        <w:ind w:left="360" w:hanging="360"/>
      </w:pPr>
    </w:lvl>
  </w:abstractNum>
  <w:abstractNum w:abstractNumId="9">
    <w:nsid w:val="FFFFFF89"/>
    <w:multiLevelType w:val="singleLevel"/>
    <w:tmpl w:val="3C20E630"/>
    <w:lvl w:ilvl="0">
      <w:start w:val="1"/>
      <w:numFmt w:val="bullet"/>
      <w:lvlText w:val=""/>
      <w:lvlJc w:val="left"/>
      <w:pPr>
        <w:tabs>
          <w:tab w:val="num" w:pos="360"/>
        </w:tabs>
        <w:ind w:left="360" w:hanging="360"/>
      </w:pPr>
      <w:rPr>
        <w:rFonts w:ascii="Symbol" w:hAnsi="Symbol" w:hint="default"/>
      </w:rPr>
    </w:lvl>
  </w:abstractNum>
  <w:abstractNum w:abstractNumId="10">
    <w:nsid w:val="01EC311B"/>
    <w:multiLevelType w:val="hybridMultilevel"/>
    <w:tmpl w:val="0000000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1">
    <w:nsid w:val="03DEB7EB"/>
    <w:multiLevelType w:val="hybridMultilevel"/>
    <w:tmpl w:val="0000000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2">
    <w:nsid w:val="0464D3CB"/>
    <w:multiLevelType w:val="hybridMultilevel"/>
    <w:tmpl w:val="0000000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3">
    <w:nsid w:val="0C541972"/>
    <w:multiLevelType w:val="hybridMultilevel"/>
    <w:tmpl w:val="00000000"/>
    <w:lvl w:ilvl="0">
      <w:start w:val="1"/>
      <w:numFmt w:val="bullet"/>
      <w:lvlText w:val=""/>
      <w:lvlJc w:val="left"/>
      <w:pPr>
        <w:ind w:left="927" w:hanging="360"/>
      </w:pPr>
      <w:rPr>
        <w:rFonts w:ascii="Symbol" w:hAnsi="Symbol" w:hint="default"/>
      </w:rPr>
    </w:lvl>
    <w:lvl w:ilvl="1">
      <w:start w:val="1"/>
      <w:numFmt w:val="bullet"/>
      <w:lvlText w:val="o"/>
      <w:lvlJc w:val="left"/>
      <w:pPr>
        <w:ind w:left="1647" w:hanging="360"/>
      </w:pPr>
      <w:rPr>
        <w:rFonts w:ascii="Courier New" w:hAnsi="Courier New" w:hint="default"/>
      </w:rPr>
    </w:lvl>
    <w:lvl w:ilvl="2">
      <w:start w:val="1"/>
      <w:numFmt w:val="bullet"/>
      <w:lvlText w:val=""/>
      <w:lvlJc w:val="left"/>
      <w:pPr>
        <w:ind w:left="2367" w:hanging="360"/>
      </w:pPr>
      <w:rPr>
        <w:rFonts w:ascii="Wingdings" w:hAnsi="Wingdings" w:hint="default"/>
      </w:rPr>
    </w:lvl>
    <w:lvl w:ilvl="3">
      <w:start w:val="1"/>
      <w:numFmt w:val="bullet"/>
      <w:lvlText w:val=""/>
      <w:lvlJc w:val="left"/>
      <w:pPr>
        <w:ind w:left="3087" w:hanging="360"/>
      </w:pPr>
      <w:rPr>
        <w:rFonts w:ascii="Symbol" w:hAnsi="Symbol" w:hint="default"/>
      </w:rPr>
    </w:lvl>
    <w:lvl w:ilvl="4">
      <w:start w:val="1"/>
      <w:numFmt w:val="bullet"/>
      <w:lvlText w:val="o"/>
      <w:lvlJc w:val="left"/>
      <w:pPr>
        <w:ind w:left="3807" w:hanging="360"/>
      </w:pPr>
      <w:rPr>
        <w:rFonts w:ascii="Courier New" w:hAnsi="Courier New" w:hint="default"/>
      </w:rPr>
    </w:lvl>
    <w:lvl w:ilvl="5">
      <w:start w:val="1"/>
      <w:numFmt w:val="bullet"/>
      <w:lvlText w:val=""/>
      <w:lvlJc w:val="left"/>
      <w:pPr>
        <w:ind w:left="4527" w:hanging="360"/>
      </w:pPr>
      <w:rPr>
        <w:rFonts w:ascii="Wingdings" w:hAnsi="Wingdings" w:hint="default"/>
      </w:rPr>
    </w:lvl>
    <w:lvl w:ilvl="6">
      <w:start w:val="1"/>
      <w:numFmt w:val="bullet"/>
      <w:lvlText w:val=""/>
      <w:lvlJc w:val="left"/>
      <w:pPr>
        <w:ind w:left="5247" w:hanging="360"/>
      </w:pPr>
      <w:rPr>
        <w:rFonts w:ascii="Symbol" w:hAnsi="Symbol" w:hint="default"/>
      </w:rPr>
    </w:lvl>
    <w:lvl w:ilvl="7">
      <w:start w:val="1"/>
      <w:numFmt w:val="bullet"/>
      <w:lvlText w:val="o"/>
      <w:lvlJc w:val="left"/>
      <w:pPr>
        <w:ind w:left="5967" w:hanging="360"/>
      </w:pPr>
      <w:rPr>
        <w:rFonts w:ascii="Courier New" w:hAnsi="Courier New" w:hint="default"/>
      </w:rPr>
    </w:lvl>
    <w:lvl w:ilvl="8">
      <w:start w:val="1"/>
      <w:numFmt w:val="bullet"/>
      <w:lvlText w:val=""/>
      <w:lvlJc w:val="left"/>
      <w:pPr>
        <w:ind w:left="6687" w:hanging="360"/>
      </w:pPr>
      <w:rPr>
        <w:rFonts w:ascii="Wingdings" w:hAnsi="Wingdings" w:hint="default"/>
      </w:rPr>
    </w:lvl>
  </w:abstractNum>
  <w:abstractNum w:abstractNumId="14">
    <w:nsid w:val="0F1C0C2F"/>
    <w:multiLevelType w:val="hybridMultilevel"/>
    <w:tmpl w:val="0000000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5">
    <w:nsid w:val="12B276C0"/>
    <w:multiLevelType w:val="hybridMultilevel"/>
    <w:tmpl w:val="0000000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6">
    <w:nsid w:val="12E6371A"/>
    <w:multiLevelType w:val="multilevel"/>
    <w:tmpl w:val="4544C3AA"/>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rPr>
        <w:rFonts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noFill/>
          <w14:prstDash w14:val="solid"/>
          <w14:bevel/>
        </w14:textOutline>
        <w14:scene3d>
          <w14:camera w14:prst="orthographicFront"/>
          <w14:lightRig w14:rig="threePt" w14:dir="t">
            <w14:rot w14:lat="0" w14:lon="0" w14:rev="0"/>
          </w14:lightRig>
        </w14:scene3d>
        <w14:props3d/>
        <w14:ligatures w14:val="none"/>
        <w14:numForm w14:val="default"/>
        <w14:numSpacing w14:val="default"/>
        <w14:stylisticSets xmlns:w14="http://schemas.microsoft.com/office/word/2010/wordml"/>
        <w14:cntxtAlts w14:val="0"/>
      </w:r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7">
    <w:nsid w:val="1A6A08F7"/>
    <w:multiLevelType w:val="multilevel"/>
    <w:tmpl w:val="CB3695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nsid w:val="1C474595"/>
    <w:multiLevelType w:val="hybridMultilevel"/>
    <w:tmpl w:val="0000000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9">
    <w:nsid w:val="20C57BE2"/>
    <w:multiLevelType w:val="hybridMultilevel"/>
    <w:tmpl w:val="0000000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0">
    <w:nsid w:val="223896FE"/>
    <w:multiLevelType w:val="hybridMultilevel"/>
    <w:tmpl w:val="00000000"/>
    <w:lvl w:ilvl="0">
      <w:start w:val="1"/>
      <w:numFmt w:val="bullet"/>
      <w:lvlText w:val=""/>
      <w:lvlJc w:val="left"/>
      <w:pPr>
        <w:ind w:left="1800" w:hanging="360"/>
      </w:pPr>
      <w:rPr>
        <w:rFonts w:ascii="Symbol" w:hAnsi="Symbol" w:hint="default"/>
      </w:rPr>
    </w:lvl>
    <w:lvl w:ilvl="1">
      <w:start w:val="1"/>
      <w:numFmt w:val="bullet"/>
      <w:lvlText w:val="o"/>
      <w:lvlJc w:val="left"/>
      <w:pPr>
        <w:ind w:left="2520" w:hanging="360"/>
      </w:pPr>
      <w:rPr>
        <w:rFonts w:ascii="Courier New" w:hAnsi="Courier New" w:hint="default"/>
      </w:rPr>
    </w:lvl>
    <w:lvl w:ilvl="2">
      <w:start w:val="1"/>
      <w:numFmt w:val="bullet"/>
      <w:lvlText w:val=""/>
      <w:lvlJc w:val="left"/>
      <w:pPr>
        <w:ind w:left="3240" w:hanging="360"/>
      </w:pPr>
      <w:rPr>
        <w:rFonts w:ascii="Wingdings" w:hAnsi="Wingdings" w:hint="default"/>
      </w:rPr>
    </w:lvl>
    <w:lvl w:ilvl="3">
      <w:start w:val="1"/>
      <w:numFmt w:val="bullet"/>
      <w:lvlText w:val=""/>
      <w:lvlJc w:val="left"/>
      <w:pPr>
        <w:ind w:left="3960" w:hanging="360"/>
      </w:pPr>
      <w:rPr>
        <w:rFonts w:ascii="Symbol" w:hAnsi="Symbol" w:hint="default"/>
      </w:rPr>
    </w:lvl>
    <w:lvl w:ilvl="4">
      <w:start w:val="1"/>
      <w:numFmt w:val="bullet"/>
      <w:lvlText w:val="o"/>
      <w:lvlJc w:val="left"/>
      <w:pPr>
        <w:ind w:left="4680" w:hanging="360"/>
      </w:pPr>
      <w:rPr>
        <w:rFonts w:ascii="Courier New" w:hAnsi="Courier New" w:hint="default"/>
      </w:rPr>
    </w:lvl>
    <w:lvl w:ilvl="5">
      <w:start w:val="1"/>
      <w:numFmt w:val="bullet"/>
      <w:lvlText w:val=""/>
      <w:lvlJc w:val="left"/>
      <w:pPr>
        <w:ind w:left="5400" w:hanging="360"/>
      </w:pPr>
      <w:rPr>
        <w:rFonts w:ascii="Wingdings" w:hAnsi="Wingdings" w:hint="default"/>
      </w:rPr>
    </w:lvl>
    <w:lvl w:ilvl="6">
      <w:start w:val="1"/>
      <w:numFmt w:val="bullet"/>
      <w:lvlText w:val=""/>
      <w:lvlJc w:val="left"/>
      <w:pPr>
        <w:ind w:left="6120" w:hanging="360"/>
      </w:pPr>
      <w:rPr>
        <w:rFonts w:ascii="Symbol" w:hAnsi="Symbol" w:hint="default"/>
      </w:rPr>
    </w:lvl>
    <w:lvl w:ilvl="7">
      <w:start w:val="1"/>
      <w:numFmt w:val="bullet"/>
      <w:lvlText w:val="o"/>
      <w:lvlJc w:val="left"/>
      <w:pPr>
        <w:ind w:left="6840" w:hanging="360"/>
      </w:pPr>
      <w:rPr>
        <w:rFonts w:ascii="Courier New" w:hAnsi="Courier New" w:hint="default"/>
      </w:rPr>
    </w:lvl>
    <w:lvl w:ilvl="8">
      <w:start w:val="1"/>
      <w:numFmt w:val="bullet"/>
      <w:lvlText w:val=""/>
      <w:lvlJc w:val="left"/>
      <w:pPr>
        <w:ind w:left="7560" w:hanging="360"/>
      </w:pPr>
      <w:rPr>
        <w:rFonts w:ascii="Wingdings" w:hAnsi="Wingdings" w:hint="default"/>
      </w:rPr>
    </w:lvl>
  </w:abstractNum>
  <w:abstractNum w:abstractNumId="21">
    <w:nsid w:val="24130C41"/>
    <w:multiLevelType w:val="hybridMultilevel"/>
    <w:tmpl w:val="0000000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nsid w:val="2472D50D"/>
    <w:multiLevelType w:val="hybridMultilevel"/>
    <w:tmpl w:val="0000000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3">
    <w:nsid w:val="26989A2B"/>
    <w:multiLevelType w:val="hybridMultilevel"/>
    <w:tmpl w:val="00000000"/>
    <w:lvl w:ilvl="0">
      <w:start w:val="1"/>
      <w:numFmt w:val="bullet"/>
      <w:lvlText w:val=""/>
      <w:lvlJc w:val="left"/>
      <w:pPr>
        <w:ind w:left="927" w:hanging="360"/>
      </w:pPr>
      <w:rPr>
        <w:rFonts w:ascii="Symbol" w:hAnsi="Symbol" w:hint="default"/>
      </w:rPr>
    </w:lvl>
    <w:lvl w:ilvl="1">
      <w:start w:val="1"/>
      <w:numFmt w:val="bullet"/>
      <w:lvlText w:val="o"/>
      <w:lvlJc w:val="left"/>
      <w:pPr>
        <w:ind w:left="1647" w:hanging="360"/>
      </w:pPr>
      <w:rPr>
        <w:rFonts w:ascii="Courier New" w:hAnsi="Courier New" w:hint="default"/>
      </w:rPr>
    </w:lvl>
    <w:lvl w:ilvl="2">
      <w:start w:val="1"/>
      <w:numFmt w:val="bullet"/>
      <w:lvlText w:val=""/>
      <w:lvlJc w:val="left"/>
      <w:pPr>
        <w:ind w:left="2367" w:hanging="360"/>
      </w:pPr>
      <w:rPr>
        <w:rFonts w:ascii="Wingdings" w:hAnsi="Wingdings" w:hint="default"/>
      </w:rPr>
    </w:lvl>
    <w:lvl w:ilvl="3">
      <w:start w:val="1"/>
      <w:numFmt w:val="bullet"/>
      <w:lvlText w:val=""/>
      <w:lvlJc w:val="left"/>
      <w:pPr>
        <w:ind w:left="3087" w:hanging="360"/>
      </w:pPr>
      <w:rPr>
        <w:rFonts w:ascii="Symbol" w:hAnsi="Symbol" w:hint="default"/>
      </w:rPr>
    </w:lvl>
    <w:lvl w:ilvl="4">
      <w:start w:val="1"/>
      <w:numFmt w:val="bullet"/>
      <w:lvlText w:val="o"/>
      <w:lvlJc w:val="left"/>
      <w:pPr>
        <w:ind w:left="3807" w:hanging="360"/>
      </w:pPr>
      <w:rPr>
        <w:rFonts w:ascii="Courier New" w:hAnsi="Courier New" w:hint="default"/>
      </w:rPr>
    </w:lvl>
    <w:lvl w:ilvl="5">
      <w:start w:val="1"/>
      <w:numFmt w:val="bullet"/>
      <w:lvlText w:val=""/>
      <w:lvlJc w:val="left"/>
      <w:pPr>
        <w:ind w:left="4527" w:hanging="360"/>
      </w:pPr>
      <w:rPr>
        <w:rFonts w:ascii="Wingdings" w:hAnsi="Wingdings" w:hint="default"/>
      </w:rPr>
    </w:lvl>
    <w:lvl w:ilvl="6">
      <w:start w:val="1"/>
      <w:numFmt w:val="bullet"/>
      <w:lvlText w:val=""/>
      <w:lvlJc w:val="left"/>
      <w:pPr>
        <w:ind w:left="5247" w:hanging="360"/>
      </w:pPr>
      <w:rPr>
        <w:rFonts w:ascii="Symbol" w:hAnsi="Symbol" w:hint="default"/>
      </w:rPr>
    </w:lvl>
    <w:lvl w:ilvl="7">
      <w:start w:val="1"/>
      <w:numFmt w:val="bullet"/>
      <w:lvlText w:val="o"/>
      <w:lvlJc w:val="left"/>
      <w:pPr>
        <w:ind w:left="5967" w:hanging="360"/>
      </w:pPr>
      <w:rPr>
        <w:rFonts w:ascii="Courier New" w:hAnsi="Courier New" w:hint="default"/>
      </w:rPr>
    </w:lvl>
    <w:lvl w:ilvl="8">
      <w:start w:val="1"/>
      <w:numFmt w:val="bullet"/>
      <w:lvlText w:val=""/>
      <w:lvlJc w:val="left"/>
      <w:pPr>
        <w:ind w:left="6687" w:hanging="360"/>
      </w:pPr>
      <w:rPr>
        <w:rFonts w:ascii="Wingdings" w:hAnsi="Wingdings" w:hint="default"/>
      </w:rPr>
    </w:lvl>
  </w:abstractNum>
  <w:abstractNum w:abstractNumId="24">
    <w:nsid w:val="29276A90"/>
    <w:multiLevelType w:val="multilevel"/>
    <w:tmpl w:val="DED63FDE"/>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5">
    <w:nsid w:val="3E63C581"/>
    <w:multiLevelType w:val="hybridMultilevel"/>
    <w:tmpl w:val="0000000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6">
    <w:nsid w:val="412AFB79"/>
    <w:multiLevelType w:val="hybridMultilevel"/>
    <w:tmpl w:val="0000000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7">
    <w:nsid w:val="4386A93B"/>
    <w:multiLevelType w:val="hybridMultilevel"/>
    <w:tmpl w:val="0000000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8">
    <w:nsid w:val="4436D33B"/>
    <w:multiLevelType w:val="hybridMultilevel"/>
    <w:tmpl w:val="0000000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9">
    <w:nsid w:val="49056656"/>
    <w:multiLevelType w:val="hybridMultilevel"/>
    <w:tmpl w:val="0000000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0">
    <w:nsid w:val="4B076813"/>
    <w:multiLevelType w:val="hybridMultilevel"/>
    <w:tmpl w:val="00000000"/>
    <w:lvl w:ilvl="0">
      <w:start w:val="1"/>
      <w:numFmt w:val="decimal"/>
      <w:lvlText w:val="%1."/>
      <w:lvlJc w:val="left"/>
      <w:pPr>
        <w:ind w:left="360" w:hanging="360"/>
      </w:pPr>
      <w:rPr>
        <w:rFonts w:ascii="Calibri,Times New Roman" w:hAnsi="Calibri,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nsid w:val="50EF17AD"/>
    <w:multiLevelType w:val="hybridMultilevel"/>
    <w:tmpl w:val="1FD22F12"/>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2">
    <w:nsid w:val="54300261"/>
    <w:multiLevelType w:val="hybridMultilevel"/>
    <w:tmpl w:val="0000000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3">
    <w:nsid w:val="5A4A122E"/>
    <w:multiLevelType w:val="singleLevel"/>
    <w:tmpl w:val="0414000F"/>
    <w:lvl w:ilvl="0">
      <w:start w:val="1"/>
      <w:numFmt w:val="decimal"/>
      <w:lvlText w:val="%1."/>
      <w:lvlJc w:val="left"/>
      <w:pPr>
        <w:tabs>
          <w:tab w:val="num" w:pos="360"/>
        </w:tabs>
        <w:ind w:left="360" w:hanging="360"/>
      </w:pPr>
      <w:rPr>
        <w:rFonts w:hint="default"/>
      </w:rPr>
    </w:lvl>
  </w:abstractNum>
  <w:abstractNum w:abstractNumId="34">
    <w:nsid w:val="5DC2F782"/>
    <w:multiLevelType w:val="hybridMultilevel"/>
    <w:tmpl w:val="0000000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5">
    <w:nsid w:val="618065A7"/>
    <w:multiLevelType w:val="hybridMultilevel"/>
    <w:tmpl w:val="0000000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6">
    <w:nsid w:val="6450C28C"/>
    <w:multiLevelType w:val="hybridMultilevel"/>
    <w:tmpl w:val="0000000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nsid w:val="6B96381E"/>
    <w:multiLevelType w:val="hybridMultilevel"/>
    <w:tmpl w:val="E560237C"/>
    <w:lvl w:ilvl="0">
      <w:start w:val="1"/>
      <w:numFmt w:val="bullet"/>
      <w:lvlText w:val=""/>
      <w:lvlJc w:val="left"/>
      <w:pPr>
        <w:ind w:left="502" w:hanging="360"/>
      </w:pPr>
      <w:rPr>
        <w:rFonts w:ascii="Symbol" w:eastAsia="Times New Roman" w:hAnsi="Symbol" w:cstheme="minorHAns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8">
    <w:nsid w:val="6C4252D6"/>
    <w:multiLevelType w:val="hybridMultilevel"/>
    <w:tmpl w:val="0000000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9">
    <w:nsid w:val="6D005DFD"/>
    <w:multiLevelType w:val="hybridMultilevel"/>
    <w:tmpl w:val="E6A6F898"/>
    <w:lvl w:ilvl="0">
      <w:start w:val="0"/>
      <w:numFmt w:val="bullet"/>
      <w:lvlText w:val=""/>
      <w:lvlJc w:val="left"/>
      <w:pPr>
        <w:ind w:left="720" w:hanging="360"/>
      </w:pPr>
      <w:rPr>
        <w:rFonts w:ascii="Symbol" w:eastAsia="Times New Roman" w:hAnsi="Symbol" w:cstheme="minorHAnsi"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0">
    <w:nsid w:val="6D1930A2"/>
    <w:multiLevelType w:val="hybridMultilevel"/>
    <w:tmpl w:val="0000000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1">
    <w:nsid w:val="6DFA7DFB"/>
    <w:multiLevelType w:val="hybridMultilevel"/>
    <w:tmpl w:val="0000000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2">
    <w:nsid w:val="732FB693"/>
    <w:multiLevelType w:val="hybridMultilevel"/>
    <w:tmpl w:val="0000000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3">
    <w:nsid w:val="7513907A"/>
    <w:multiLevelType w:val="hybridMultilevel"/>
    <w:tmpl w:val="0000000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4">
    <w:nsid w:val="76C279C8"/>
    <w:multiLevelType w:val="hybridMultilevel"/>
    <w:tmpl w:val="0000000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5">
    <w:nsid w:val="787A990A"/>
    <w:multiLevelType w:val="hybridMultilevel"/>
    <w:tmpl w:val="0000000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6">
    <w:nsid w:val="795373BB"/>
    <w:multiLevelType w:val="hybridMultilevel"/>
    <w:tmpl w:val="0000000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7">
    <w:nsid w:val="7B567F70"/>
    <w:multiLevelType w:val="hybridMultilevel"/>
    <w:tmpl w:val="0000000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8">
    <w:nsid w:val="7DFAED62"/>
    <w:multiLevelType w:val="hybridMultilevel"/>
    <w:tmpl w:val="00000000"/>
    <w:lvl w:ilvl="0">
      <w:start w:val="1"/>
      <w:numFmt w:val="bullet"/>
      <w:lvlText w:val=""/>
      <w:lvlJc w:val="left"/>
      <w:pPr>
        <w:ind w:left="927" w:hanging="360"/>
      </w:pPr>
      <w:rPr>
        <w:rFonts w:ascii="Symbol" w:hAnsi="Symbol" w:hint="default"/>
      </w:rPr>
    </w:lvl>
    <w:lvl w:ilvl="1">
      <w:start w:val="1"/>
      <w:numFmt w:val="bullet"/>
      <w:lvlText w:val="o"/>
      <w:lvlJc w:val="left"/>
      <w:pPr>
        <w:ind w:left="1647" w:hanging="360"/>
      </w:pPr>
      <w:rPr>
        <w:rFonts w:ascii="Courier New" w:hAnsi="Courier New" w:hint="default"/>
      </w:rPr>
    </w:lvl>
    <w:lvl w:ilvl="2">
      <w:start w:val="1"/>
      <w:numFmt w:val="bullet"/>
      <w:lvlText w:val=""/>
      <w:lvlJc w:val="left"/>
      <w:pPr>
        <w:ind w:left="2367" w:hanging="360"/>
      </w:pPr>
      <w:rPr>
        <w:rFonts w:ascii="Wingdings" w:hAnsi="Wingdings" w:hint="default"/>
      </w:rPr>
    </w:lvl>
    <w:lvl w:ilvl="3">
      <w:start w:val="1"/>
      <w:numFmt w:val="bullet"/>
      <w:lvlText w:val=""/>
      <w:lvlJc w:val="left"/>
      <w:pPr>
        <w:ind w:left="3087" w:hanging="360"/>
      </w:pPr>
      <w:rPr>
        <w:rFonts w:ascii="Symbol" w:hAnsi="Symbol" w:hint="default"/>
      </w:rPr>
    </w:lvl>
    <w:lvl w:ilvl="4">
      <w:start w:val="1"/>
      <w:numFmt w:val="bullet"/>
      <w:lvlText w:val="o"/>
      <w:lvlJc w:val="left"/>
      <w:pPr>
        <w:ind w:left="3807" w:hanging="360"/>
      </w:pPr>
      <w:rPr>
        <w:rFonts w:ascii="Courier New" w:hAnsi="Courier New" w:hint="default"/>
      </w:rPr>
    </w:lvl>
    <w:lvl w:ilvl="5">
      <w:start w:val="1"/>
      <w:numFmt w:val="bullet"/>
      <w:lvlText w:val=""/>
      <w:lvlJc w:val="left"/>
      <w:pPr>
        <w:ind w:left="4527" w:hanging="360"/>
      </w:pPr>
      <w:rPr>
        <w:rFonts w:ascii="Wingdings" w:hAnsi="Wingdings" w:hint="default"/>
      </w:rPr>
    </w:lvl>
    <w:lvl w:ilvl="6">
      <w:start w:val="1"/>
      <w:numFmt w:val="bullet"/>
      <w:lvlText w:val=""/>
      <w:lvlJc w:val="left"/>
      <w:pPr>
        <w:ind w:left="5247" w:hanging="360"/>
      </w:pPr>
      <w:rPr>
        <w:rFonts w:ascii="Symbol" w:hAnsi="Symbol" w:hint="default"/>
      </w:rPr>
    </w:lvl>
    <w:lvl w:ilvl="7">
      <w:start w:val="1"/>
      <w:numFmt w:val="bullet"/>
      <w:lvlText w:val="o"/>
      <w:lvlJc w:val="left"/>
      <w:pPr>
        <w:ind w:left="5967" w:hanging="360"/>
      </w:pPr>
      <w:rPr>
        <w:rFonts w:ascii="Courier New" w:hAnsi="Courier New" w:hint="default"/>
      </w:rPr>
    </w:lvl>
    <w:lvl w:ilvl="8">
      <w:start w:val="1"/>
      <w:numFmt w:val="bullet"/>
      <w:lvlText w:val=""/>
      <w:lvlJc w:val="left"/>
      <w:pPr>
        <w:ind w:left="6687" w:hanging="360"/>
      </w:pPr>
      <w:rPr>
        <w:rFonts w:ascii="Wingdings" w:hAnsi="Wingdings" w:hint="default"/>
      </w:rPr>
    </w:lvl>
  </w:abstractNum>
  <w:abstractNum w:abstractNumId="49">
    <w:nsid w:val="7E4175F5"/>
    <w:multiLevelType w:val="hybridMultilevel"/>
    <w:tmpl w:val="0000000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0">
    <w:nsid w:val="7EF69C4B"/>
    <w:multiLevelType w:val="hybridMultilevel"/>
    <w:tmpl w:val="0000000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num w:numId="1">
    <w:abstractNumId w:val="32"/>
  </w:num>
  <w:num w:numId="2">
    <w:abstractNumId w:val="49"/>
  </w:num>
  <w:num w:numId="3">
    <w:abstractNumId w:val="19"/>
  </w:num>
  <w:num w:numId="4">
    <w:abstractNumId w:val="10"/>
  </w:num>
  <w:num w:numId="5">
    <w:abstractNumId w:val="15"/>
  </w:num>
  <w:num w:numId="6">
    <w:abstractNumId w:val="21"/>
  </w:num>
  <w:num w:numId="7">
    <w:abstractNumId w:val="20"/>
  </w:num>
  <w:num w:numId="8">
    <w:abstractNumId w:val="36"/>
  </w:num>
  <w:num w:numId="9">
    <w:abstractNumId w:val="43"/>
  </w:num>
  <w:num w:numId="10">
    <w:abstractNumId w:val="23"/>
  </w:num>
  <w:num w:numId="11">
    <w:abstractNumId w:val="13"/>
  </w:num>
  <w:num w:numId="12">
    <w:abstractNumId w:val="46"/>
  </w:num>
  <w:num w:numId="13">
    <w:abstractNumId w:val="48"/>
  </w:num>
  <w:num w:numId="14">
    <w:abstractNumId w:val="50"/>
  </w:num>
  <w:num w:numId="15">
    <w:abstractNumId w:val="47"/>
  </w:num>
  <w:num w:numId="16">
    <w:abstractNumId w:val="34"/>
  </w:num>
  <w:num w:numId="17">
    <w:abstractNumId w:val="30"/>
  </w:num>
  <w:num w:numId="18">
    <w:abstractNumId w:val="28"/>
  </w:num>
  <w:num w:numId="19">
    <w:abstractNumId w:val="27"/>
  </w:num>
  <w:num w:numId="20">
    <w:abstractNumId w:val="26"/>
  </w:num>
  <w:num w:numId="21">
    <w:abstractNumId w:val="42"/>
  </w:num>
  <w:num w:numId="22">
    <w:abstractNumId w:val="11"/>
  </w:num>
  <w:num w:numId="23">
    <w:abstractNumId w:val="44"/>
  </w:num>
  <w:num w:numId="24">
    <w:abstractNumId w:val="18"/>
  </w:num>
  <w:num w:numId="25">
    <w:abstractNumId w:val="14"/>
  </w:num>
  <w:num w:numId="26">
    <w:abstractNumId w:val="25"/>
  </w:num>
  <w:num w:numId="27">
    <w:abstractNumId w:val="35"/>
  </w:num>
  <w:num w:numId="28">
    <w:abstractNumId w:val="40"/>
  </w:num>
  <w:num w:numId="29">
    <w:abstractNumId w:val="41"/>
  </w:num>
  <w:num w:numId="30">
    <w:abstractNumId w:val="22"/>
  </w:num>
  <w:num w:numId="31">
    <w:abstractNumId w:val="29"/>
  </w:num>
  <w:num w:numId="32">
    <w:abstractNumId w:val="12"/>
  </w:num>
  <w:num w:numId="33">
    <w:abstractNumId w:val="45"/>
  </w:num>
  <w:num w:numId="34">
    <w:abstractNumId w:val="38"/>
  </w:num>
  <w:num w:numId="35" w16cid:durableId="1036656465">
    <w:abstractNumId w:val="16"/>
  </w:num>
  <w:num w:numId="36" w16cid:durableId="1175725845">
    <w:abstractNumId w:val="8"/>
  </w:num>
  <w:num w:numId="37" w16cid:durableId="701857049">
    <w:abstractNumId w:val="3"/>
  </w:num>
  <w:num w:numId="38" w16cid:durableId="858154033">
    <w:abstractNumId w:val="2"/>
  </w:num>
  <w:num w:numId="39" w16cid:durableId="805052100">
    <w:abstractNumId w:val="1"/>
  </w:num>
  <w:num w:numId="40" w16cid:durableId="2047220084">
    <w:abstractNumId w:val="0"/>
  </w:num>
  <w:num w:numId="41" w16cid:durableId="1152647459">
    <w:abstractNumId w:val="9"/>
  </w:num>
  <w:num w:numId="42" w16cid:durableId="540170345">
    <w:abstractNumId w:val="7"/>
  </w:num>
  <w:num w:numId="43" w16cid:durableId="1472483670">
    <w:abstractNumId w:val="6"/>
  </w:num>
  <w:num w:numId="44" w16cid:durableId="1005940175">
    <w:abstractNumId w:val="5"/>
  </w:num>
  <w:num w:numId="45" w16cid:durableId="162823521">
    <w:abstractNumId w:val="4"/>
  </w:num>
  <w:num w:numId="46" w16cid:durableId="1715306055">
    <w:abstractNumId w:val="17"/>
  </w:num>
  <w:num w:numId="47" w16cid:durableId="958947322">
    <w:abstractNumId w:val="33"/>
  </w:num>
  <w:num w:numId="48" w16cid:durableId="1240796667">
    <w:abstractNumId w:val="37"/>
  </w:num>
  <w:num w:numId="49" w16cid:durableId="1741707904">
    <w:abstractNumId w:val="39"/>
  </w:num>
  <w:num w:numId="50" w16cid:durableId="1214347900">
    <w:abstractNumId w:val="24"/>
  </w:num>
  <w:num w:numId="51" w16cid:durableId="1826556132">
    <w:abstractNumId w:val="24"/>
    <w:lvlOverride w:ilvl="0">
      <w:lvl w:ilvl="0">
        <w:start w:val="1"/>
        <w:numFmt w:val="decimal"/>
        <w:pStyle w:val="Heading1"/>
        <w:lvlText w:val="%1"/>
        <w:lvlJc w:val="left"/>
        <w:pPr>
          <w:ind w:left="432" w:hanging="432"/>
        </w:pPr>
        <w:rPr>
          <w:rFonts w:hint="default"/>
        </w:rPr>
      </w:lvl>
    </w:lvlOverride>
    <w:lvlOverride w:ilvl="1">
      <w:lvl w:ilvl="1">
        <w:start w:val="1"/>
        <w:numFmt w:val="decimal"/>
        <w:pStyle w:val="Heading2"/>
        <w:lvlText w:val="%1.%2"/>
        <w:lvlJc w:val="left"/>
        <w:pPr>
          <w:ind w:left="576" w:hanging="576"/>
        </w:pPr>
        <w:rPr>
          <w:rFonts w:hint="default"/>
        </w:rPr>
      </w:lvl>
    </w:lvlOverride>
    <w:lvlOverride w:ilvl="2">
      <w:lvl w:ilvl="2">
        <w:start w:val="1"/>
        <w:numFmt w:val="decimal"/>
        <w:lvlRestart w:val="1"/>
        <w:pStyle w:val="Heading3"/>
        <w:lvlText w:val="%2.%3.%1"/>
        <w:lvlJc w:val="left"/>
        <w:pPr>
          <w:ind w:left="720" w:hanging="720"/>
        </w:pPr>
        <w:rPr>
          <w:rFonts w:hint="default"/>
        </w:rPr>
      </w:lvl>
    </w:lvlOverride>
    <w:lvlOverride w:ilvl="3">
      <w:lvl w:ilvl="3">
        <w:start w:val="1"/>
        <w:numFmt w:val="decimal"/>
        <w:pStyle w:val="Heading4"/>
        <w:lvlText w:val="%1.%2.%3.%4"/>
        <w:lvlJc w:val="left"/>
        <w:pPr>
          <w:ind w:left="864" w:hanging="864"/>
        </w:pPr>
        <w:rPr>
          <w:rFonts w:hint="default"/>
        </w:rPr>
      </w:lvl>
    </w:lvlOverride>
    <w:lvlOverride w:ilvl="4">
      <w:lvl w:ilvl="4">
        <w:start w:val="1"/>
        <w:numFmt w:val="decimal"/>
        <w:pStyle w:val="Heading5"/>
        <w:lvlText w:val="%1.%2.%3.%4.%5"/>
        <w:lvlJc w:val="left"/>
        <w:pPr>
          <w:ind w:left="1008" w:hanging="1008"/>
        </w:pPr>
        <w:rPr>
          <w:rFonts w:hint="default"/>
        </w:rPr>
      </w:lvl>
    </w:lvlOverride>
    <w:lvlOverride w:ilvl="5">
      <w:lvl w:ilvl="5">
        <w:start w:val="1"/>
        <w:numFmt w:val="decimal"/>
        <w:pStyle w:val="Heading6"/>
        <w:lvlText w:val="%1.%2.%3.%4.%5.%6"/>
        <w:lvlJc w:val="left"/>
        <w:pPr>
          <w:ind w:left="1152" w:hanging="1152"/>
        </w:pPr>
        <w:rPr>
          <w:rFonts w:hint="default"/>
        </w:rPr>
      </w:lvl>
    </w:lvlOverride>
    <w:lvlOverride w:ilvl="6">
      <w:lvl w:ilvl="6">
        <w:start w:val="1"/>
        <w:numFmt w:val="decimal"/>
        <w:pStyle w:val="Heading7"/>
        <w:lvlText w:val="%1.%2.%3.%4.%5.%6.%7"/>
        <w:lvlJc w:val="left"/>
        <w:pPr>
          <w:ind w:left="1296" w:hanging="1296"/>
        </w:pPr>
        <w:rPr>
          <w:rFonts w:hint="default"/>
        </w:rPr>
      </w:lvl>
    </w:lvlOverride>
    <w:lvlOverride w:ilvl="7">
      <w:lvl w:ilvl="7">
        <w:start w:val="1"/>
        <w:numFmt w:val="decimal"/>
        <w:pStyle w:val="Heading8"/>
        <w:lvlText w:val="%1.%2.%3.%4.%5.%6.%7.%8"/>
        <w:lvlJc w:val="left"/>
        <w:pPr>
          <w:ind w:left="1440" w:hanging="1440"/>
        </w:pPr>
        <w:rPr>
          <w:rFonts w:hint="default"/>
        </w:rPr>
      </w:lvl>
    </w:lvlOverride>
    <w:lvlOverride w:ilvl="8">
      <w:lvl w:ilvl="8">
        <w:start w:val="1"/>
        <w:numFmt w:val="decimal"/>
        <w:pStyle w:val="Heading9"/>
        <w:lvlText w:val="%1.%2.%3.%4.%5.%6.%7.%8.%9"/>
        <w:lvlJc w:val="left"/>
        <w:pPr>
          <w:ind w:left="1584" w:hanging="1584"/>
        </w:pPr>
        <w:rPr>
          <w:rFonts w:hint="default"/>
        </w:rPr>
      </w:lvl>
    </w:lvlOverride>
  </w:num>
  <w:num w:numId="52" w16cid:durableId="974800904">
    <w:abstractNumId w:val="3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w15:person w15:author="Frøyen, Amalie">
    <w15:presenceInfo w15:providerId="None" w15:userId=""/>
  </w15:person>
  <w15:person w15:author="Frøyen, Amalie">
    <w15:presenceInfo w15:providerId="None" w15:userId=""/>
  </w15:person>
  <w15:person w15:author="Frøyen, Amalie">
    <w15:presenceInfo w15:providerId="None" w15:userId=""/>
  </w15:person>
  <w15:person w15:author="Frøyen, Amalie">
    <w15:presenceInfo w15:providerId="None" w15:userId=""/>
  </w15:person>
  <w15:person w15:author="Frøyen, Amalie">
    <w15:presenceInfo w15:providerId="None" w15:userId=""/>
  </w15:person>
  <w15:person w15:author="Frøyen, Amalie">
    <w15:presenceInfo w15:providerId="None" w15:userId=""/>
  </w15:person>
  <w15:person w15:author="Frøyen, Amalie">
    <w15:presenceInfo w15:providerId="None" w15:userId=""/>
  </w15:person>
  <w15:person w15:author="Frøyen, Amalie">
    <w15:presenceInfo w15:providerId="None" w15:userId=""/>
  </w15:person>
  <w15:person w15:author="Frøyen, Amalie">
    <w15:presenceInfo w15:providerId="None" w15:userId=""/>
  </w15:person>
  <w15:person w15:author="Frøyen, Amalie">
    <w15:presenceInfo w15:providerId="None" w15:userId=""/>
  </w15:person>
  <w15:person w15:author="Frøyen, Amalie">
    <w15:presenceInfo w15:providerId="None" w15:userId=""/>
  </w15:person>
  <w15:person w15:author="Frøyen, Amalie">
    <w15:presenceInfo w15:providerId="None" w15:userId=""/>
  </w15:person>
  <w15:person w15:author="Frøyen, Amalie">
    <w15:presenceInfo w15:providerId="None" w15:userI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sl="http://schemas.openxmlformats.org/schemaLibrary/2006/main" mc:Ignorable="w14 w15 w16se w16cid w16 w16cex w16sdtdh">
  <w:zoom w:percent="150"/>
  <w:printFractionalCharacterWidth/>
  <w:proofState w:spelling="clean"/>
  <w:attachedTemplate r:id="rId1"/>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09"/>
  <w:hyphenationZone w:val="425"/>
  <w:doNotHyphenateCaps/>
  <w:displayHorizontalDrawingGridEvery w:val="0"/>
  <w:displayVerticalDrawingGridEvery w:val="0"/>
  <w:doNotUseMarginsForDrawingGridOrigin/>
  <w:doNotShadeFormData/>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5A8A"/>
    <w:rsid w:val="000038E2"/>
    <w:rsid w:val="00005ABC"/>
    <w:rsid w:val="00007BD0"/>
    <w:rsid w:val="00020754"/>
    <w:rsid w:val="000354A8"/>
    <w:rsid w:val="00042992"/>
    <w:rsid w:val="00050E94"/>
    <w:rsid w:val="0005214E"/>
    <w:rsid w:val="00056D52"/>
    <w:rsid w:val="00066A58"/>
    <w:rsid w:val="00067C31"/>
    <w:rsid w:val="00076677"/>
    <w:rsid w:val="00081F27"/>
    <w:rsid w:val="00083284"/>
    <w:rsid w:val="00097072"/>
    <w:rsid w:val="000A1D6A"/>
    <w:rsid w:val="000A6B2D"/>
    <w:rsid w:val="000C6A9B"/>
    <w:rsid w:val="000C73DF"/>
    <w:rsid w:val="000C763E"/>
    <w:rsid w:val="000D3C29"/>
    <w:rsid w:val="000D5FFE"/>
    <w:rsid w:val="000D63E4"/>
    <w:rsid w:val="000F32C5"/>
    <w:rsid w:val="000F5FC0"/>
    <w:rsid w:val="00101002"/>
    <w:rsid w:val="00115094"/>
    <w:rsid w:val="00117E18"/>
    <w:rsid w:val="00140619"/>
    <w:rsid w:val="00144BC1"/>
    <w:rsid w:val="00150F73"/>
    <w:rsid w:val="00151E16"/>
    <w:rsid w:val="00155765"/>
    <w:rsid w:val="00157C37"/>
    <w:rsid w:val="00161FD5"/>
    <w:rsid w:val="00176BA5"/>
    <w:rsid w:val="00187793"/>
    <w:rsid w:val="0019138B"/>
    <w:rsid w:val="0019290E"/>
    <w:rsid w:val="001A4CED"/>
    <w:rsid w:val="001B1D43"/>
    <w:rsid w:val="001B37A6"/>
    <w:rsid w:val="001C094A"/>
    <w:rsid w:val="001E1DBA"/>
    <w:rsid w:val="001F43D4"/>
    <w:rsid w:val="001F7E88"/>
    <w:rsid w:val="0020110C"/>
    <w:rsid w:val="00203F1E"/>
    <w:rsid w:val="00227AF8"/>
    <w:rsid w:val="00231DC5"/>
    <w:rsid w:val="00241F65"/>
    <w:rsid w:val="00246C9E"/>
    <w:rsid w:val="002744C3"/>
    <w:rsid w:val="00281B8D"/>
    <w:rsid w:val="00284EBB"/>
    <w:rsid w:val="00291CD7"/>
    <w:rsid w:val="002A4A07"/>
    <w:rsid w:val="002A791D"/>
    <w:rsid w:val="002B1F3C"/>
    <w:rsid w:val="002D0738"/>
    <w:rsid w:val="002F5A32"/>
    <w:rsid w:val="00304B15"/>
    <w:rsid w:val="00311019"/>
    <w:rsid w:val="00312D39"/>
    <w:rsid w:val="003403C0"/>
    <w:rsid w:val="00360258"/>
    <w:rsid w:val="00362B96"/>
    <w:rsid w:val="00381C00"/>
    <w:rsid w:val="00387597"/>
    <w:rsid w:val="00390056"/>
    <w:rsid w:val="00393223"/>
    <w:rsid w:val="003A669E"/>
    <w:rsid w:val="003A6B8A"/>
    <w:rsid w:val="003C5594"/>
    <w:rsid w:val="003D3C2E"/>
    <w:rsid w:val="003E1B52"/>
    <w:rsid w:val="003E25C1"/>
    <w:rsid w:val="003E4741"/>
    <w:rsid w:val="003F4A3C"/>
    <w:rsid w:val="00407B78"/>
    <w:rsid w:val="00411E8A"/>
    <w:rsid w:val="004252FB"/>
    <w:rsid w:val="00437DED"/>
    <w:rsid w:val="00455820"/>
    <w:rsid w:val="004568C8"/>
    <w:rsid w:val="004611B5"/>
    <w:rsid w:val="004640AA"/>
    <w:rsid w:val="0047022F"/>
    <w:rsid w:val="004719A0"/>
    <w:rsid w:val="00482156"/>
    <w:rsid w:val="00482CE0"/>
    <w:rsid w:val="0048427D"/>
    <w:rsid w:val="00485214"/>
    <w:rsid w:val="004B1EF5"/>
    <w:rsid w:val="004B40D7"/>
    <w:rsid w:val="004C563C"/>
    <w:rsid w:val="004D0DCE"/>
    <w:rsid w:val="004D15E6"/>
    <w:rsid w:val="004E0461"/>
    <w:rsid w:val="004E763F"/>
    <w:rsid w:val="0050053D"/>
    <w:rsid w:val="00507D96"/>
    <w:rsid w:val="005103B6"/>
    <w:rsid w:val="00510BDF"/>
    <w:rsid w:val="00520D11"/>
    <w:rsid w:val="00524CF7"/>
    <w:rsid w:val="00532237"/>
    <w:rsid w:val="0053273E"/>
    <w:rsid w:val="005370F4"/>
    <w:rsid w:val="00540375"/>
    <w:rsid w:val="0054179A"/>
    <w:rsid w:val="0054461F"/>
    <w:rsid w:val="00547EEF"/>
    <w:rsid w:val="005562F2"/>
    <w:rsid w:val="00556838"/>
    <w:rsid w:val="00557C81"/>
    <w:rsid w:val="00577FEE"/>
    <w:rsid w:val="005810F3"/>
    <w:rsid w:val="0058166E"/>
    <w:rsid w:val="0058663E"/>
    <w:rsid w:val="00590E1D"/>
    <w:rsid w:val="005A5E90"/>
    <w:rsid w:val="005B084B"/>
    <w:rsid w:val="005B0B7E"/>
    <w:rsid w:val="005B308D"/>
    <w:rsid w:val="005B4C45"/>
    <w:rsid w:val="005F0E8F"/>
    <w:rsid w:val="00606A4F"/>
    <w:rsid w:val="00611A93"/>
    <w:rsid w:val="00611B44"/>
    <w:rsid w:val="00617242"/>
    <w:rsid w:val="006479E1"/>
    <w:rsid w:val="00650773"/>
    <w:rsid w:val="00652242"/>
    <w:rsid w:val="0067105D"/>
    <w:rsid w:val="006720B2"/>
    <w:rsid w:val="00677EB4"/>
    <w:rsid w:val="00693B1B"/>
    <w:rsid w:val="00697362"/>
    <w:rsid w:val="006B1529"/>
    <w:rsid w:val="006B2158"/>
    <w:rsid w:val="006C17D9"/>
    <w:rsid w:val="006C735A"/>
    <w:rsid w:val="006D0B1E"/>
    <w:rsid w:val="006D2D97"/>
    <w:rsid w:val="006D3A08"/>
    <w:rsid w:val="006D516B"/>
    <w:rsid w:val="006D57BF"/>
    <w:rsid w:val="006E06DD"/>
    <w:rsid w:val="006E2A16"/>
    <w:rsid w:val="006E4AAC"/>
    <w:rsid w:val="006E5645"/>
    <w:rsid w:val="006F6255"/>
    <w:rsid w:val="00707B83"/>
    <w:rsid w:val="00713D7C"/>
    <w:rsid w:val="00727E6C"/>
    <w:rsid w:val="007367F2"/>
    <w:rsid w:val="0078621E"/>
    <w:rsid w:val="00793756"/>
    <w:rsid w:val="007C3E55"/>
    <w:rsid w:val="007E4125"/>
    <w:rsid w:val="0080313B"/>
    <w:rsid w:val="00806640"/>
    <w:rsid w:val="008078AB"/>
    <w:rsid w:val="00820775"/>
    <w:rsid w:val="00820B61"/>
    <w:rsid w:val="008361CD"/>
    <w:rsid w:val="0083F2BF"/>
    <w:rsid w:val="008419E2"/>
    <w:rsid w:val="00843ADC"/>
    <w:rsid w:val="00845551"/>
    <w:rsid w:val="008461D2"/>
    <w:rsid w:val="00850B9C"/>
    <w:rsid w:val="008530BA"/>
    <w:rsid w:val="00853B1D"/>
    <w:rsid w:val="00855382"/>
    <w:rsid w:val="008564CD"/>
    <w:rsid w:val="00862FF8"/>
    <w:rsid w:val="00864BB9"/>
    <w:rsid w:val="0088008E"/>
    <w:rsid w:val="00885802"/>
    <w:rsid w:val="008A218A"/>
    <w:rsid w:val="008B41C0"/>
    <w:rsid w:val="008B5CBE"/>
    <w:rsid w:val="008B7340"/>
    <w:rsid w:val="008C3A13"/>
    <w:rsid w:val="008C41EB"/>
    <w:rsid w:val="008C797A"/>
    <w:rsid w:val="008D33F1"/>
    <w:rsid w:val="008E4C99"/>
    <w:rsid w:val="008E56A7"/>
    <w:rsid w:val="008F30D5"/>
    <w:rsid w:val="008F40E4"/>
    <w:rsid w:val="00903623"/>
    <w:rsid w:val="009039EB"/>
    <w:rsid w:val="00905B0B"/>
    <w:rsid w:val="00907122"/>
    <w:rsid w:val="00907ABE"/>
    <w:rsid w:val="00911803"/>
    <w:rsid w:val="0091692D"/>
    <w:rsid w:val="00935DE6"/>
    <w:rsid w:val="00940FC5"/>
    <w:rsid w:val="009456D0"/>
    <w:rsid w:val="009506D3"/>
    <w:rsid w:val="00963180"/>
    <w:rsid w:val="00964121"/>
    <w:rsid w:val="00970B24"/>
    <w:rsid w:val="009A2EB0"/>
    <w:rsid w:val="009B041D"/>
    <w:rsid w:val="009B19A9"/>
    <w:rsid w:val="009C6E05"/>
    <w:rsid w:val="009D023B"/>
    <w:rsid w:val="009D072D"/>
    <w:rsid w:val="009D4154"/>
    <w:rsid w:val="009E0D59"/>
    <w:rsid w:val="009E1AE8"/>
    <w:rsid w:val="009F7668"/>
    <w:rsid w:val="00A17D23"/>
    <w:rsid w:val="00A271A9"/>
    <w:rsid w:val="00A3019C"/>
    <w:rsid w:val="00A43AE5"/>
    <w:rsid w:val="00A55D47"/>
    <w:rsid w:val="00A577D4"/>
    <w:rsid w:val="00A75A8B"/>
    <w:rsid w:val="00A9508B"/>
    <w:rsid w:val="00AB08E0"/>
    <w:rsid w:val="00AC0D84"/>
    <w:rsid w:val="00AC35FB"/>
    <w:rsid w:val="00AD1672"/>
    <w:rsid w:val="00AD1E4B"/>
    <w:rsid w:val="00AD296B"/>
    <w:rsid w:val="00AD3BC6"/>
    <w:rsid w:val="00AD6B34"/>
    <w:rsid w:val="00AE6893"/>
    <w:rsid w:val="00AF5DDC"/>
    <w:rsid w:val="00AF6094"/>
    <w:rsid w:val="00B02D46"/>
    <w:rsid w:val="00B02D6D"/>
    <w:rsid w:val="00B218AB"/>
    <w:rsid w:val="00B21CB1"/>
    <w:rsid w:val="00B236DD"/>
    <w:rsid w:val="00B24A00"/>
    <w:rsid w:val="00B46418"/>
    <w:rsid w:val="00B55A8A"/>
    <w:rsid w:val="00B803E3"/>
    <w:rsid w:val="00B900D2"/>
    <w:rsid w:val="00BC3FD8"/>
    <w:rsid w:val="00BC5853"/>
    <w:rsid w:val="00BD6D72"/>
    <w:rsid w:val="00BE48E2"/>
    <w:rsid w:val="00BF6B78"/>
    <w:rsid w:val="00C071DF"/>
    <w:rsid w:val="00C24BA6"/>
    <w:rsid w:val="00C40A3A"/>
    <w:rsid w:val="00C4283A"/>
    <w:rsid w:val="00C450FE"/>
    <w:rsid w:val="00C47D6B"/>
    <w:rsid w:val="00C5222B"/>
    <w:rsid w:val="00C72834"/>
    <w:rsid w:val="00C81FA3"/>
    <w:rsid w:val="00C836EE"/>
    <w:rsid w:val="00C84942"/>
    <w:rsid w:val="00C962F9"/>
    <w:rsid w:val="00C97AFA"/>
    <w:rsid w:val="00CA0ECF"/>
    <w:rsid w:val="00CB3EB0"/>
    <w:rsid w:val="00CB523D"/>
    <w:rsid w:val="00CD6C43"/>
    <w:rsid w:val="00CE5024"/>
    <w:rsid w:val="00CF2E4A"/>
    <w:rsid w:val="00D013CC"/>
    <w:rsid w:val="00D03EED"/>
    <w:rsid w:val="00D13046"/>
    <w:rsid w:val="00D26789"/>
    <w:rsid w:val="00D320CC"/>
    <w:rsid w:val="00D36983"/>
    <w:rsid w:val="00D36A2D"/>
    <w:rsid w:val="00D40E94"/>
    <w:rsid w:val="00D4374F"/>
    <w:rsid w:val="00D53A2C"/>
    <w:rsid w:val="00D7283E"/>
    <w:rsid w:val="00D8507D"/>
    <w:rsid w:val="00D948F4"/>
    <w:rsid w:val="00D95FB8"/>
    <w:rsid w:val="00DA0D76"/>
    <w:rsid w:val="00DB372D"/>
    <w:rsid w:val="00DD1C72"/>
    <w:rsid w:val="00DD2FE1"/>
    <w:rsid w:val="00DD7CFF"/>
    <w:rsid w:val="00DE2C1F"/>
    <w:rsid w:val="00DF7BA8"/>
    <w:rsid w:val="00E023CD"/>
    <w:rsid w:val="00E033C9"/>
    <w:rsid w:val="00E04941"/>
    <w:rsid w:val="00E268CB"/>
    <w:rsid w:val="00E30F00"/>
    <w:rsid w:val="00E3168F"/>
    <w:rsid w:val="00E33977"/>
    <w:rsid w:val="00E35541"/>
    <w:rsid w:val="00E35C67"/>
    <w:rsid w:val="00E36B5C"/>
    <w:rsid w:val="00E40863"/>
    <w:rsid w:val="00E4664C"/>
    <w:rsid w:val="00E5442A"/>
    <w:rsid w:val="00E65C74"/>
    <w:rsid w:val="00E67083"/>
    <w:rsid w:val="00E754D7"/>
    <w:rsid w:val="00E774C2"/>
    <w:rsid w:val="00E8039E"/>
    <w:rsid w:val="00E80759"/>
    <w:rsid w:val="00E8424E"/>
    <w:rsid w:val="00E86FAE"/>
    <w:rsid w:val="00E8758E"/>
    <w:rsid w:val="00E90D68"/>
    <w:rsid w:val="00E96F17"/>
    <w:rsid w:val="00EA5771"/>
    <w:rsid w:val="00EB193A"/>
    <w:rsid w:val="00EB3357"/>
    <w:rsid w:val="00EB3728"/>
    <w:rsid w:val="00EB79E9"/>
    <w:rsid w:val="00EC1A89"/>
    <w:rsid w:val="00ED248C"/>
    <w:rsid w:val="00EE0410"/>
    <w:rsid w:val="00EE3B2D"/>
    <w:rsid w:val="00EF5BB3"/>
    <w:rsid w:val="00F166F5"/>
    <w:rsid w:val="00F16CEA"/>
    <w:rsid w:val="00F24469"/>
    <w:rsid w:val="00F43A32"/>
    <w:rsid w:val="00F46524"/>
    <w:rsid w:val="00F712A2"/>
    <w:rsid w:val="00F8392F"/>
    <w:rsid w:val="00F958D6"/>
    <w:rsid w:val="00FB090D"/>
    <w:rsid w:val="00FB2EC4"/>
    <w:rsid w:val="00FB3861"/>
    <w:rsid w:val="00FD0B94"/>
    <w:rsid w:val="00FD5284"/>
    <w:rsid w:val="00FD64C1"/>
    <w:rsid w:val="00FF5B51"/>
    <w:rsid w:val="00FF672A"/>
    <w:rsid w:val="00FF6C0E"/>
    <w:rsid w:val="00FF6D3F"/>
    <w:rsid w:val="010D85DB"/>
    <w:rsid w:val="018DD052"/>
    <w:rsid w:val="01F7A053"/>
    <w:rsid w:val="03504451"/>
    <w:rsid w:val="03B23547"/>
    <w:rsid w:val="03C4B5EF"/>
    <w:rsid w:val="04BE6F41"/>
    <w:rsid w:val="06F60135"/>
    <w:rsid w:val="078776B6"/>
    <w:rsid w:val="07A735A3"/>
    <w:rsid w:val="0876D121"/>
    <w:rsid w:val="08D7B979"/>
    <w:rsid w:val="09218537"/>
    <w:rsid w:val="0922E3CA"/>
    <w:rsid w:val="093D4FF5"/>
    <w:rsid w:val="0A4E8094"/>
    <w:rsid w:val="0B0F6F7F"/>
    <w:rsid w:val="0B136208"/>
    <w:rsid w:val="0B77C025"/>
    <w:rsid w:val="0BEA2CA6"/>
    <w:rsid w:val="0C08A0E7"/>
    <w:rsid w:val="0C54E77F"/>
    <w:rsid w:val="0C554804"/>
    <w:rsid w:val="0CAC805C"/>
    <w:rsid w:val="0D05E0CF"/>
    <w:rsid w:val="0DE68A51"/>
    <w:rsid w:val="0E715B59"/>
    <w:rsid w:val="0F06FC0E"/>
    <w:rsid w:val="0F676445"/>
    <w:rsid w:val="1060B6D8"/>
    <w:rsid w:val="107F0A2D"/>
    <w:rsid w:val="11157374"/>
    <w:rsid w:val="11CEEB8E"/>
    <w:rsid w:val="126317AD"/>
    <w:rsid w:val="12D7FB0C"/>
    <w:rsid w:val="13D7CE0E"/>
    <w:rsid w:val="144C91F5"/>
    <w:rsid w:val="14DE3F5E"/>
    <w:rsid w:val="14FC6B18"/>
    <w:rsid w:val="157C89DD"/>
    <w:rsid w:val="16DD8BAB"/>
    <w:rsid w:val="17782EC2"/>
    <w:rsid w:val="19E0FC20"/>
    <w:rsid w:val="1A4A5B53"/>
    <w:rsid w:val="1AC22EB8"/>
    <w:rsid w:val="1B76542A"/>
    <w:rsid w:val="1BE6BB8F"/>
    <w:rsid w:val="1C9E89FC"/>
    <w:rsid w:val="1D180D02"/>
    <w:rsid w:val="1D2438FF"/>
    <w:rsid w:val="1D438AC5"/>
    <w:rsid w:val="1D5A3D20"/>
    <w:rsid w:val="1D9B50C0"/>
    <w:rsid w:val="1DA5CD64"/>
    <w:rsid w:val="1F168585"/>
    <w:rsid w:val="1FAF0D73"/>
    <w:rsid w:val="1FC6141B"/>
    <w:rsid w:val="2049461A"/>
    <w:rsid w:val="20FDB939"/>
    <w:rsid w:val="21CC5111"/>
    <w:rsid w:val="22117647"/>
    <w:rsid w:val="226082B6"/>
    <w:rsid w:val="22E81E05"/>
    <w:rsid w:val="2444CA73"/>
    <w:rsid w:val="248984DE"/>
    <w:rsid w:val="24BD7F05"/>
    <w:rsid w:val="258361DE"/>
    <w:rsid w:val="25BE2963"/>
    <w:rsid w:val="263B391B"/>
    <w:rsid w:val="268AAC32"/>
    <w:rsid w:val="27960BA1"/>
    <w:rsid w:val="27B2592C"/>
    <w:rsid w:val="28BB73E4"/>
    <w:rsid w:val="2A793B06"/>
    <w:rsid w:val="2A9F2535"/>
    <w:rsid w:val="2AC24C83"/>
    <w:rsid w:val="2B14BB42"/>
    <w:rsid w:val="2C3345B9"/>
    <w:rsid w:val="2D0E0C26"/>
    <w:rsid w:val="2D4FF5EC"/>
    <w:rsid w:val="2E1A8257"/>
    <w:rsid w:val="2E4CF152"/>
    <w:rsid w:val="2E93CE1E"/>
    <w:rsid w:val="2EE4BB55"/>
    <w:rsid w:val="2EF9A07A"/>
    <w:rsid w:val="2FD79F24"/>
    <w:rsid w:val="323FE073"/>
    <w:rsid w:val="326A5051"/>
    <w:rsid w:val="32DCB370"/>
    <w:rsid w:val="32E455F7"/>
    <w:rsid w:val="3345FBF1"/>
    <w:rsid w:val="33915479"/>
    <w:rsid w:val="339348B4"/>
    <w:rsid w:val="339CD7DB"/>
    <w:rsid w:val="33DA2C4F"/>
    <w:rsid w:val="33F51BCB"/>
    <w:rsid w:val="344A2F76"/>
    <w:rsid w:val="3469C70C"/>
    <w:rsid w:val="34721E13"/>
    <w:rsid w:val="35121C61"/>
    <w:rsid w:val="35C30BBC"/>
    <w:rsid w:val="35E34F9F"/>
    <w:rsid w:val="361DFF1A"/>
    <w:rsid w:val="37342628"/>
    <w:rsid w:val="37A7A651"/>
    <w:rsid w:val="382792C1"/>
    <w:rsid w:val="38F4ADBE"/>
    <w:rsid w:val="3914D25E"/>
    <w:rsid w:val="39A77A65"/>
    <w:rsid w:val="39C7980F"/>
    <w:rsid w:val="3A7FA0B3"/>
    <w:rsid w:val="3AEB0495"/>
    <w:rsid w:val="3AF4E149"/>
    <w:rsid w:val="3BC98025"/>
    <w:rsid w:val="3C181E85"/>
    <w:rsid w:val="3D233641"/>
    <w:rsid w:val="3D678683"/>
    <w:rsid w:val="3EDBD215"/>
    <w:rsid w:val="3F1DEA2F"/>
    <w:rsid w:val="3F1E4144"/>
    <w:rsid w:val="3F80C425"/>
    <w:rsid w:val="402410BA"/>
    <w:rsid w:val="40321489"/>
    <w:rsid w:val="40A2171F"/>
    <w:rsid w:val="412D74D7"/>
    <w:rsid w:val="43380E91"/>
    <w:rsid w:val="43BBC3D7"/>
    <w:rsid w:val="43E2B3B8"/>
    <w:rsid w:val="43E5C4D5"/>
    <w:rsid w:val="43ED46B5"/>
    <w:rsid w:val="44B07A51"/>
    <w:rsid w:val="44BD9A03"/>
    <w:rsid w:val="453D50C2"/>
    <w:rsid w:val="4558282A"/>
    <w:rsid w:val="46E86ACC"/>
    <w:rsid w:val="46FA4FCA"/>
    <w:rsid w:val="473FB597"/>
    <w:rsid w:val="48C778EE"/>
    <w:rsid w:val="49633ADB"/>
    <w:rsid w:val="4ACDFC9A"/>
    <w:rsid w:val="4B35B39B"/>
    <w:rsid w:val="4BADA69D"/>
    <w:rsid w:val="4C9EAD83"/>
    <w:rsid w:val="4CDD9FAD"/>
    <w:rsid w:val="4D695310"/>
    <w:rsid w:val="4E16C336"/>
    <w:rsid w:val="4E3957C8"/>
    <w:rsid w:val="4EC9D87B"/>
    <w:rsid w:val="4EE173BD"/>
    <w:rsid w:val="4FBA3144"/>
    <w:rsid w:val="4FFFB145"/>
    <w:rsid w:val="5163B780"/>
    <w:rsid w:val="518BB511"/>
    <w:rsid w:val="51B374E3"/>
    <w:rsid w:val="51F1638B"/>
    <w:rsid w:val="52327787"/>
    <w:rsid w:val="52A49676"/>
    <w:rsid w:val="54C72808"/>
    <w:rsid w:val="559EAADA"/>
    <w:rsid w:val="55C3BFF3"/>
    <w:rsid w:val="56B2C50C"/>
    <w:rsid w:val="57FEDE8B"/>
    <w:rsid w:val="58D13AA4"/>
    <w:rsid w:val="5A76BF10"/>
    <w:rsid w:val="5AE797E7"/>
    <w:rsid w:val="5C1C87DA"/>
    <w:rsid w:val="5C86AE2D"/>
    <w:rsid w:val="5E8296C7"/>
    <w:rsid w:val="5E89FCC9"/>
    <w:rsid w:val="5EA90704"/>
    <w:rsid w:val="5FA5D3DD"/>
    <w:rsid w:val="601971C1"/>
    <w:rsid w:val="61289A1E"/>
    <w:rsid w:val="61690B85"/>
    <w:rsid w:val="618B7735"/>
    <w:rsid w:val="62518080"/>
    <w:rsid w:val="628DC18E"/>
    <w:rsid w:val="62929D39"/>
    <w:rsid w:val="636FD906"/>
    <w:rsid w:val="642ABB8E"/>
    <w:rsid w:val="64B81FFB"/>
    <w:rsid w:val="65DC964D"/>
    <w:rsid w:val="663B72CF"/>
    <w:rsid w:val="674D2482"/>
    <w:rsid w:val="67F5B3C9"/>
    <w:rsid w:val="687C543A"/>
    <w:rsid w:val="68BDD718"/>
    <w:rsid w:val="6A5CE9FC"/>
    <w:rsid w:val="6BC9C4CA"/>
    <w:rsid w:val="6C049CDA"/>
    <w:rsid w:val="6EB9874D"/>
    <w:rsid w:val="6ED625B4"/>
    <w:rsid w:val="7050FDBE"/>
    <w:rsid w:val="70FF626F"/>
    <w:rsid w:val="713EB414"/>
    <w:rsid w:val="715671DE"/>
    <w:rsid w:val="7170AD18"/>
    <w:rsid w:val="718C80A2"/>
    <w:rsid w:val="71C7FAB3"/>
    <w:rsid w:val="72D107D4"/>
    <w:rsid w:val="73275EAB"/>
    <w:rsid w:val="7344D193"/>
    <w:rsid w:val="738EF2A1"/>
    <w:rsid w:val="73B2E4AD"/>
    <w:rsid w:val="73B9CB2B"/>
    <w:rsid w:val="749CBE44"/>
    <w:rsid w:val="75220DB1"/>
    <w:rsid w:val="75B0C4E3"/>
    <w:rsid w:val="761820AB"/>
    <w:rsid w:val="76263B2A"/>
    <w:rsid w:val="7933BCC4"/>
    <w:rsid w:val="795B4E9E"/>
    <w:rsid w:val="79C3330D"/>
    <w:rsid w:val="7A41417A"/>
    <w:rsid w:val="7C55821C"/>
    <w:rsid w:val="7D2BD13F"/>
    <w:rsid w:val="7D7D77A4"/>
    <w:rsid w:val="7DB71574"/>
    <w:rsid w:val="7E43DDA5"/>
    <w:rsid w:val="7EE93D3F"/>
    <w:rsid w:val="7F428DB2"/>
  </w:rsids>
  <w:docVars>
    <w:docVar w:name="beskyttet" w:val="nei"/>
    <w:docVar w:name="docver" w:val="2.20"/>
    <w:docVar w:name="ek_dbfields" w:val="EK_Avdeling¤2#4¤2#[Avdeling]¤3#EK_Avsnitt¤2#4¤2#[Avsnitt]¤3#EK_Bedriftsnavn¤2#1¤2#Helse Bergen¤3#EK_GjelderFra¤2#0¤2#[GjelderFra]¤3#EK_KlGjelderFra¤2#0¤2#[KlGjelderFra]¤3#EK_Opprettet¤2#0¤2#[Opprettet]¤3#EK_Utgitt¤2#0¤2#[Utgitt]¤3#EK_IBrukDato¤2#0¤2#[Endret]¤3#EK_DokumentID¤2#0¤2#[ID]¤3#EK_DokTittel¤2#0¤2#HBHF Generell/standard mal Helse Bergen¤3#EK_DokType¤2#0¤2#[DokType]¤3#EK_DocLvlShort¤2#0¤2#[DokNivåKort]¤3#EK_DocLevel¤2#0¤2#[DokNivå]¤3#EK_EksRef¤2#2¤2#EksRef_Layout¤3#EK_Erstatter¤2#0¤2#[Erstatter]¤3#EK_ErstatterD¤2#0¤2#[ErstatterD]¤3#EK_Signatur¤2#0¤2#[Signatur]¤3#EK_Verifisert¤2#0¤2#[Verifisert av]¤3#EK_Hørt¤2#0¤2#[Hørt av]¤3#EK_AuditReview¤2#2¤2#;[Signaturliste];¤3#EK_AuditApprove¤2#2¤2#;[Signaturliste];¤3#EK_Gradering¤2#0¤2#[Gradering]¤3#EK_Gradnr¤2#4¤2#[Gradnr]¤3#EK_Kapittel¤2#4¤2#[Kapittel]¤3#EK_Referanse¤2#2¤2#Ref_Layout¤3#EK_RefNr¤2#0¤2#[RefNr]¤3#EK_Revisjon¤2#0¤2#[Rev]¤3#EK_Ansvarlig¤2#0¤2#[EK-Ansvarlig]¤3#EK_SkrevetAv¤2#0¤2#[Forfatter]¤3#EK_UText1¤2#0¤2#[Dok.ansvarlig]¤3#EK_UText2¤2#0¤2#[UText2]¤3#EK_UText3¤2#0¤2#[UText3]¤3#EK_UText4¤2#0¤2#[UText4]¤3#EK_Status¤2#0¤2#[Status]¤3#EK_Stikkord¤2#0¤2#[Stikkord]¤3#EK_SuperStikkord¤2#0¤2#[SuperStikkord]¤3#EK_Rapport¤2#3¤2#[Tilknyttet rapport]¤3#EK_EKPrintMerke¤2#0¤2#Uoffisiell utskrift er kun gyldig på utskriftsdato¤3#EK_Watermark¤2#0¤2#Vannmerke¤3#EK_Utgave¤2#0¤2#[Ver]¤3#EK_Merknad¤2#7¤2#[Merknad]¤3#EK_VerLogg¤2#2¤2#[Versjonslogg]¤3#EK_RF1¤2#4¤2#[RF1]¤3#EK_RF2¤2#4¤2#[RF2]¤3#EK_RF3¤2#4¤2#[RF3]¤3#EK_RF4¤2#4¤2#[RF4]¤3#EK_RF5¤2#4¤2#[RF5]¤3#EK_RF6¤2#4¤2#[RF6]¤3#EK_RF7¤2#4¤2#[RF7]¤3#EK_RF8¤2#4¤2#[RF8]¤3#EK_RF9¤2#4¤2#[RF9]¤3#EK_Mappe1¤2#4¤2#[Mappe1]¤3#EK_Mappe2¤2#4¤2#[Mappe2]¤3#EK_Mappe3¤2#4¤2#[Mappe3]¤3#EK_Mappe4¤2#4¤2#[Mappe4]¤3#EK_Mappe5¤2#4¤2#[Mappe5]¤3#EK_Mappe6¤2#4¤2#[Mappe6]¤3#EK_Mappe7¤2#4¤2#[Mappe7]¤3#EK_Mappe8¤2#4¤2#[Mappe8]¤3#EK_Mappe9¤2#4¤2#[Mappe9]¤3#EK_DL¤2#0¤2#[dl]¤3#EK_GjelderTil¤2#0¤2#[GyldigTil]¤3#EK_Vedlegg¤2#2¤2#Ref_Layout¤3#EK_AvdelingOver¤2#4¤2#[AvdelingOver]¤3#EK_HRefNr¤2#0¤2#[HRefnr]¤3#EK_HbNavn¤2#0¤2#[HbNavn]¤3#EK_DokRefnr¤2#4¤2#000302¤3#EK_Dokendrdato¤2#4¤2#¤3#EK_HbType¤2#4¤2#¤3#EK_Offisiell¤2#4¤2#¤3#EK_VedleggRef¤2#4¤2#¤3#EK_Strukt00¤2#5¤2#[Strukturfelt]¤3#EK_Strukt01¤2#5¤2#[Strukturfelt]¤3#EK_Pub¤2#6¤2#¤3#EKR_DokType¤2#0¤2#[ResType]¤3#EKR_Doktittel¤2#0¤2#[ResTittel]¤3#EKR_DokumentID¤2#0¤2#[ResId]¤3#EKR_RefNr¤2#0¤2#[ResRefNr]¤3#EKR_Gradering¤2#0¤2#[ResGrad]¤3#EKR_Signatur¤2#0¤2#[ResSign]¤3#EKR_Verifisert¤2#0¤2#[Verifisert av]¤3#EKR_Hørt¤2#0¤2#[Hørt av]¤3#EKR_AuditReview¤2#2¤2#;[Signaturliste];¤3#EKR_AuditApprove¤2#2¤2#;[Signaturliste];¤3#EKR_AuditFinal¤2#2¤2#;[Signaturliste];¤3#EKR_Dokeier¤2#0¤2#[ResEier]¤3#EKR_Status¤2#0¤2#[ResStat]¤3#EKR_Opprettet¤2#0¤2#[ResOppr]¤3#EKR_Endret¤2#0¤2#[ResEndret]¤3#EKR_Ibruk¤2#0¤2#[ResIBruk]¤3#EKR_Rapport¤2#3¤2#[Tilknyttet rapport]¤3#EKR_Utgitt¤2#0¤2#[ResUtfylt]¤3#EKR_SkrevetAv¤2#0¤2#[Utfylt av]¤3#EKR_UText1¤2#0¤2#[RESUText1]¤3#EKR_UText2¤2#0¤2#[RESUText2]¤3#EKR_UText3¤2#0¤2#[RESUText3]¤3#EKR_UText4¤2#0¤2#[RESUText4]¤3#EKR_DokRefnr¤2#4¤2#¤3#EKR_Gradnr¤2#4¤2#¤3#EKR_Strukt00¤2#5¤2#[ ]¤3#"/>
    <w:docVar w:name="ek_doclevel" w:val="[DokNivå]"/>
    <w:docVar w:name="ek_doclvlshort" w:val="[DokNivåKort]"/>
    <w:docVar w:name="ek_dok.ansvarlig" w:val="[Dok.ansvarlig]"/>
    <w:docVar w:name="ek_doktittel" w:val="HBHF Generell/standard mal Helse Bergen"/>
    <w:docVar w:name="ek_dokumentid" w:val="[ID]"/>
    <w:docVar w:name="ek_eksref" w:val="[EK_EksRef]"/>
    <w:docVar w:name="ek_endrfields" w:val="EK_Rapport¤1#"/>
    <w:docVar w:name="ek_format" w:val="-10"/>
    <w:docVar w:name="ek_gjelderfra" w:val="[GjelderFra]"/>
    <w:docVar w:name="ek_gjeldertil" w:val="[GyldigTil]"/>
    <w:docVar w:name="ek_klgjelderfra" w:val="[KlGjelderFra]"/>
    <w:docVar w:name="ek_merknad" w:val="[]"/>
    <w:docVar w:name="ek_protection" w:val="0"/>
    <w:docVar w:name="ek_rapport" w:val="[Tilknyttet rapport]"/>
    <w:docVar w:name="ek_referanse" w:val="[EK_Referanse]"/>
    <w:docVar w:name="ek_superstikkord" w:val="[SuperStikkord]"/>
    <w:docVar w:name="ek_type" w:val="MAL"/>
    <w:docVar w:name="khb" w:val="UB"/>
    <w:docVar w:name="skitten" w:val="0"/>
  </w:docVars>
  <m:mathPr>
    <m:mathFont m:val="Cambria Math"/>
  </m:mathPr>
  <w:themeFontLang w:val="nb-NO"/>
  <w:clrSchemeMapping w:bg1="light1" w:t1="dark1" w:bg2="light2" w:t2="dark2" w:accent1="accent1" w:accent2="accent2" w:accent3="accent3" w:accent4="accent4" w:accent5="accent5" w:accent6="accent6" w:hyperlink="hyperlink" w:followedHyperlink="followedHyperlink"/>
  <w:doNotIncludeSubdocsInStats/>
  <w14:docId w14:val="4B3E9AD0"/>
  <w15:docId w15:val="{465AB6DA-C683-4FC7-BA6A-E41C60883D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mc:Ignorable="w14 w15 w16se w16cid w16 w16cex w16sdtdh">
  <w:docDefaults>
    <w:rPrDefault>
      <w:rPr>
        <w:rFonts w:ascii="Times New Roman" w:eastAsia="Times New Roman" w:hAnsi="Times New Roman" w:cs="Times New Roman"/>
        <w:lang w:val="nb-NO" w:eastAsia="nb-NO"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1"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E35541"/>
    <w:rPr>
      <w:rFonts w:asciiTheme="minorHAnsi" w:hAnsiTheme="minorHAnsi"/>
      <w:sz w:val="22"/>
    </w:rPr>
  </w:style>
  <w:style w:type="paragraph" w:styleId="Heading1">
    <w:name w:val="heading 1"/>
    <w:basedOn w:val="Normal"/>
    <w:next w:val="Normal"/>
    <w:autoRedefine/>
    <w:qFormat/>
    <w:rsid w:val="00066A58"/>
    <w:pPr>
      <w:numPr>
        <w:numId w:val="50"/>
      </w:numPr>
      <w:ind w:left="431" w:hanging="431"/>
      <w:outlineLvl w:val="0"/>
    </w:pPr>
    <w:rPr>
      <w:b/>
      <w:sz w:val="28"/>
    </w:rPr>
  </w:style>
  <w:style w:type="paragraph" w:styleId="Heading2">
    <w:name w:val="heading 2"/>
    <w:basedOn w:val="Normal"/>
    <w:next w:val="Normal"/>
    <w:autoRedefine/>
    <w:qFormat/>
    <w:rsid w:val="00066A58"/>
    <w:pPr>
      <w:numPr>
        <w:ilvl w:val="1"/>
        <w:numId w:val="50"/>
      </w:numPr>
      <w:ind w:left="397" w:hanging="397"/>
      <w:outlineLvl w:val="1"/>
    </w:pPr>
  </w:style>
  <w:style w:type="paragraph" w:styleId="Heading3">
    <w:name w:val="heading 3"/>
    <w:basedOn w:val="Normal"/>
    <w:next w:val="Normal"/>
    <w:autoRedefine/>
    <w:qFormat/>
    <w:rsid w:val="00066A58"/>
    <w:pPr>
      <w:numPr>
        <w:ilvl w:val="2"/>
        <w:numId w:val="50"/>
      </w:numPr>
      <w:tabs>
        <w:tab w:val="num" w:pos="703"/>
      </w:tabs>
      <w:ind w:left="567" w:hanging="567"/>
      <w:outlineLvl w:val="2"/>
    </w:pPr>
    <w:rPr>
      <w:i/>
    </w:rPr>
  </w:style>
  <w:style w:type="paragraph" w:styleId="Heading4">
    <w:name w:val="heading 4"/>
    <w:basedOn w:val="Heading3"/>
    <w:next w:val="Normal"/>
    <w:autoRedefine/>
    <w:qFormat/>
    <w:rsid w:val="00A3019C"/>
    <w:pPr>
      <w:numPr>
        <w:ilvl w:val="3"/>
      </w:numPr>
      <w:ind w:left="624" w:hanging="624"/>
      <w:outlineLvl w:val="3"/>
    </w:pPr>
  </w:style>
  <w:style w:type="paragraph" w:styleId="Heading5">
    <w:name w:val="heading 5"/>
    <w:basedOn w:val="Normal"/>
    <w:next w:val="Normal"/>
    <w:link w:val="Overskrift5Tegn"/>
    <w:semiHidden/>
    <w:unhideWhenUsed/>
    <w:qFormat/>
    <w:rsid w:val="00C450FE"/>
    <w:pPr>
      <w:keepNext/>
      <w:keepLines/>
      <w:numPr>
        <w:ilvl w:val="4"/>
        <w:numId w:val="50"/>
      </w:numPr>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qFormat/>
    <w:rsid w:val="00532237"/>
    <w:pPr>
      <w:numPr>
        <w:ilvl w:val="5"/>
        <w:numId w:val="50"/>
      </w:numPr>
      <w:spacing w:line="360" w:lineRule="auto"/>
      <w:outlineLvl w:val="5"/>
    </w:pPr>
    <w:rPr>
      <w:b/>
    </w:rPr>
  </w:style>
  <w:style w:type="paragraph" w:styleId="Heading7">
    <w:name w:val="heading 7"/>
    <w:basedOn w:val="Normal"/>
    <w:next w:val="Normal"/>
    <w:link w:val="Overskrift7Tegn"/>
    <w:semiHidden/>
    <w:unhideWhenUsed/>
    <w:qFormat/>
    <w:rsid w:val="00C450FE"/>
    <w:pPr>
      <w:keepNext/>
      <w:keepLines/>
      <w:numPr>
        <w:ilvl w:val="6"/>
        <w:numId w:val="50"/>
      </w:numPr>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Overskrift8Tegn"/>
    <w:semiHidden/>
    <w:unhideWhenUsed/>
    <w:qFormat/>
    <w:rsid w:val="00C450FE"/>
    <w:pPr>
      <w:keepNext/>
      <w:keepLines/>
      <w:numPr>
        <w:ilvl w:val="7"/>
        <w:numId w:val="50"/>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Overskrift9Tegn"/>
    <w:semiHidden/>
    <w:unhideWhenUsed/>
    <w:qFormat/>
    <w:rsid w:val="00C450FE"/>
    <w:pPr>
      <w:keepNext/>
      <w:keepLines/>
      <w:numPr>
        <w:ilvl w:val="8"/>
        <w:numId w:val="50"/>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819"/>
        <w:tab w:val="right" w:pos="9071"/>
      </w:tabs>
    </w:pPr>
  </w:style>
  <w:style w:type="paragraph" w:styleId="Header">
    <w:name w:val="header"/>
    <w:basedOn w:val="Normal"/>
    <w:next w:val="Normal"/>
    <w:pPr>
      <w:jc w:val="right"/>
    </w:pPr>
    <w:rPr>
      <w:sz w:val="20"/>
    </w:rPr>
  </w:style>
  <w:style w:type="paragraph" w:styleId="NormalIndent">
    <w:name w:val="Normal Indent"/>
    <w:basedOn w:val="Normal"/>
    <w:pPr>
      <w:ind w:left="708"/>
    </w:pPr>
  </w:style>
  <w:style w:type="paragraph" w:customStyle="1" w:styleId="StorOverskrift">
    <w:name w:val="StorOverskrift"/>
    <w:basedOn w:val="Normal"/>
    <w:rPr>
      <w:sz w:val="40"/>
    </w:rPr>
  </w:style>
  <w:style w:type="paragraph" w:customStyle="1" w:styleId="Uthev2">
    <w:name w:val="Uthev2"/>
    <w:basedOn w:val="Normal"/>
    <w:rPr>
      <w:b/>
    </w:rPr>
  </w:style>
  <w:style w:type="paragraph" w:customStyle="1" w:styleId="bunntekststil">
    <w:name w:val="bunntekst_stil"/>
    <w:basedOn w:val="Normal"/>
    <w:next w:val="Normal"/>
    <w:pPr>
      <w:pBdr>
        <w:top w:val="single" w:sz="6" w:space="1" w:color="auto"/>
      </w:pBdr>
      <w:jc w:val="right"/>
    </w:pPr>
  </w:style>
  <w:style w:type="paragraph" w:customStyle="1" w:styleId="Punktheading">
    <w:name w:val="Punkt_heading"/>
    <w:basedOn w:val="Normal"/>
    <w:next w:val="Normal"/>
    <w:rPr>
      <w:b/>
    </w:rPr>
  </w:style>
  <w:style w:type="paragraph" w:customStyle="1" w:styleId="topptekststil">
    <w:name w:val="topptekst_stil"/>
    <w:basedOn w:val="Header"/>
    <w:next w:val="Normal"/>
  </w:style>
  <w:style w:type="paragraph" w:customStyle="1" w:styleId="Ramme">
    <w:name w:val="Ramme"/>
    <w:basedOn w:val="Normal"/>
    <w:next w:val="Normal"/>
    <w:pPr>
      <w:framePr w:w="5352" w:hSpace="141" w:wrap="auto" w:vAnchor="text" w:hAnchor="page" w:x="2635" w:y="-997"/>
      <w:pBdr>
        <w:top w:val="single" w:sz="6" w:space="1" w:color="auto" w:shadow="1"/>
        <w:left w:val="single" w:sz="6" w:space="1" w:color="auto" w:shadow="1"/>
        <w:bottom w:val="single" w:sz="6" w:space="1" w:color="auto" w:shadow="1"/>
        <w:right w:val="single" w:sz="6" w:space="1" w:color="auto" w:shadow="1"/>
      </w:pBdr>
      <w:jc w:val="center"/>
    </w:pPr>
  </w:style>
  <w:style w:type="paragraph" w:customStyle="1" w:styleId="Xref">
    <w:name w:val="Xref"/>
    <w:basedOn w:val="Normal"/>
    <w:rPr>
      <w:sz w:val="20"/>
    </w:rPr>
  </w:style>
  <w:style w:type="paragraph" w:customStyle="1" w:styleId="DBFelt">
    <w:name w:val="DBFelt"/>
    <w:basedOn w:val="Normal"/>
    <w:rsid w:val="00885802"/>
    <w:rPr>
      <w:color w:val="808080"/>
    </w:rPr>
  </w:style>
  <w:style w:type="character" w:styleId="PageNumber">
    <w:name w:val="page number"/>
    <w:basedOn w:val="DefaultParagraphFont"/>
  </w:style>
  <w:style w:type="character" w:styleId="Hyperlink">
    <w:name w:val="Hyperlink"/>
    <w:uiPriority w:val="99"/>
    <w:rsid w:val="00A9508B"/>
    <w:rPr>
      <w:rFonts w:asciiTheme="minorHAnsi" w:hAnsiTheme="minorHAnsi"/>
      <w:color w:val="1F497D" w:themeColor="text2"/>
      <w:sz w:val="24"/>
      <w:u w:val="single"/>
    </w:rPr>
  </w:style>
  <w:style w:type="character" w:styleId="FollowedHyperlink">
    <w:name w:val="FollowedHyperlink"/>
    <w:rsid w:val="00885802"/>
    <w:rPr>
      <w:rFonts w:asciiTheme="minorHAnsi" w:hAnsiTheme="minorHAnsi"/>
      <w:color w:val="800080"/>
      <w:sz w:val="24"/>
      <w:u w:val="single"/>
    </w:rPr>
  </w:style>
  <w:style w:type="paragraph" w:styleId="BalloonText">
    <w:name w:val="Balloon Text"/>
    <w:basedOn w:val="Normal"/>
    <w:semiHidden/>
    <w:rPr>
      <w:rFonts w:ascii="Tahoma" w:hAnsi="Tahoma" w:cs="Tahoma"/>
      <w:sz w:val="16"/>
      <w:szCs w:val="16"/>
    </w:rPr>
  </w:style>
  <w:style w:type="paragraph" w:styleId="DocumentMap">
    <w:name w:val="Document Map"/>
    <w:basedOn w:val="Normal"/>
    <w:semiHidden/>
    <w:pPr>
      <w:shd w:val="clear" w:color="auto" w:fill="000080"/>
    </w:pPr>
    <w:rPr>
      <w:rFonts w:ascii="Tahoma" w:hAnsi="Tahoma"/>
    </w:rPr>
  </w:style>
  <w:style w:type="paragraph" w:styleId="BodyText">
    <w:name w:val="Body Text"/>
    <w:basedOn w:val="Normal"/>
    <w:rPr>
      <w:rFonts w:ascii="Times New Roman" w:hAnsi="Times New Roman"/>
    </w:rPr>
  </w:style>
  <w:style w:type="character" w:styleId="PlaceholderText">
    <w:name w:val="Placeholder Text"/>
    <w:basedOn w:val="DefaultParagraphFont"/>
    <w:uiPriority w:val="99"/>
    <w:semiHidden/>
    <w:rsid w:val="005F0E8F"/>
    <w:rPr>
      <w:color w:val="808080"/>
    </w:rPr>
  </w:style>
  <w:style w:type="paragraph" w:styleId="ListParagraph">
    <w:name w:val="List Paragraph"/>
    <w:basedOn w:val="Normal"/>
    <w:uiPriority w:val="34"/>
    <w:qFormat/>
    <w:rsid w:val="00510BDF"/>
    <w:pPr>
      <w:ind w:left="720"/>
      <w:contextualSpacing/>
    </w:pPr>
  </w:style>
  <w:style w:type="paragraph" w:customStyle="1" w:styleId="Caution">
    <w:name w:val="Caution"/>
    <w:basedOn w:val="Normal"/>
    <w:qFormat/>
    <w:rsid w:val="00FD5284"/>
    <w:pPr>
      <w:keepLines/>
      <w:pBdr>
        <w:top w:val="single" w:sz="8" w:space="1" w:color="FF0000"/>
        <w:left w:val="single" w:sz="8" w:space="4" w:color="FF0000"/>
        <w:bottom w:val="single" w:sz="8" w:space="1" w:color="FF0000"/>
        <w:right w:val="single" w:sz="8" w:space="4" w:color="FF0000"/>
      </w:pBdr>
      <w:shd w:val="pct50" w:color="FDC82F" w:fill="auto"/>
      <w:spacing w:before="60" w:after="60"/>
      <w:ind w:left="1418" w:right="454" w:hanging="1021"/>
      <w:contextualSpacing/>
    </w:pPr>
    <w:rPr>
      <w:rFonts w:ascii="Calibri" w:hAnsi="Calibri"/>
      <w:i/>
      <w:sz w:val="26"/>
      <w:szCs w:val="26"/>
    </w:rPr>
  </w:style>
  <w:style w:type="paragraph" w:customStyle="1" w:styleId="Note">
    <w:name w:val="Note"/>
    <w:link w:val="NoteChar"/>
    <w:uiPriority w:val="9"/>
    <w:qFormat/>
    <w:rsid w:val="00FD5284"/>
    <w:pPr>
      <w:keepLines/>
      <w:pBdr>
        <w:top w:val="single" w:sz="2" w:space="1" w:color="DEEAF6"/>
        <w:left w:val="single" w:sz="2" w:space="4" w:color="DEEAF6"/>
        <w:bottom w:val="single" w:sz="2" w:space="1" w:color="DEEAF6"/>
        <w:right w:val="single" w:sz="2" w:space="4" w:color="DEEAF6"/>
      </w:pBdr>
      <w:shd w:val="clear" w:color="auto" w:fill="DEEAF6"/>
      <w:tabs>
        <w:tab w:val="left" w:pos="1134"/>
      </w:tabs>
      <w:spacing w:before="60" w:after="60"/>
      <w:ind w:left="1106" w:right="454" w:hanging="737"/>
      <w:contextualSpacing/>
    </w:pPr>
    <w:rPr>
      <w:rFonts w:ascii="Calibri" w:hAnsi="Calibri"/>
      <w:sz w:val="24"/>
      <w:szCs w:val="24"/>
    </w:rPr>
  </w:style>
  <w:style w:type="character" w:customStyle="1" w:styleId="NoteChar">
    <w:name w:val="Note Char"/>
    <w:link w:val="Note"/>
    <w:uiPriority w:val="9"/>
    <w:rsid w:val="00FD5284"/>
    <w:rPr>
      <w:rFonts w:ascii="Calibri" w:hAnsi="Calibri"/>
      <w:sz w:val="24"/>
      <w:szCs w:val="24"/>
      <w:shd w:val="clear" w:color="auto" w:fill="DEEAF6"/>
    </w:rPr>
  </w:style>
  <w:style w:type="character" w:styleId="Strong">
    <w:name w:val="Strong"/>
    <w:aliases w:val="Bold"/>
    <w:uiPriority w:val="1"/>
    <w:qFormat/>
    <w:rsid w:val="00FD5284"/>
    <w:rPr>
      <w:b/>
      <w:bCs/>
      <w:lang w:val="nb-NO"/>
    </w:rPr>
  </w:style>
  <w:style w:type="paragraph" w:customStyle="1" w:styleId="WarningBody">
    <w:name w:val="Warning Body"/>
    <w:basedOn w:val="Normal"/>
    <w:qFormat/>
    <w:rsid w:val="00FD5284"/>
    <w:pPr>
      <w:keepLines/>
      <w:pBdr>
        <w:top w:val="single" w:sz="8" w:space="1" w:color="FF0000"/>
        <w:left w:val="single" w:sz="8" w:space="4" w:color="FF0000"/>
        <w:bottom w:val="single" w:sz="8" w:space="1" w:color="FF0000"/>
        <w:right w:val="single" w:sz="8" w:space="4" w:color="FF0000"/>
      </w:pBdr>
      <w:shd w:val="pct50" w:color="FDC82F" w:fill="auto"/>
      <w:spacing w:after="60"/>
      <w:ind w:left="425" w:right="454" w:hanging="28"/>
      <w:contextualSpacing/>
    </w:pPr>
    <w:rPr>
      <w:rFonts w:ascii="Calibri" w:hAnsi="Calibri"/>
      <w:i/>
      <w:sz w:val="26"/>
      <w:szCs w:val="26"/>
      <w:lang w:eastAsia="en-US"/>
    </w:rPr>
  </w:style>
  <w:style w:type="paragraph" w:customStyle="1" w:styleId="WarningHeading">
    <w:name w:val="Warning Heading"/>
    <w:basedOn w:val="Normal"/>
    <w:next w:val="WarningBody"/>
    <w:qFormat/>
    <w:rsid w:val="00FD5284"/>
    <w:pPr>
      <w:pBdr>
        <w:top w:val="single" w:sz="8" w:space="1" w:color="FF0000"/>
        <w:left w:val="single" w:sz="8" w:space="4" w:color="FF0000"/>
        <w:bottom w:val="single" w:sz="8" w:space="1" w:color="FF0000"/>
        <w:right w:val="single" w:sz="8" w:space="4" w:color="FF0000"/>
      </w:pBdr>
      <w:shd w:val="clear" w:color="auto" w:fill="FF0000"/>
      <w:spacing w:before="60"/>
      <w:ind w:left="397" w:right="454"/>
    </w:pPr>
    <w:rPr>
      <w:rFonts w:ascii="Calibri" w:hAnsi="Calibri"/>
      <w:b/>
      <w:bCs/>
      <w:i/>
      <w:iCs/>
      <w:color w:val="FFFFFF"/>
      <w:sz w:val="26"/>
      <w:lang w:eastAsia="en-US"/>
    </w:rPr>
  </w:style>
  <w:style w:type="paragraph" w:styleId="TOCHeading">
    <w:name w:val="TOC Heading"/>
    <w:basedOn w:val="Heading1"/>
    <w:next w:val="Normal"/>
    <w:uiPriority w:val="39"/>
    <w:unhideWhenUsed/>
    <w:qFormat/>
    <w:rsid w:val="00885802"/>
    <w:pPr>
      <w:keepNext/>
      <w:keepLines/>
      <w:numPr>
        <w:numId w:val="0"/>
      </w:numPr>
      <w:spacing w:line="259" w:lineRule="auto"/>
      <w:outlineLvl w:val="9"/>
    </w:pPr>
    <w:rPr>
      <w:rFonts w:eastAsiaTheme="majorEastAsia" w:cstheme="majorBidi"/>
      <w:b w:val="0"/>
      <w:color w:val="365F91" w:themeColor="accent1" w:themeShade="BF"/>
      <w:sz w:val="20"/>
      <w:szCs w:val="32"/>
    </w:rPr>
  </w:style>
  <w:style w:type="paragraph" w:styleId="TOC1">
    <w:name w:val="toc 1"/>
    <w:basedOn w:val="Normal"/>
    <w:next w:val="Normal"/>
    <w:autoRedefine/>
    <w:uiPriority w:val="39"/>
    <w:unhideWhenUsed/>
    <w:rsid w:val="00A55D47"/>
    <w:pPr>
      <w:spacing w:after="100"/>
    </w:pPr>
  </w:style>
  <w:style w:type="paragraph" w:styleId="TOC2">
    <w:name w:val="toc 2"/>
    <w:basedOn w:val="Normal"/>
    <w:next w:val="Normal"/>
    <w:autoRedefine/>
    <w:semiHidden/>
    <w:unhideWhenUsed/>
    <w:rsid w:val="00C24BA6"/>
    <w:pPr>
      <w:spacing w:after="100"/>
      <w:ind w:left="240"/>
    </w:pPr>
  </w:style>
  <w:style w:type="paragraph" w:styleId="TOC3">
    <w:name w:val="toc 3"/>
    <w:basedOn w:val="Normal"/>
    <w:next w:val="Normal"/>
    <w:autoRedefine/>
    <w:semiHidden/>
    <w:unhideWhenUsed/>
    <w:rsid w:val="00C24BA6"/>
    <w:pPr>
      <w:spacing w:after="100"/>
      <w:ind w:left="480"/>
    </w:pPr>
  </w:style>
  <w:style w:type="character" w:customStyle="1" w:styleId="Overskrift5Tegn">
    <w:name w:val="Overskrift 5 Tegn"/>
    <w:basedOn w:val="DefaultParagraphFont"/>
    <w:link w:val="Heading5"/>
    <w:semiHidden/>
    <w:rsid w:val="00C450FE"/>
    <w:rPr>
      <w:rFonts w:asciiTheme="majorHAnsi" w:eastAsiaTheme="majorEastAsia" w:hAnsiTheme="majorHAnsi" w:cstheme="majorBidi"/>
      <w:color w:val="365F91" w:themeColor="accent1" w:themeShade="BF"/>
      <w:sz w:val="24"/>
    </w:rPr>
  </w:style>
  <w:style w:type="character" w:customStyle="1" w:styleId="Overskrift7Tegn">
    <w:name w:val="Overskrift 7 Tegn"/>
    <w:basedOn w:val="DefaultParagraphFont"/>
    <w:link w:val="Heading7"/>
    <w:semiHidden/>
    <w:rsid w:val="00C450FE"/>
    <w:rPr>
      <w:rFonts w:asciiTheme="majorHAnsi" w:eastAsiaTheme="majorEastAsia" w:hAnsiTheme="majorHAnsi" w:cstheme="majorBidi"/>
      <w:i/>
      <w:iCs/>
      <w:color w:val="243F60" w:themeColor="accent1" w:themeShade="7F"/>
      <w:sz w:val="24"/>
    </w:rPr>
  </w:style>
  <w:style w:type="character" w:customStyle="1" w:styleId="Overskrift8Tegn">
    <w:name w:val="Overskrift 8 Tegn"/>
    <w:basedOn w:val="DefaultParagraphFont"/>
    <w:link w:val="Heading8"/>
    <w:semiHidden/>
    <w:rsid w:val="00C450FE"/>
    <w:rPr>
      <w:rFonts w:asciiTheme="majorHAnsi" w:eastAsiaTheme="majorEastAsia" w:hAnsiTheme="majorHAnsi" w:cstheme="majorBidi"/>
      <w:color w:val="272727" w:themeColor="text1" w:themeTint="D8"/>
      <w:sz w:val="21"/>
      <w:szCs w:val="21"/>
    </w:rPr>
  </w:style>
  <w:style w:type="character" w:customStyle="1" w:styleId="Overskrift9Tegn">
    <w:name w:val="Overskrift 9 Tegn"/>
    <w:basedOn w:val="DefaultParagraphFont"/>
    <w:link w:val="Heading9"/>
    <w:semiHidden/>
    <w:rsid w:val="00C450FE"/>
    <w:rPr>
      <w:rFonts w:asciiTheme="majorHAnsi" w:eastAsiaTheme="majorEastAsia" w:hAnsiTheme="majorHAnsi" w:cstheme="majorBidi"/>
      <w:i/>
      <w:iCs/>
      <w:color w:val="272727" w:themeColor="text1" w:themeTint="D8"/>
      <w:sz w:val="21"/>
      <w:szCs w:val="21"/>
    </w:rPr>
  </w:style>
  <w:style w:type="paragraph" w:customStyle="1" w:styleId="StilOverskriftforinnholdsfortegnelseLatinBrdtekstCali">
    <w:name w:val="Stil Overskrift for innholdsfortegnelse + (Latin) +Brødtekst (Cali..."/>
    <w:basedOn w:val="TOCHeading"/>
    <w:rsid w:val="00885802"/>
    <w:rPr>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mc:Ignorable="w14 w15 w16se w16cid w16 w16cex w16sdtdh">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kvalitet.helse-bergen.no/docs/pub/DOK69236.pdf" TargetMode="External" /><Relationship Id="rId11" Type="http://schemas.openxmlformats.org/officeDocument/2006/relationships/hyperlink" Target="https://kvalitet.helse-bergen.no/docs/pub/DOK63805.pdf" TargetMode="External" /><Relationship Id="rId12" Type="http://schemas.openxmlformats.org/officeDocument/2006/relationships/hyperlink" Target="https://kvalitet.helse-bergen.no/docs/pub/DOK14627.htm" TargetMode="External" /><Relationship Id="rId13" Type="http://schemas.openxmlformats.org/officeDocument/2006/relationships/hyperlink" Target="https://kvalitet.helse-bergen.no/docs/pub/DOK29889.htm" TargetMode="External" /><Relationship Id="rId14" Type="http://schemas.openxmlformats.org/officeDocument/2006/relationships/hyperlink" Target="https://kvalitet.helse-bergen.no/docs/pub/DOK73064.htm" TargetMode="External" /><Relationship Id="rId15" Type="http://schemas.openxmlformats.org/officeDocument/2006/relationships/hyperlink" Target="https://kvalitet.helse-bergen.no/docs/pub/DOK26226.pdf" TargetMode="External" /><Relationship Id="rId16" Type="http://schemas.openxmlformats.org/officeDocument/2006/relationships/hyperlink" Target="https://kvalitet.helse-bergen.no/docs/pub/DOK81798.pdf" TargetMode="External" /><Relationship Id="rId17" Type="http://schemas.openxmlformats.org/officeDocument/2006/relationships/hyperlink" Target="https://www.felleskatalogen.no/medisin/numeta-baxter-573254?utm_source=chatgpt.com" TargetMode="External" /><Relationship Id="rId18" Type="http://schemas.openxmlformats.org/officeDocument/2006/relationships/hyperlink" Target="https://www.legemiddelhandboka.no/T23.1.4.2/Parenteral_ern%C3%A6ring_av_barn?utm_source=chatgpt.com" TargetMode="External" /><Relationship Id="rId19" Type="http://schemas.openxmlformats.org/officeDocument/2006/relationships/hyperlink" Target="https://www.fresenius-kabi.com/content/dam/fresenius-kabi/no/products/product-documents/smofkabiven-smofkabivenelektrolyfri-smofkabivenperifer/innhold-tilsetningsguide-smofkabiven.pdf" TargetMode="External" /><Relationship Id="rId2" Type="http://schemas.openxmlformats.org/officeDocument/2006/relationships/webSettings" Target="webSettings.xml" /><Relationship Id="rId20" Type="http://schemas.openxmlformats.org/officeDocument/2006/relationships/hyperlink" Target="https://www.legemidlertilbarn.no/nyheter/2017-hendelser-a-laere-av-gar-det-bra-a-gi-flere-intravenose-legemidler-samtidig?utm_source=chatgpt.com" TargetMode="External" /><Relationship Id="rId21" Type="http://schemas.openxmlformats.org/officeDocument/2006/relationships/hyperlink" Target="https://www.helsebiblioteket.no/innhold/retningslinjer/pediatri/generell-veileder-i-pediatri/5.mage-tarm-lever-og-ernaering/5.9-parenteral-ernaering-etter-forste-levemaned?utm_source=chatgpt.com" TargetMode="External" /><Relationship Id="rId22" Type="http://schemas.openxmlformats.org/officeDocument/2006/relationships/header" Target="header1.xml" /><Relationship Id="rId23" Type="http://schemas.openxmlformats.org/officeDocument/2006/relationships/header" Target="header2.xml" /><Relationship Id="rId24" Type="http://schemas.openxmlformats.org/officeDocument/2006/relationships/footer" Target="footer1.xml" /><Relationship Id="rId25" Type="http://schemas.openxmlformats.org/officeDocument/2006/relationships/footer" Target="footer2.xml" /><Relationship Id="rId26" Type="http://schemas.openxmlformats.org/officeDocument/2006/relationships/header" Target="header3.xml" /><Relationship Id="rId27" Type="http://schemas.openxmlformats.org/officeDocument/2006/relationships/footer" Target="footer3.xml" /><Relationship Id="rId28" Type="http://schemas.openxmlformats.org/officeDocument/2006/relationships/theme" Target="theme/theme1.xml" /><Relationship Id="rId29" Type="http://schemas.openxmlformats.org/officeDocument/2006/relationships/numbering" Target="numbering.xml" /><Relationship Id="rId3" Type="http://schemas.openxmlformats.org/officeDocument/2006/relationships/fontTable" Target="fontTable.xml" /><Relationship Id="rId30" Type="http://schemas.openxmlformats.org/officeDocument/2006/relationships/styles" Target="styles.xml" /><Relationship Id="rId31" Type="http://schemas.microsoft.com/office/2011/relationships/people" Target="people.xml" /><Relationship Id="rId4" Type="http://schemas.openxmlformats.org/officeDocument/2006/relationships/customXml" Target="../customXml/item1.xml" /><Relationship Id="rId5" Type="http://schemas.openxmlformats.org/officeDocument/2006/relationships/hyperlink" Target="https://helsevest.sharepoint.com/sites/HBE-intranett-tema-legemiddelportalen" TargetMode="External" /><Relationship Id="rId6" Type="http://schemas.openxmlformats.org/officeDocument/2006/relationships/hyperlink" Target="https://handbok.helse-bergen.no/docs/pub/DOK79108.pdf" TargetMode="External" /><Relationship Id="rId7" Type="http://schemas.openxmlformats.org/officeDocument/2006/relationships/hyperlink" Target="https://kvalitet.helse-bergen.no/docs/pub/DOK35741.htm" TargetMode="External" /><Relationship Id="rId8" Type="http://schemas.openxmlformats.org/officeDocument/2006/relationships/hyperlink" Target="https://kvalitet.helse-bergen.no/docs/pub/DOK16701.pdf" TargetMode="External" /><Relationship Id="rId9" Type="http://schemas.openxmlformats.org/officeDocument/2006/relationships/hyperlink" Target="https://kvalitet.helse-bergen.no/docs/pub/DOK79108.pdf"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_rels/settings.xml.rels><?xml version="1.0" encoding="utf-8" standalone="yes"?><Relationships xmlns="http://schemas.openxmlformats.org/package/2006/relationships"><Relationship Id="rId1" Type="http://schemas.openxmlformats.org/officeDocument/2006/relationships/attachedTemplate" Target="file:///H:\OFFICE97\MALER\OPERATIV.DO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3E43A0-598F-4EC9-9EB0-3D8AF99D99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OPERATIV</Template>
  <TotalTime>0</TotalTime>
  <Pages>10</Pages>
  <Words>0</Words>
  <Characters>0</Characters>
  <Application>Microsoft Office Word</Application>
  <DocSecurity>0</DocSecurity>
  <Lines>0</Lines>
  <Paragraphs>0</Paragraphs>
  <ScaleCrop>false</ScaleCrop>
  <Company>Datakvalitet</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Parenteral ernæring. BUK, Barn &lt; 18 år</dc:title>
  <dc:subject>000302|[RefNr]|</dc:subject>
  <dc:creator>Handbok</dc:creator>
  <cp:lastModifiedBy>Frøyen, Amalie</cp:lastModifiedBy>
  <cp:revision>37</cp:revision>
  <cp:lastPrinted>2006-09-07T08:52:00Z</cp:lastPrinted>
  <dcterms:created xsi:type="dcterms:W3CDTF">2021-12-08T08:43:00Z</dcterms:created>
  <dcterms:modified xsi:type="dcterms:W3CDTF">2026-09-30T07:10:30Z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FontProps">
    <vt:lpwstr>#000000,10,Calibri</vt:lpwstr>
  </property>
  <property fmtid="{D5CDD505-2E9C-101B-9397-08002B2CF9AE}" pid="3" name="ClassificationContentMarkingFooterShapeIds">
    <vt:lpwstr>249760d3,27ae3352,365384f7</vt:lpwstr>
  </property>
  <property fmtid="{D5CDD505-2E9C-101B-9397-08002B2CF9AE}" pid="4" name="ClassificationContentMarkingFooterText">
    <vt:lpwstr>Følsomhet Intern (gul)</vt:lpwstr>
  </property>
  <property fmtid="{D5CDD505-2E9C-101B-9397-08002B2CF9AE}" pid="5" name="EK_Bedriftsnavn">
    <vt:lpwstr>Helse Bergen</vt:lpwstr>
  </property>
  <property fmtid="{D5CDD505-2E9C-101B-9397-08002B2CF9AE}" pid="6" name="EK_DokTittel">
    <vt:lpwstr>Parenteral ernæring. BUK, Barn &lt; 18 år</vt:lpwstr>
  </property>
  <property fmtid="{D5CDD505-2E9C-101B-9397-08002B2CF9AE}" pid="7" name="EK_DokType">
    <vt:lpwstr>Retningslinje</vt:lpwstr>
  </property>
  <property fmtid="{D5CDD505-2E9C-101B-9397-08002B2CF9AE}" pid="8" name="EK_DokumentID">
    <vt:lpwstr>D83877</vt:lpwstr>
  </property>
  <property fmtid="{D5CDD505-2E9C-101B-9397-08002B2CF9AE}" pid="9" name="EK_EKPrintMerke">
    <vt:lpwstr>Uoffisiell utskrift er kun gyldig på utskriftsdato</vt:lpwstr>
  </property>
  <property fmtid="{D5CDD505-2E9C-101B-9397-08002B2CF9AE}" pid="10" name="EK_GjelderFra">
    <vt:lpwstr>30.09.2026</vt:lpwstr>
  </property>
  <property fmtid="{D5CDD505-2E9C-101B-9397-08002B2CF9AE}" pid="11" name="EK_GjelderTil">
    <vt:lpwstr>30.09.2029</vt:lpwstr>
  </property>
  <property fmtid="{D5CDD505-2E9C-101B-9397-08002B2CF9AE}" pid="12" name="EK_Merknad">
    <vt:lpwstr>[Merknad]</vt:lpwstr>
  </property>
  <property fmtid="{D5CDD505-2E9C-101B-9397-08002B2CF9AE}" pid="13" name="EK_RefNr">
    <vt:lpwstr>5.3.1-24</vt:lpwstr>
  </property>
  <property fmtid="{D5CDD505-2E9C-101B-9397-08002B2CF9AE}" pid="14" name="EK_S00MT1">
    <vt:lpwstr>Helse Bergen HF/Barne- og ungdomsklinikken</vt:lpwstr>
  </property>
  <property fmtid="{D5CDD505-2E9C-101B-9397-08002B2CF9AE}" pid="15" name="EK_S01MT3">
    <vt:lpwstr>[]</vt:lpwstr>
  </property>
  <property fmtid="{D5CDD505-2E9C-101B-9397-08002B2CF9AE}" pid="16" name="EK_Signatur">
    <vt:lpwstr>Aarvik, Anette Tysnes</vt:lpwstr>
  </property>
  <property fmtid="{D5CDD505-2E9C-101B-9397-08002B2CF9AE}" pid="17" name="EK_UText1">
    <vt:lpwstr>Tjora, Erling</vt:lpwstr>
  </property>
  <property fmtid="{D5CDD505-2E9C-101B-9397-08002B2CF9AE}" pid="18" name="EK_Utgave">
    <vt:lpwstr>1.00</vt:lpwstr>
  </property>
  <property fmtid="{D5CDD505-2E9C-101B-9397-08002B2CF9AE}" pid="19" name="EK_Watermark">
    <vt:lpwstr>Vannmerke</vt:lpwstr>
  </property>
  <property fmtid="{D5CDD505-2E9C-101B-9397-08002B2CF9AE}" pid="20" name="MSIP_Label_0c3ffc1c-ef00-4620-9c2f-7d9c1597774b_ActionId">
    <vt:lpwstr>dd6bccfe-a3c0-4ea3-a07e-6feb2b3f5d6c</vt:lpwstr>
  </property>
  <property fmtid="{D5CDD505-2E9C-101B-9397-08002B2CF9AE}" pid="21" name="MSIP_Label_0c3ffc1c-ef00-4620-9c2f-7d9c1597774b_ContentBits">
    <vt:lpwstr>2</vt:lpwstr>
  </property>
  <property fmtid="{D5CDD505-2E9C-101B-9397-08002B2CF9AE}" pid="22" name="MSIP_Label_0c3ffc1c-ef00-4620-9c2f-7d9c1597774b_Enabled">
    <vt:lpwstr>true</vt:lpwstr>
  </property>
  <property fmtid="{D5CDD505-2E9C-101B-9397-08002B2CF9AE}" pid="23" name="MSIP_Label_0c3ffc1c-ef00-4620-9c2f-7d9c1597774b_Method">
    <vt:lpwstr>Standard</vt:lpwstr>
  </property>
  <property fmtid="{D5CDD505-2E9C-101B-9397-08002B2CF9AE}" pid="24" name="MSIP_Label_0c3ffc1c-ef00-4620-9c2f-7d9c1597774b_Name">
    <vt:lpwstr>Intern</vt:lpwstr>
  </property>
  <property fmtid="{D5CDD505-2E9C-101B-9397-08002B2CF9AE}" pid="25" name="MSIP_Label_0c3ffc1c-ef00-4620-9c2f-7d9c1597774b_SetDate">
    <vt:lpwstr>2025-01-20T12:39:11Z</vt:lpwstr>
  </property>
  <property fmtid="{D5CDD505-2E9C-101B-9397-08002B2CF9AE}" pid="26" name="MSIP_Label_0c3ffc1c-ef00-4620-9c2f-7d9c1597774b_SiteId">
    <vt:lpwstr>bdcbe535-f3cf-49f5-8a6a-fb6d98dc7837</vt:lpwstr>
  </property>
  <property fmtid="{D5CDD505-2E9C-101B-9397-08002B2CF9AE}" pid="27" name="XD14627">
    <vt:lpwstr>1.2.2.3-01</vt:lpwstr>
  </property>
  <property fmtid="{D5CDD505-2E9C-101B-9397-08002B2CF9AE}" pid="28" name="XD16701">
    <vt:lpwstr>1.2.1.2.1-02</vt:lpwstr>
  </property>
  <property fmtid="{D5CDD505-2E9C-101B-9397-08002B2CF9AE}" pid="29" name="XD26226">
    <vt:lpwstr>5.6.1-09</vt:lpwstr>
  </property>
  <property fmtid="{D5CDD505-2E9C-101B-9397-08002B2CF9AE}" pid="30" name="XD29889">
    <vt:lpwstr>1.2.2.3-07</vt:lpwstr>
  </property>
  <property fmtid="{D5CDD505-2E9C-101B-9397-08002B2CF9AE}" pid="31" name="XD35741">
    <vt:lpwstr>1.2.1.2-03</vt:lpwstr>
  </property>
  <property fmtid="{D5CDD505-2E9C-101B-9397-08002B2CF9AE}" pid="32" name="XD63805">
    <vt:lpwstr>1.2.1.4-04</vt:lpwstr>
  </property>
  <property fmtid="{D5CDD505-2E9C-101B-9397-08002B2CF9AE}" pid="33" name="XD69236">
    <vt:lpwstr>1.2.1.2.2.2.1-04</vt:lpwstr>
  </property>
  <property fmtid="{D5CDD505-2E9C-101B-9397-08002B2CF9AE}" pid="34" name="XD73064">
    <vt:lpwstr>5.3.1-21</vt:lpwstr>
  </property>
  <property fmtid="{D5CDD505-2E9C-101B-9397-08002B2CF9AE}" pid="35" name="XD79108">
    <vt:lpwstr>1.2.1.2.1-07</vt:lpwstr>
  </property>
  <property fmtid="{D5CDD505-2E9C-101B-9397-08002B2CF9AE}" pid="36" name="XD81798">
    <vt:lpwstr>5.6.1-13</vt:lpwstr>
  </property>
  <property fmtid="{D5CDD505-2E9C-101B-9397-08002B2CF9AE}" pid="37" name="XDF14627">
    <vt:lpwstr>Istandgjøring og merking av legemidler</vt:lpwstr>
  </property>
  <property fmtid="{D5CDD505-2E9C-101B-9397-08002B2CF9AE}" pid="38" name="XDF16701">
    <vt:lpwstr>Blodprøvetaking fra sentralt venekateter (SVK) hos voksne og barn ≤ 18 år</vt:lpwstr>
  </property>
  <property fmtid="{D5CDD505-2E9C-101B-9397-08002B2CF9AE}" pid="39" name="XDF26226">
    <vt:lpwstr>Retningslinjer for legemiddelhåndtering ved Barne- og ungdomsklinikken</vt:lpwstr>
  </property>
  <property fmtid="{D5CDD505-2E9C-101B-9397-08002B2CF9AE}" pid="40" name="XDF29889">
    <vt:lpwstr>Forlikelighet av infusjoner</vt:lpwstr>
  </property>
  <property fmtid="{D5CDD505-2E9C-101B-9397-08002B2CF9AE}" pid="41" name="XDF35741">
    <vt:lpwstr>Infusjonssett, ulike typer, skiftefrekvens</vt:lpwstr>
  </property>
  <property fmtid="{D5CDD505-2E9C-101B-9397-08002B2CF9AE}" pid="42" name="XDF63805">
    <vt:lpwstr>Oppstart av intravenøs ernæring for voksne pasienter over 18 år</vt:lpwstr>
  </property>
  <property fmtid="{D5CDD505-2E9C-101B-9397-08002B2CF9AE}" pid="43" name="XDF69236">
    <vt:lpwstr>Sentralt venekateter (SVK) for korttidsbruk. Barn ≤ 18 år</vt:lpwstr>
  </property>
  <property fmtid="{D5CDD505-2E9C-101B-9397-08002B2CF9AE}" pid="44" name="XDF73064">
    <vt:lpwstr>Medisinrom opplæring BUK</vt:lpwstr>
  </property>
  <property fmtid="{D5CDD505-2E9C-101B-9397-08002B2CF9AE}" pid="45" name="XDF79108">
    <vt:lpwstr>Intravenøs terapi og blodprøvetaking</vt:lpwstr>
  </property>
  <property fmtid="{D5CDD505-2E9C-101B-9397-08002B2CF9AE}" pid="46" name="XDF81798">
    <vt:lpwstr>Filtrering av injeksjons- og infusjonsvæsker til barn </vt:lpwstr>
  </property>
  <property fmtid="{D5CDD505-2E9C-101B-9397-08002B2CF9AE}" pid="47" name="XDL14627">
    <vt:lpwstr>1.2.2.3-01 Istandgjøring og merking av legemidler</vt:lpwstr>
  </property>
  <property fmtid="{D5CDD505-2E9C-101B-9397-08002B2CF9AE}" pid="48" name="XDL16701">
    <vt:lpwstr>1.2.1.2.1-02 Blodprøvetaking fra sentralt venekateter (SVK) hos voksne og barn ≤ 18 år</vt:lpwstr>
  </property>
  <property fmtid="{D5CDD505-2E9C-101B-9397-08002B2CF9AE}" pid="49" name="XDL26226">
    <vt:lpwstr>5.6.1-09 Retningslinjer for legemiddelhåndtering ved Barne- og ungdomsklinikken</vt:lpwstr>
  </property>
  <property fmtid="{D5CDD505-2E9C-101B-9397-08002B2CF9AE}" pid="50" name="XDL29889">
    <vt:lpwstr>1.2.2.3-07 Forlikelighet av infusjoner</vt:lpwstr>
  </property>
  <property fmtid="{D5CDD505-2E9C-101B-9397-08002B2CF9AE}" pid="51" name="XDL35741">
    <vt:lpwstr>1.2.1.2-03 Infusjonssett, ulike typer, skiftefrekvens</vt:lpwstr>
  </property>
  <property fmtid="{D5CDD505-2E9C-101B-9397-08002B2CF9AE}" pid="52" name="XDL63805">
    <vt:lpwstr>1.2.1.4-04 Oppstart av intravenøs ernæring for voksne pasienter over 18 år</vt:lpwstr>
  </property>
  <property fmtid="{D5CDD505-2E9C-101B-9397-08002B2CF9AE}" pid="53" name="XDL69236">
    <vt:lpwstr>1.2.1.2.2.2.1-04 Sentralt venekateter (SVK) for korttidsbruk. Barn ≤ 18 år</vt:lpwstr>
  </property>
  <property fmtid="{D5CDD505-2E9C-101B-9397-08002B2CF9AE}" pid="54" name="XDL73064">
    <vt:lpwstr>5.3.1-21 Medisinrom opplæring BUK</vt:lpwstr>
  </property>
  <property fmtid="{D5CDD505-2E9C-101B-9397-08002B2CF9AE}" pid="55" name="XDL79108">
    <vt:lpwstr>1.2.1.2.1-07 Intravenøs terapi og blodprøvetaking</vt:lpwstr>
  </property>
  <property fmtid="{D5CDD505-2E9C-101B-9397-08002B2CF9AE}" pid="56" name="XDL81798">
    <vt:lpwstr>5.6.1-13 Filtrering av injeksjons- og infusjonsvæsker til barn </vt:lpwstr>
  </property>
  <property fmtid="{D5CDD505-2E9C-101B-9397-08002B2CF9AE}" pid="57" name="XDT14627">
    <vt:lpwstr>Istandgjøring og merking av legemidler</vt:lpwstr>
  </property>
  <property fmtid="{D5CDD505-2E9C-101B-9397-08002B2CF9AE}" pid="58" name="XDT16701">
    <vt:lpwstr>Blodprøvetaking fra sentralt venekateter (SVK) hos voksne og barn ≤ 18 år</vt:lpwstr>
  </property>
  <property fmtid="{D5CDD505-2E9C-101B-9397-08002B2CF9AE}" pid="59" name="XDT26226">
    <vt:lpwstr>Retningslinjer for legemiddelhåndtering ved Barne- og ungdomsklinikken</vt:lpwstr>
  </property>
  <property fmtid="{D5CDD505-2E9C-101B-9397-08002B2CF9AE}" pid="60" name="XDT29889">
    <vt:lpwstr>Forlikelighet av infusjoner</vt:lpwstr>
  </property>
  <property fmtid="{D5CDD505-2E9C-101B-9397-08002B2CF9AE}" pid="61" name="XDT35741">
    <vt:lpwstr>Infusjonssett, ulike typer, skiftefrekvens</vt:lpwstr>
  </property>
  <property fmtid="{D5CDD505-2E9C-101B-9397-08002B2CF9AE}" pid="62" name="XDT63805">
    <vt:lpwstr>Oppstart av intravenøs ernæring for voksne pasienter over 18 år</vt:lpwstr>
  </property>
  <property fmtid="{D5CDD505-2E9C-101B-9397-08002B2CF9AE}" pid="63" name="XDT69236">
    <vt:lpwstr>Sentralt venekateter (SVK) for korttidsbruk. Barn ≤ 18 år</vt:lpwstr>
  </property>
  <property fmtid="{D5CDD505-2E9C-101B-9397-08002B2CF9AE}" pid="64" name="XDT73064">
    <vt:lpwstr>Medisinrom opplæring BUK</vt:lpwstr>
  </property>
  <property fmtid="{D5CDD505-2E9C-101B-9397-08002B2CF9AE}" pid="65" name="XDT79108">
    <vt:lpwstr>Intravenøs terapi og blodprøvetaking</vt:lpwstr>
  </property>
  <property fmtid="{D5CDD505-2E9C-101B-9397-08002B2CF9AE}" pid="66" name="XDT81798">
    <vt:lpwstr>Filtrering av injeksjons- og infusjonsvæsker til barn </vt:lpwstr>
  </property>
</Properties>
</file>