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3.5.0 -->
  <w:body>
    <w:p w:rsidR="00E53E1F" w:rsidP="00066A58" w14:paraId="2E273621" w14:textId="0B4D5243">
      <w:pPr>
        <w:pStyle w:val="StilOverskriftforinnholdsfortegnelseLatinBrdtekstCali"/>
        <w:rPr>
          <w:rFonts w:eastAsia="Times New Roman" w:cs="Times New Roman"/>
          <w:sz w:val="24"/>
          <w:szCs w:val="20"/>
        </w:rPr>
      </w:pPr>
    </w:p>
    <w:sdt>
      <w:sdtPr>
        <w:rPr>
          <w:rFonts w:eastAsia="Times New Roman" w:cs="Times New Roman"/>
          <w:sz w:val="24"/>
          <w:szCs w:val="20"/>
        </w:rPr>
        <w:id w:val="2059436989"/>
        <w:docPartObj>
          <w:docPartGallery w:val="Table of Contents"/>
          <w:docPartUnique/>
        </w:docPartObj>
      </w:sdtPr>
      <w:sdtEndPr>
        <w:rPr>
          <w:b/>
          <w:bCs/>
          <w:sz w:val="22"/>
        </w:rPr>
      </w:sdtEndPr>
      <w:sdtContent>
        <w:p w:rsidR="00A55D47" w:rsidRPr="00066A58" w:rsidP="00066A58" w14:paraId="4B3E9AD0" w14:textId="23C3EB51">
          <w:pPr>
            <w:pStyle w:val="StilOverskriftforinnholdsfortegnelseLatinBrdtekstCali"/>
            <w:rPr>
              <w:szCs w:val="20"/>
            </w:rPr>
          </w:pPr>
          <w:r w:rsidRPr="00066A58">
            <w:rPr>
              <w:szCs w:val="20"/>
            </w:rPr>
            <w:t>Innhold</w:t>
          </w:r>
        </w:p>
        <w:p>
          <w:pPr>
            <w:pStyle w:val="TOC1"/>
            <w:tabs>
              <w:tab w:val="left" w:pos="480"/>
              <w:tab w:val="right" w:leader="dot" w:pos="9061"/>
            </w:tabs>
            <w:rPr>
              <w:rFonts w:asciiTheme="minorHAnsi" w:hAnsiTheme="minorHAnsi"/>
              <w:noProof/>
              <w:sz w:val="22"/>
            </w:rPr>
          </w:pPr>
          <w:r w:rsidRPr="00066A58">
            <w:rPr>
              <w:rFonts w:cstheme="minorHAnsi"/>
              <w:sz w:val="20"/>
            </w:rPr>
            <w:fldChar w:fldCharType="begin"/>
          </w:r>
          <w:r w:rsidRPr="00066A58">
            <w:rPr>
              <w:rFonts w:cstheme="minorHAnsi"/>
              <w:sz w:val="20"/>
            </w:rPr>
            <w:instrText xml:space="preserve"> TOC \o "1-3" \h \z \u </w:instrText>
          </w:r>
          <w:r w:rsidRPr="00066A58">
            <w:rPr>
              <w:rFonts w:cstheme="minorHAnsi"/>
              <w:sz w:val="20"/>
            </w:rPr>
            <w:fldChar w:fldCharType="separate"/>
          </w:r>
          <w:hyperlink w:anchor="_Toc256000000" w:history="1">
            <w:r>
              <w:rPr>
                <w:rStyle w:val="Hyperlink"/>
              </w:rPr>
              <w:t>1</w:t>
            </w:r>
            <w:r>
              <w:rPr>
                <w:rFonts w:asciiTheme="minorHAnsi" w:hAnsiTheme="minorHAnsi"/>
                <w:noProof/>
                <w:sz w:val="22"/>
              </w:rPr>
              <w:tab/>
            </w:r>
            <w:r>
              <w:rPr>
                <w:rStyle w:val="Hyperlink"/>
              </w:rPr>
              <w:t>Hensikt</w:t>
            </w:r>
            <w:r>
              <w:tab/>
            </w:r>
            <w:r>
              <w:fldChar w:fldCharType="begin"/>
            </w:r>
            <w:r>
              <w:instrText xml:space="preserve"> PAGEREF _Toc256000000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Målgruppe og avgrensning</w:t>
            </w:r>
            <w:r>
              <w:tab/>
            </w:r>
            <w:r>
              <w:fldChar w:fldCharType="begin"/>
            </w:r>
            <w:r>
              <w:instrText xml:space="preserve"> PAGEREF _Toc256000001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Ansvar</w:t>
            </w:r>
            <w:r>
              <w:tab/>
            </w:r>
            <w:r>
              <w:fldChar w:fldCharType="begin"/>
            </w:r>
            <w:r>
              <w:instrText xml:space="preserve"> PAGEREF _Toc256000002 \h </w:instrText>
            </w:r>
            <w:r>
              <w:fldChar w:fldCharType="separate"/>
            </w:r>
            <w:r>
              <w:t>1</w:t>
            </w:r>
            <w:r>
              <w:fldChar w:fldCharType="end"/>
            </w:r>
          </w:hyperlink>
        </w:p>
        <w:p>
          <w:pPr>
            <w:pStyle w:val="TOC1"/>
            <w:tabs>
              <w:tab w:val="left" w:pos="480"/>
              <w:tab w:val="right" w:leader="dot" w:pos="9061"/>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Gjennomføring</w:t>
            </w:r>
            <w:r>
              <w:tab/>
            </w:r>
            <w:r>
              <w:fldChar w:fldCharType="begin"/>
            </w:r>
            <w:r>
              <w:instrText xml:space="preserve"> PAGEREF _Toc256000003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517F62">
              <w:rPr>
                <w:rStyle w:val="Hyperlink"/>
              </w:rPr>
              <w:t>Bakgrunn</w:t>
            </w:r>
            <w:r>
              <w:tab/>
            </w:r>
            <w:r>
              <w:fldChar w:fldCharType="begin"/>
            </w:r>
            <w:r>
              <w:instrText xml:space="preserve"> PAGEREF _Toc256000004 \h </w:instrText>
            </w:r>
            <w:r>
              <w:fldChar w:fldCharType="separate"/>
            </w:r>
            <w:r>
              <w:t>1</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6C0D63">
              <w:rPr>
                <w:rStyle w:val="Hyperlink"/>
              </w:rPr>
              <w:t>Bivirkninger</w:t>
            </w:r>
            <w:r>
              <w:tab/>
            </w:r>
            <w:r>
              <w:fldChar w:fldCharType="begin"/>
            </w:r>
            <w:r>
              <w:instrText xml:space="preserve"> PAGEREF _Toc256000005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Fonts w:eastAsia="Calibri"/>
              </w:rPr>
              <w:t>4.3</w:t>
            </w:r>
            <w:r>
              <w:rPr>
                <w:rFonts w:eastAsia="Calibri" w:asciiTheme="minorHAnsi" w:hAnsiTheme="minorHAnsi"/>
                <w:noProof/>
                <w:sz w:val="22"/>
              </w:rPr>
              <w:tab/>
            </w:r>
            <w:r w:rsidRPr="7E8C66FF">
              <w:rPr>
                <w:rStyle w:val="Hyperlink"/>
                <w:rFonts w:eastAsia="Calibri"/>
              </w:rPr>
              <w:t>Vedr opptrekk og injeksjonsteknikk</w:t>
            </w:r>
            <w:r>
              <w:tab/>
            </w:r>
            <w:r>
              <w:fldChar w:fldCharType="begin"/>
            </w:r>
            <w:r>
              <w:instrText xml:space="preserve"> PAGEREF _Toc256000006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7" w:history="1">
            <w:r>
              <w:rPr>
                <w:rStyle w:val="Hyperlink"/>
                <w:rFonts w:eastAsia="Calibri"/>
              </w:rPr>
              <w:t>4.4</w:t>
            </w:r>
            <w:r>
              <w:rPr>
                <w:rFonts w:eastAsia="Calibri" w:asciiTheme="minorHAnsi" w:hAnsiTheme="minorHAnsi"/>
                <w:noProof/>
                <w:sz w:val="22"/>
              </w:rPr>
              <w:tab/>
            </w:r>
            <w:r w:rsidRPr="7E8C66FF">
              <w:rPr>
                <w:rStyle w:val="Hyperlink"/>
                <w:rFonts w:eastAsia="Calibri"/>
              </w:rPr>
              <w:t>Erfaringer med injeksjonsteknikk fra sykepleiere ved kreftpoliklinikken</w:t>
            </w:r>
            <w:r>
              <w:tab/>
            </w:r>
            <w:r>
              <w:fldChar w:fldCharType="begin"/>
            </w:r>
            <w:r>
              <w:instrText xml:space="preserve"> PAGEREF _Toc256000007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08" w:history="1">
            <w:r>
              <w:rPr>
                <w:rStyle w:val="Hyperlink"/>
              </w:rPr>
              <w:t>5</w:t>
            </w:r>
            <w:r>
              <w:rPr>
                <w:rFonts w:asciiTheme="minorHAnsi" w:hAnsiTheme="minorHAnsi"/>
                <w:noProof/>
                <w:sz w:val="22"/>
              </w:rPr>
              <w:tab/>
            </w:r>
            <w:r>
              <w:rPr>
                <w:rStyle w:val="Hyperlink"/>
              </w:rPr>
              <w:t>Referanser</w:t>
            </w:r>
            <w:r>
              <w:tab/>
            </w:r>
            <w:r>
              <w:fldChar w:fldCharType="begin"/>
            </w:r>
            <w:r>
              <w:instrText xml:space="preserve"> PAGEREF _Toc256000008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09" w:history="1">
            <w:r>
              <w:rPr>
                <w:rStyle w:val="Hyperlink"/>
              </w:rPr>
              <w:t>6</w:t>
            </w:r>
            <w:r>
              <w:rPr>
                <w:rFonts w:asciiTheme="minorHAnsi" w:hAnsiTheme="minorHAnsi"/>
                <w:noProof/>
                <w:sz w:val="22"/>
              </w:rPr>
              <w:tab/>
            </w:r>
            <w:r>
              <w:rPr>
                <w:rStyle w:val="Hyperlink"/>
              </w:rPr>
              <w:t>Forankring</w:t>
            </w:r>
            <w:r>
              <w:tab/>
            </w:r>
            <w:r>
              <w:fldChar w:fldCharType="begin"/>
            </w:r>
            <w:r>
              <w:instrText xml:space="preserve"> PAGEREF _Toc256000009 \h </w:instrText>
            </w:r>
            <w:r>
              <w:fldChar w:fldCharType="separate"/>
            </w:r>
            <w:r>
              <w:t>3</w:t>
            </w:r>
            <w:r>
              <w:fldChar w:fldCharType="end"/>
            </w:r>
          </w:hyperlink>
        </w:p>
        <w:p>
          <w:pPr>
            <w:pStyle w:val="TOC1"/>
            <w:tabs>
              <w:tab w:val="left" w:pos="480"/>
              <w:tab w:val="right" w:leader="dot" w:pos="9061"/>
            </w:tabs>
            <w:rPr>
              <w:rFonts w:asciiTheme="minorHAnsi" w:hAnsiTheme="minorHAnsi"/>
              <w:noProof/>
              <w:sz w:val="22"/>
            </w:rPr>
          </w:pPr>
          <w:hyperlink w:anchor="_Toc256000010" w:history="1">
            <w:r>
              <w:rPr>
                <w:rStyle w:val="Hyperlink"/>
              </w:rPr>
              <w:t>7</w:t>
            </w:r>
            <w:r>
              <w:rPr>
                <w:rFonts w:asciiTheme="minorHAnsi" w:hAnsiTheme="minorHAnsi"/>
                <w:noProof/>
                <w:sz w:val="22"/>
              </w:rPr>
              <w:tab/>
            </w:r>
            <w:r w:rsidRPr="005F0E8F">
              <w:rPr>
                <w:rStyle w:val="Hyperlink"/>
              </w:rPr>
              <w:t>Endringer siden forrige versjon</w:t>
            </w:r>
            <w:r>
              <w:tab/>
            </w:r>
            <w:r>
              <w:fldChar w:fldCharType="begin"/>
            </w:r>
            <w:r>
              <w:instrText xml:space="preserve"> PAGEREF _Toc256000010 \h </w:instrText>
            </w:r>
            <w:r>
              <w:fldChar w:fldCharType="separate"/>
            </w:r>
            <w:r>
              <w:t>3</w:t>
            </w:r>
            <w:r>
              <w:fldChar w:fldCharType="end"/>
            </w:r>
          </w:hyperlink>
        </w:p>
        <w:p w:rsidR="00A55D47" w:rsidP="00066A58">
          <w:pPr>
            <w:spacing w:line="259" w:lineRule="auto"/>
          </w:pPr>
          <w:r w:rsidRPr="00066A58">
            <w:rPr>
              <w:rFonts w:cstheme="minorHAnsi"/>
              <w:sz w:val="20"/>
            </w:rPr>
            <w:fldChar w:fldCharType="end"/>
          </w:r>
        </w:p>
      </w:sdtContent>
    </w:sdt>
    <w:p w:rsidR="00CB3EB0" w:rsidP="00066A58" w14:paraId="4B3E9ADA" w14:textId="77777777">
      <w:pPr>
        <w:pStyle w:val="Heading1"/>
        <w:spacing w:line="259" w:lineRule="auto"/>
      </w:pPr>
      <w:bookmarkStart w:id="0" w:name="_Toc256000000"/>
      <w:r>
        <w:t>Hensikt</w:t>
      </w:r>
      <w:bookmarkEnd w:id="0"/>
    </w:p>
    <w:p w:rsidR="00517F62" w:rsidRPr="00517F62" w:rsidP="00517F62" w14:paraId="1D6619F9" w14:textId="2B0A7535">
      <w:r>
        <w:t>God samhandling for medikamentell kreftbehandling med Phesgo</w:t>
      </w:r>
      <w:r w:rsidRPr="00E55CB1">
        <w:rPr>
          <w:rFonts w:cstheme="minorHAnsi"/>
        </w:rPr>
        <w:t>®</w:t>
      </w:r>
      <w:r>
        <w:rPr>
          <w:rFonts w:cstheme="minorHAnsi"/>
        </w:rPr>
        <w:t xml:space="preserve"> i primærhelsetjenesten.</w:t>
      </w:r>
    </w:p>
    <w:p w:rsidR="00DF7BA8" w:rsidRPr="00DF7BA8" w:rsidP="00066A58" w14:paraId="4B3E9ADB" w14:textId="77777777">
      <w:pPr>
        <w:spacing w:line="259" w:lineRule="auto"/>
        <w:rPr>
          <w:rFonts w:cstheme="minorHAnsi"/>
          <w:color w:val="808080" w:themeColor="background1" w:themeShade="80"/>
        </w:rPr>
      </w:pPr>
    </w:p>
    <w:p w:rsidR="002744C3" w:rsidP="00066A58" w14:paraId="4B3E9ADC" w14:textId="77777777">
      <w:pPr>
        <w:pStyle w:val="Heading1"/>
        <w:spacing w:line="259" w:lineRule="auto"/>
      </w:pPr>
      <w:bookmarkStart w:id="1" w:name="_Toc256000001"/>
      <w:r>
        <w:t>Målgruppe og avgrensning</w:t>
      </w:r>
      <w:bookmarkEnd w:id="1"/>
    </w:p>
    <w:p w:rsidR="00E55CB1" w:rsidRPr="00E55CB1" w:rsidP="00E55CB1" w14:paraId="3483C070" w14:textId="1419E4E4">
      <w:r>
        <w:t>F</w:t>
      </w:r>
      <w:r w:rsidRPr="00E55CB1">
        <w:t xml:space="preserve">astleger i </w:t>
      </w:r>
      <w:r>
        <w:t>Helse Bergens</w:t>
      </w:r>
      <w:r w:rsidRPr="00E55CB1">
        <w:t xml:space="preserve"> opptaksområde, kreftkoordinatorer i </w:t>
      </w:r>
      <w:r>
        <w:t>nabo</w:t>
      </w:r>
      <w:r w:rsidRPr="00E55CB1">
        <w:t>kommunene</w:t>
      </w:r>
      <w:r>
        <w:t>, leger og</w:t>
      </w:r>
      <w:r w:rsidRPr="00E55CB1">
        <w:t xml:space="preserve"> sykepleiere</w:t>
      </w:r>
      <w:r>
        <w:t xml:space="preserve"> i Kreftklinikken</w:t>
      </w:r>
    </w:p>
    <w:p w:rsidR="00DF7BA8" w:rsidRPr="00360258" w:rsidP="00066A58" w14:paraId="4B3E9ADF" w14:textId="77777777">
      <w:pPr>
        <w:spacing w:line="259" w:lineRule="auto"/>
        <w:rPr>
          <w:rFonts w:cstheme="minorHAnsi"/>
        </w:rPr>
      </w:pPr>
      <w:r w:rsidRPr="00360258">
        <w:rPr>
          <w:rFonts w:cstheme="minorHAnsi"/>
        </w:rPr>
        <w:t xml:space="preserve">  </w:t>
      </w:r>
    </w:p>
    <w:p w:rsidR="00510BDF" w:rsidP="00066A58" w14:paraId="4B3E9AE0" w14:textId="77777777">
      <w:pPr>
        <w:pStyle w:val="Heading1"/>
        <w:spacing w:line="259" w:lineRule="auto"/>
      </w:pPr>
      <w:bookmarkStart w:id="2" w:name="_Toc256000002"/>
      <w:r>
        <w:t>Ansvar</w:t>
      </w:r>
      <w:bookmarkEnd w:id="2"/>
      <w:r>
        <w:t xml:space="preserve"> </w:t>
      </w:r>
    </w:p>
    <w:p w:rsidR="00935DE6" w:rsidRPr="00517F62" w:rsidP="00066A58" w14:paraId="4B3E9AE1" w14:textId="61D469CF">
      <w:pPr>
        <w:spacing w:line="259" w:lineRule="auto"/>
        <w:rPr>
          <w:rFonts w:cstheme="minorHAnsi"/>
          <w:color w:val="000000" w:themeColor="text1"/>
        </w:rPr>
      </w:pPr>
      <w:r>
        <w:rPr>
          <w:rFonts w:cstheme="minorHAnsi"/>
          <w:color w:val="000000" w:themeColor="text1"/>
        </w:rPr>
        <w:t xml:space="preserve">Lege i Kreftklinikken som vurderer </w:t>
      </w:r>
      <w:r w:rsidR="00E53E1F">
        <w:rPr>
          <w:rFonts w:cstheme="minorHAnsi"/>
          <w:color w:val="000000" w:themeColor="text1"/>
        </w:rPr>
        <w:t xml:space="preserve">hvis </w:t>
      </w:r>
      <w:r>
        <w:rPr>
          <w:rFonts w:cstheme="minorHAnsi"/>
          <w:color w:val="000000" w:themeColor="text1"/>
        </w:rPr>
        <w:t xml:space="preserve">en pasient </w:t>
      </w:r>
      <w:r w:rsidR="00E53E1F">
        <w:rPr>
          <w:rFonts w:cstheme="minorHAnsi"/>
          <w:color w:val="000000" w:themeColor="text1"/>
        </w:rPr>
        <w:t>er</w:t>
      </w:r>
      <w:r>
        <w:rPr>
          <w:rFonts w:cstheme="minorHAnsi"/>
          <w:color w:val="000000" w:themeColor="text1"/>
        </w:rPr>
        <w:t xml:space="preserve"> egnet for behandling med Phesgo</w:t>
      </w:r>
      <w:r w:rsidRPr="00E55CB1">
        <w:rPr>
          <w:rFonts w:cstheme="minorHAnsi"/>
        </w:rPr>
        <w:t>®</w:t>
      </w:r>
      <w:r>
        <w:rPr>
          <w:rFonts w:cstheme="minorHAnsi"/>
          <w:color w:val="000000" w:themeColor="text1"/>
        </w:rPr>
        <w:t xml:space="preserve"> i primærhelsetjenesten </w:t>
      </w:r>
      <w:r w:rsidR="00E53E1F">
        <w:rPr>
          <w:rFonts w:cstheme="minorHAnsi"/>
          <w:color w:val="000000" w:themeColor="text1"/>
        </w:rPr>
        <w:t xml:space="preserve">og </w:t>
      </w:r>
      <w:r>
        <w:rPr>
          <w:rFonts w:cstheme="minorHAnsi"/>
          <w:color w:val="000000" w:themeColor="text1"/>
        </w:rPr>
        <w:t>har ansvar for informasjon til fastlege. Dette dokument sendes aktuelt fastlegekontor.</w:t>
      </w:r>
    </w:p>
    <w:p w:rsidR="00DF7BA8" w:rsidRPr="00DF7BA8" w:rsidP="00E35541" w14:paraId="4B3E9AE2" w14:textId="77777777"/>
    <w:p w:rsidR="00510BDF" w:rsidP="00066A58" w14:paraId="4B3E9AE3" w14:textId="77777777">
      <w:pPr>
        <w:pStyle w:val="Heading1"/>
        <w:spacing w:line="259" w:lineRule="auto"/>
      </w:pPr>
      <w:bookmarkStart w:id="3" w:name="_Toc256000003"/>
      <w:r>
        <w:t>Gjennomføring</w:t>
      </w:r>
      <w:bookmarkEnd w:id="3"/>
      <w:r>
        <w:t xml:space="preserve"> </w:t>
      </w:r>
    </w:p>
    <w:p w:rsidR="00517F62" w:rsidRPr="00517F62" w:rsidP="00517F62" w14:paraId="14D93FAF" w14:textId="77777777"/>
    <w:p w:rsidR="00517F62" w:rsidRPr="00517F62" w:rsidP="00517F62" w14:paraId="52EA4DD6" w14:textId="7AEA4782">
      <w:pPr>
        <w:pStyle w:val="Heading2"/>
      </w:pPr>
      <w:bookmarkStart w:id="4" w:name="_Toc256000004"/>
      <w:r w:rsidRPr="00517F62">
        <w:t>Bakgrunn</w:t>
      </w:r>
      <w:bookmarkEnd w:id="4"/>
    </w:p>
    <w:p w:rsidR="00510BDF" w:rsidP="00066A58" w14:paraId="4B3E9AE4" w14:textId="34B66CE8">
      <w:pPr>
        <w:spacing w:line="259" w:lineRule="auto"/>
        <w:rPr>
          <w:rFonts w:cstheme="minorHAnsi"/>
        </w:rPr>
      </w:pPr>
      <w:r w:rsidRPr="00E55CB1">
        <w:rPr>
          <w:rFonts w:cstheme="minorHAnsi"/>
        </w:rPr>
        <w:t xml:space="preserve">Pasienter som behandles for HER2-positiv brystkreft, får i mange tilfeller behandling med et kombinasjonspreparat </w:t>
      </w:r>
      <w:r w:rsidR="00E53E1F">
        <w:rPr>
          <w:rFonts w:cstheme="minorHAnsi"/>
        </w:rPr>
        <w:t xml:space="preserve">som </w:t>
      </w:r>
      <w:r w:rsidRPr="00E55CB1">
        <w:rPr>
          <w:rFonts w:cstheme="minorHAnsi"/>
        </w:rPr>
        <w:t xml:space="preserve">inneholdende to HER-2-rettede antistoffer, trastuzumab og pertuzumab. Dette kan gis både i kurativ setting (begrenset oppad til et års behandling) og i palliativ setting (på ubestemt tid så lenge toleranse og effekt er til stede). Behandlingen gis nå i de fleste tilfeller som kombinasjonspreparatet Phesgo®, som inneholder begge antistoffer i fast dose á 600 mg s.c. hver 3. uke. Det er nå åpnet for at denne behandlingen kan gis utenfor sykehus etter en oppstartsfase på sykehus. </w:t>
      </w:r>
      <w:r w:rsidRPr="00E55CB1">
        <w:rPr>
          <w:rFonts w:cstheme="minorHAnsi"/>
          <w:b/>
          <w:bCs/>
        </w:rPr>
        <w:t>Kreftklinikken er ansvarli</w:t>
      </w:r>
      <w:r w:rsidRPr="00E55CB1">
        <w:rPr>
          <w:rFonts w:cstheme="minorHAnsi"/>
          <w:b/>
          <w:bCs/>
        </w:rPr>
        <w:t>g for all oppfølging og håndtering av bivirkninger</w:t>
      </w:r>
      <w:r w:rsidRPr="00E55CB1">
        <w:rPr>
          <w:rFonts w:cstheme="minorHAnsi"/>
        </w:rPr>
        <w:t>.</w:t>
      </w:r>
    </w:p>
    <w:p w:rsidR="00510BDF" w:rsidP="00066A58" w14:paraId="4B3E9AE5" w14:textId="77777777">
      <w:pPr>
        <w:spacing w:line="259" w:lineRule="auto"/>
        <w:rPr>
          <w:rFonts w:cstheme="minorHAnsi"/>
        </w:rPr>
      </w:pPr>
    </w:p>
    <w:p w:rsidR="00E55CB1" w:rsidP="00066A58" w14:paraId="46C3803F" w14:textId="77777777">
      <w:pPr>
        <w:spacing w:line="259" w:lineRule="auto"/>
        <w:rPr>
          <w:rFonts w:cstheme="minorHAnsi"/>
        </w:rPr>
      </w:pPr>
    </w:p>
    <w:p w:rsidR="00FC0005" w:rsidP="00FC0005" w14:paraId="5B57C51D" w14:textId="2FD2B898">
      <w:pPr>
        <w:rPr>
          <w:b/>
          <w:bCs/>
        </w:rPr>
      </w:pPr>
      <w:r w:rsidRPr="00FC0005">
        <w:rPr>
          <w:b/>
          <w:bCs/>
        </w:rPr>
        <w:t>Oppgaver</w:t>
      </w:r>
    </w:p>
    <w:p w:rsidR="006C0D63" w:rsidP="00FC0005" w14:paraId="53FFD0A3" w14:textId="77777777">
      <w:pPr>
        <w:rPr>
          <w:b/>
          <w:bCs/>
        </w:rPr>
      </w:pPr>
    </w:p>
    <w:p w:rsidR="00FC0005" w:rsidP="00FC0005" w14:paraId="48570650" w14:textId="77777777">
      <w:pPr>
        <w:pStyle w:val="ListParagraph"/>
        <w:numPr>
          <w:ilvl w:val="0"/>
          <w:numId w:val="19"/>
        </w:numPr>
      </w:pPr>
      <w:r>
        <w:t>L</w:t>
      </w:r>
      <w:r w:rsidRPr="00FC0005">
        <w:t xml:space="preserve">ege ved </w:t>
      </w:r>
      <w:r>
        <w:t>K</w:t>
      </w:r>
      <w:r w:rsidRPr="00FC0005">
        <w:t>reftklinikken</w:t>
      </w:r>
      <w:r>
        <w:t xml:space="preserve"> </w:t>
      </w:r>
    </w:p>
    <w:p w:rsidR="00FC0005" w:rsidP="006C0D63" w14:paraId="75B7145C" w14:textId="3A7963B8">
      <w:pPr>
        <w:pStyle w:val="ListParagraph"/>
        <w:numPr>
          <w:ilvl w:val="1"/>
          <w:numId w:val="19"/>
        </w:numPr>
      </w:pPr>
      <w:r>
        <w:t>Skrive resept på medikament</w:t>
      </w:r>
    </w:p>
    <w:p w:rsidR="006C0D63" w:rsidP="006C0D63" w14:paraId="1CC8D8F7" w14:textId="6038410A">
      <w:pPr>
        <w:pStyle w:val="ListParagraph"/>
        <w:numPr>
          <w:ilvl w:val="1"/>
          <w:numId w:val="19"/>
        </w:numPr>
      </w:pPr>
      <w:r>
        <w:t>Håndtere bivirkninger</w:t>
      </w:r>
    </w:p>
    <w:p w:rsidR="006C0D63" w:rsidP="006C0D63" w14:paraId="0E22C8CF" w14:textId="677E592E">
      <w:pPr>
        <w:pStyle w:val="ListParagraph"/>
        <w:numPr>
          <w:ilvl w:val="1"/>
          <w:numId w:val="19"/>
        </w:numPr>
      </w:pPr>
      <w:r>
        <w:t>Monitorere hjertet</w:t>
      </w:r>
    </w:p>
    <w:p w:rsidR="006C0D63" w:rsidP="00FC0005" w14:paraId="717DD45F" w14:textId="77777777">
      <w:pPr>
        <w:pStyle w:val="ListParagraph"/>
        <w:numPr>
          <w:ilvl w:val="0"/>
          <w:numId w:val="19"/>
        </w:numPr>
      </w:pPr>
      <w:r>
        <w:t>Pasient</w:t>
      </w:r>
    </w:p>
    <w:p w:rsidR="00FC0005" w:rsidP="006C0D63" w14:paraId="0B9505FC" w14:textId="73313F20">
      <w:pPr>
        <w:pStyle w:val="ListParagraph"/>
        <w:numPr>
          <w:ilvl w:val="1"/>
          <w:numId w:val="19"/>
        </w:numPr>
      </w:pPr>
      <w:r w:rsidRPr="00FC0005">
        <w:t>Hente ut- og oppbevare medisin</w:t>
      </w:r>
    </w:p>
    <w:p w:rsidR="006C0D63" w:rsidP="006C0D63" w14:paraId="5F5A3F74" w14:textId="24412B92">
      <w:pPr>
        <w:pStyle w:val="ListParagraph"/>
        <w:numPr>
          <w:ilvl w:val="1"/>
          <w:numId w:val="19"/>
        </w:numPr>
      </w:pPr>
      <w:r>
        <w:t>Melde bivirkninger</w:t>
      </w:r>
    </w:p>
    <w:p w:rsidR="006C0D63" w:rsidP="00FC0005" w14:paraId="09245740" w14:textId="77777777">
      <w:pPr>
        <w:pStyle w:val="ListParagraph"/>
        <w:numPr>
          <w:ilvl w:val="0"/>
          <w:numId w:val="19"/>
        </w:numPr>
      </w:pPr>
      <w:r>
        <w:t xml:space="preserve">Fastlege </w:t>
      </w:r>
    </w:p>
    <w:p w:rsidR="00FC0005" w:rsidP="006C0D63" w14:paraId="6F13520F" w14:textId="15434739">
      <w:pPr>
        <w:pStyle w:val="ListParagraph"/>
        <w:numPr>
          <w:ilvl w:val="1"/>
          <w:numId w:val="19"/>
        </w:numPr>
      </w:pPr>
      <w:r>
        <w:t>Sette s.c. injeksjon hver 3. uke</w:t>
      </w:r>
    </w:p>
    <w:p w:rsidR="00FC0005" w:rsidP="006C0D63" w14:paraId="53400E85" w14:textId="35755422">
      <w:pPr>
        <w:pStyle w:val="ListParagraph"/>
      </w:pPr>
    </w:p>
    <w:p w:rsidR="00FC0005" w:rsidP="00FC0005" w14:paraId="1E405540" w14:textId="77777777"/>
    <w:p w:rsidR="00FC0005" w:rsidP="00FC0005" w14:paraId="560B1B5E" w14:textId="2B598A5E">
      <w:r>
        <w:t xml:space="preserve">Pasientene som tenkes behandlet utenfor sykehus, er de som </w:t>
      </w:r>
      <w:r w:rsidRPr="7E8C66FF">
        <w:rPr>
          <w:i/>
          <w:iCs/>
        </w:rPr>
        <w:t>ikke</w:t>
      </w:r>
      <w:r>
        <w:t xml:space="preserve"> får kjemoterapi i tillegg, som har akseptabel toleranse i oppstartsfasen og som har god nok etterlevelse til å hente ut medikament på apoteket og oppbevare det riktig frem til administrasjon.  Medikamentet forskrives på H-resept fra behandlende lege ved sykehuset; denne resepten kan ikke fornyes av fastlege.</w:t>
      </w:r>
    </w:p>
    <w:p w:rsidR="00FC0005" w:rsidP="00FC0005" w14:paraId="09B6D5DA" w14:textId="77777777"/>
    <w:p w:rsidR="00FC0005" w:rsidP="00FC0005" w14:paraId="0325B6F9" w14:textId="429A4762">
      <w:r>
        <w:t xml:space="preserve">Phesgo® gis vanligvis hver 3. uke. Små avvik i administrasjonstidspunkt på 1-2 dager tolereres uten at det er nødvendig å avklare dette med behandlende sykehusavdeling. Ved større avvik, bør </w:t>
      </w:r>
      <w:r w:rsidR="00E53E1F">
        <w:t>kreftlege</w:t>
      </w:r>
      <w:r>
        <w:t xml:space="preserve"> konsulteres, da konsekvensen av utsettelse avhenger av pasientens sykdomssituasjon.</w:t>
      </w:r>
    </w:p>
    <w:p w:rsidR="00FC0005" w:rsidP="00FC0005" w14:paraId="3B029693" w14:textId="77777777">
      <w:pPr>
        <w:rPr>
          <w:b/>
          <w:bCs/>
        </w:rPr>
      </w:pPr>
    </w:p>
    <w:p w:rsidR="00FC0005" w:rsidRPr="006C0D63" w:rsidP="006C0D63" w14:paraId="4A8EEEF9" w14:textId="11064F14">
      <w:pPr>
        <w:pStyle w:val="Heading2"/>
      </w:pPr>
      <w:bookmarkStart w:id="5" w:name="_Toc256000005"/>
      <w:r w:rsidRPr="006C0D63">
        <w:t>Bivirkninger</w:t>
      </w:r>
      <w:bookmarkEnd w:id="5"/>
    </w:p>
    <w:p w:rsidR="00FC0005" w:rsidP="00FC0005" w14:paraId="58E92F6B" w14:textId="2D16AC7B">
      <w:r>
        <w:t>Phesgo® krever jevnlig monitorering av hjertets pumpefunksjon. Asymptomatisk hjertesvikt kan oppstå, men er som regel forbigående, såfremt de ikke også har andre risikofaktorer for sviktutvikling. Pasientene følges med ekko cor hver 3. måned det første året, deretter hver 6. måned videre. Fall i ejeksjonsfraksjon til under 50% utløser vanligvis behandlingsutsettelse og ev. hjertesviktmedikasjon. All hjertemonitorering gjøres i regi av sykehuset, og det er ikke nødvendig at fastlege henviser pasienten til ek</w:t>
      </w:r>
      <w:r>
        <w:t>kokontroll eller sjekker hjertet på annet vis imellom sykehuskontrollene. Ved sviktklinikk (ødemer, dyspné etc), skal pasientene selv kontakte Kreftklinikken.</w:t>
      </w:r>
    </w:p>
    <w:p w:rsidR="006C0D63" w:rsidP="00FC0005" w14:paraId="0E11A73B" w14:textId="77777777"/>
    <w:p w:rsidR="00FC0005" w:rsidP="00FC0005" w14:paraId="04CD0839" w14:textId="0C7EFAF9">
      <w:r>
        <w:t>Pertuzumab kan gi tarmtoksisitet, med magesmerter, lett kvalme og diaré, spesielt i dagene rett etter injeksjon. Også dette er en bivirkning som skal meldes av pasienten selv direkte til Kreftklinikken. Loperamid kan benyttes, såfremt det ikke er mistanke om Clostridiuminfeksjon. I noen tilfeller må pertuzumab seponeres på grunn av tarmtoksisitet. I så fall vil pasientene få i.v. eller s.c. behandling med trastuzumab alene. Dette er foreløpig ikke godkjent for bruk utenfor sykehus, og i en slik situasjon må</w:t>
      </w:r>
      <w:r>
        <w:t xml:space="preserve"> pasienten da igjen behandles ved oppmøte i kreftklinikken.</w:t>
      </w:r>
    </w:p>
    <w:p w:rsidR="00FC0005" w:rsidRPr="00B70C14" w:rsidP="00FC0005" w14:paraId="48C12FD9" w14:textId="50029C86">
      <w:pPr>
        <w:rPr>
          <w:b/>
          <w:bCs/>
        </w:rPr>
      </w:pPr>
      <w:r>
        <w:t xml:space="preserve">Det ses en rekke andre vanlige og mindre vanlige bivirkninger, deriblant hudutslett/reaksjoner, tretthet/slitenhet, ledd- og muskelsmerter og lungebivirkninger. </w:t>
      </w:r>
      <w:r w:rsidRPr="0EF92BE8">
        <w:rPr>
          <w:b/>
          <w:bCs/>
        </w:rPr>
        <w:t xml:space="preserve">Ved alle mistenkte bivirkninger er det </w:t>
      </w:r>
      <w:r w:rsidRPr="0EF92BE8" w:rsidR="006C0D63">
        <w:rPr>
          <w:b/>
          <w:bCs/>
        </w:rPr>
        <w:t>Kreftklinikken</w:t>
      </w:r>
      <w:r w:rsidRPr="0EF92BE8">
        <w:rPr>
          <w:b/>
          <w:bCs/>
        </w:rPr>
        <w:t xml:space="preserve"> som skal kontaktes av pasienten selv. </w:t>
      </w:r>
    </w:p>
    <w:p w:rsidR="00FC0005" w:rsidP="00FC0005" w14:paraId="36557A10" w14:textId="77777777">
      <w:r>
        <w:t xml:space="preserve">Alvorlige allergiske reaksjoner på Phesgo® er </w:t>
      </w:r>
      <w:r w:rsidRPr="7E8C66FF">
        <w:rPr>
          <w:u w:val="single"/>
        </w:rPr>
        <w:t xml:space="preserve">ikke </w:t>
      </w:r>
      <w:r>
        <w:t xml:space="preserve">vanlig. Likevel skal behandlingen gis under anafylaksiberedskap. </w:t>
      </w:r>
      <w:r w:rsidRPr="7E8C66FF">
        <w:rPr>
          <w:b/>
          <w:bCs/>
        </w:rPr>
        <w:t>Injeksjonen settes subkutant, vanligvis på låret, og behøver ikke settes av lege.</w:t>
      </w:r>
      <w:r>
        <w:t xml:space="preserve"> </w:t>
      </w:r>
    </w:p>
    <w:p w:rsidR="00FC0005" w:rsidP="00FC0005" w14:paraId="6EC5BC50" w14:textId="77777777"/>
    <w:p w:rsidR="006C0D63" w:rsidP="006C0D63" w14:paraId="320A60B8" w14:textId="77777777">
      <w:pPr>
        <w:pStyle w:val="Heading2"/>
        <w:rPr>
          <w:rFonts w:eastAsia="Calibri"/>
        </w:rPr>
      </w:pPr>
      <w:bookmarkStart w:id="6" w:name="_Toc256000006"/>
      <w:r w:rsidRPr="7E8C66FF">
        <w:rPr>
          <w:rFonts w:eastAsia="Calibri"/>
        </w:rPr>
        <w:t>Vedr opptrekk og injeksjonsteknikk</w:t>
      </w:r>
      <w:bookmarkEnd w:id="6"/>
    </w:p>
    <w:p w:rsidR="006C0D63" w:rsidP="006C0D63" w14:paraId="532D4530" w14:textId="09F8C2BD">
      <w:pPr>
        <w:shd w:val="clear" w:color="auto" w:fill="FFFFFF" w:themeFill="background1"/>
        <w:rPr>
          <w:rFonts w:ascii="Calibri" w:eastAsia="Calibri" w:hAnsi="Calibri" w:cs="Calibri"/>
          <w:color w:val="000000" w:themeColor="text1"/>
        </w:rPr>
      </w:pPr>
      <w:r>
        <w:t>Phesgo® i</w:t>
      </w:r>
      <w:r w:rsidRPr="7E8C66FF" w:rsidR="00CB13CF">
        <w:rPr>
          <w:rFonts w:ascii="Calibri" w:eastAsia="Calibri" w:hAnsi="Calibri" w:cs="Calibri"/>
          <w:color w:val="000000" w:themeColor="text1"/>
          <w:szCs w:val="22"/>
        </w:rPr>
        <w:t>nneholder ikke konserveringsmiddel og bør derfor brukes umiddelbart. Hetteglasset skal ikke ristes. Phesgo trekkes opp med en spiss opptrekkskanyle i 10 ml sprøyte med Luer Lock. Etter overføringen av oppløsningen til sprøyten, anbefales det å erstatte overføringskanylen med en sprøytehette som kan lukkes, for å unngå at oppløsningen tørker i kanylen, og for å ikke risikere kvaliteten til legemiddelet. Merk sprøyten med den avtakbare etiketten på hetteglass. Batch/LOT nr på hetteglasset må dokumenters i pasientens journal mht sporbarhet.</w:t>
      </w:r>
    </w:p>
    <w:p w:rsidR="006C0D63" w:rsidP="006C0D63" w14:paraId="0AC4342F" w14:textId="77777777">
      <w:pPr>
        <w:shd w:val="clear" w:color="auto" w:fill="FFFFFF" w:themeFill="background1"/>
        <w:rPr>
          <w:rFonts w:ascii="Calibri" w:eastAsia="Calibri" w:hAnsi="Calibri" w:cs="Calibri"/>
          <w:color w:val="000000" w:themeColor="text1"/>
        </w:rPr>
      </w:pPr>
    </w:p>
    <w:p w:rsidR="006C0D63" w:rsidP="006C0D63" w14:paraId="24129836" w14:textId="77777777">
      <w:pPr>
        <w:shd w:val="clear" w:color="auto" w:fill="FFFFFF" w:themeFill="background1"/>
        <w:rPr>
          <w:rFonts w:ascii="Calibri" w:eastAsia="Calibri" w:hAnsi="Calibri" w:cs="Calibri"/>
          <w:u w:val="single"/>
        </w:rPr>
      </w:pPr>
      <w:r w:rsidRPr="7E8C66FF">
        <w:rPr>
          <w:rFonts w:ascii="Calibri" w:eastAsia="Calibri" w:hAnsi="Calibri" w:cs="Calibri"/>
          <w:color w:val="000000" w:themeColor="text1"/>
          <w:szCs w:val="22"/>
          <w:u w:val="single"/>
        </w:rPr>
        <w:t>Observasjonstid etter avsluttet sc injeksjon vedlikeholdsdose er 15 minutter.</w:t>
      </w:r>
    </w:p>
    <w:p w:rsidR="006C0D63" w:rsidP="006C0D63" w14:paraId="78661EBD" w14:textId="77777777">
      <w:pPr>
        <w:shd w:val="clear" w:color="auto" w:fill="FFFFFF" w:themeFill="background1"/>
      </w:pPr>
    </w:p>
    <w:p w:rsidR="006C0D63" w:rsidP="006C0D63" w14:paraId="00B631AC" w14:textId="77777777">
      <w:pPr>
        <w:shd w:val="clear" w:color="auto" w:fill="FFFFFF" w:themeFill="background1"/>
        <w:rPr>
          <w:rFonts w:ascii="Calibri" w:eastAsia="Calibri" w:hAnsi="Calibri" w:cs="Calibri"/>
          <w:color w:val="000000" w:themeColor="text1"/>
        </w:rPr>
      </w:pPr>
      <w:r w:rsidRPr="7E8C66FF">
        <w:rPr>
          <w:rFonts w:ascii="Calibri" w:eastAsia="Calibri" w:hAnsi="Calibri" w:cs="Calibri"/>
          <w:color w:val="000000" w:themeColor="text1"/>
          <w:szCs w:val="22"/>
        </w:rPr>
        <w:t xml:space="preserve">Injeksjonsstedet bør kun veksle mellom venstre og høyre lår. Skal aldri settes i abdomen.   Nye injeksjoner bør gis minst 2,5 cm fra det gamle injeksjonsstedet i frisk hud og aldri i områder der huden er rød, skadet, øm eller hard. Dosen skal ikke fordeles mellom 2 sprøyter eller mellom 2 injeksjonssteder. I løpet av behandlingen bør andre legemidler til </w:t>
      </w:r>
      <w:r w:rsidRPr="7E8C66FF">
        <w:rPr>
          <w:rFonts w:ascii="Calibri" w:eastAsia="Calibri" w:hAnsi="Calibri" w:cs="Calibri"/>
          <w:color w:val="000000" w:themeColor="text1"/>
          <w:szCs w:val="22"/>
          <w:u w:val="single"/>
        </w:rPr>
        <w:t>s.c</w:t>
      </w:r>
      <w:r w:rsidRPr="7E8C66FF">
        <w:rPr>
          <w:rFonts w:ascii="Calibri" w:eastAsia="Calibri" w:hAnsi="Calibri" w:cs="Calibri"/>
          <w:color w:val="000000" w:themeColor="text1"/>
          <w:szCs w:val="22"/>
        </w:rPr>
        <w:t xml:space="preserve">. bruk injiseres andre steder. </w:t>
      </w:r>
    </w:p>
    <w:p w:rsidR="006C0D63" w:rsidP="006C0D63" w14:paraId="689C5472" w14:textId="77777777">
      <w:pPr>
        <w:shd w:val="clear" w:color="auto" w:fill="FFFFFF" w:themeFill="background1"/>
      </w:pPr>
    </w:p>
    <w:p w:rsidR="006C0D63" w:rsidP="006C0D63" w14:paraId="506085C3" w14:textId="77777777">
      <w:pPr>
        <w:pStyle w:val="Heading2"/>
        <w:rPr>
          <w:rFonts w:eastAsia="Calibri"/>
        </w:rPr>
      </w:pPr>
      <w:bookmarkStart w:id="7" w:name="_Toc256000007"/>
      <w:r w:rsidRPr="7E8C66FF">
        <w:rPr>
          <w:rFonts w:eastAsia="Calibri"/>
        </w:rPr>
        <w:t>Erfaringer med injeksjonsteknikk fra sykepleiere ved kreftpoliklinikken</w:t>
      </w:r>
      <w:bookmarkEnd w:id="7"/>
    </w:p>
    <w:p w:rsidR="006C0D63" w:rsidP="006C0D63" w14:paraId="21F861CF" w14:textId="77777777">
      <w:pPr>
        <w:shd w:val="clear" w:color="auto" w:fill="FFFFFF" w:themeFill="background1"/>
        <w:rPr>
          <w:rFonts w:ascii="Calibri" w:eastAsia="Calibri" w:hAnsi="Calibri" w:cs="Calibri"/>
          <w:color w:val="000000" w:themeColor="text1"/>
        </w:rPr>
      </w:pPr>
      <w:r w:rsidRPr="7E8C66FF">
        <w:rPr>
          <w:rFonts w:ascii="Calibri" w:eastAsia="Calibri" w:hAnsi="Calibri" w:cs="Calibri"/>
          <w:color w:val="000000" w:themeColor="text1"/>
          <w:szCs w:val="22"/>
        </w:rPr>
        <w:t>Pasienten sitter på en stol med buksen ned til omtrent knærne. Pasienten får et tøystykke over fanget. Desinfiser valgt injeksjonssted. Sett inn sprøytespissen (25-27 G x 3/8-5/8 inch nål) i det subkutane vevet. Erfaringsmessig svir den første dråpen. Det er lurt å stoppe opp litt hvis pasienten opplever det. Settes ca 2 ml/min der sykepleier holder sprøyten hele tiden. Det er viktig å finne en god sittestilling for seg selv da 5 minutter er lang tid.</w:t>
      </w:r>
    </w:p>
    <w:p w:rsidR="006C0D63" w:rsidP="00FC0005" w14:paraId="7622D9CC" w14:textId="77777777"/>
    <w:p w:rsidR="006C0D63" w:rsidP="006C0D63" w14:paraId="152B184D" w14:textId="77777777">
      <w:pPr>
        <w:keepNext/>
      </w:pPr>
      <w:r w:rsidRPr="006C0D63">
        <w:rPr>
          <w:noProof/>
        </w:rPr>
        <w:drawing>
          <wp:inline distT="0" distB="0" distL="0" distR="0">
            <wp:extent cx="4391638" cy="2324424"/>
            <wp:effectExtent l="0" t="0" r="9525" b="0"/>
            <wp:docPr id="1238655285" name="Bilde 1" descr="Et bilde som inneholder nål, Medisinsk utstyr, Laboratorieutstyr, medisin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55285" name="Bilde 1" descr="Et bilde som inneholder nål, Medisinsk utstyr, Laboratorieutstyr, medisinsk"/>
                    <pic:cNvPicPr/>
                  </pic:nvPicPr>
                  <pic:blipFill>
                    <a:blip xmlns:r="http://schemas.openxmlformats.org/officeDocument/2006/relationships" r:embed="rId5"/>
                    <a:stretch>
                      <a:fillRect/>
                    </a:stretch>
                  </pic:blipFill>
                  <pic:spPr>
                    <a:xfrm>
                      <a:off x="0" y="0"/>
                      <a:ext cx="4391638" cy="2324424"/>
                    </a:xfrm>
                    <a:prstGeom prst="rect">
                      <a:avLst/>
                    </a:prstGeom>
                  </pic:spPr>
                </pic:pic>
              </a:graphicData>
            </a:graphic>
          </wp:inline>
        </w:drawing>
      </w:r>
    </w:p>
    <w:p w:rsidR="006C0D63" w:rsidRPr="00FC0005" w:rsidP="006C0D63" w14:paraId="4F05E9FB" w14:textId="7D8E22D6">
      <w:pPr>
        <w:pStyle w:val="Caption"/>
      </w:pPr>
      <w:r>
        <w:t xml:space="preserve">Figur </w:t>
      </w:r>
      <w:r>
        <w:fldChar w:fldCharType="begin"/>
      </w:r>
      <w:r>
        <w:instrText xml:space="preserve"> SEQ Figur \* ARABIC </w:instrText>
      </w:r>
      <w:r>
        <w:fldChar w:fldCharType="separate"/>
      </w:r>
      <w:r>
        <w:t>1</w:t>
      </w:r>
      <w:r>
        <w:fldChar w:fldCharType="end"/>
      </w:r>
      <w:r w:rsidRPr="00981A99">
        <w:t>Vedlikeholdsdose Phesgo 600 mg/600 mg. Utstyr som brukes: 10 ml Luer Lock sprøyte, opptrekkskanyle og Braun Sterican 25 G x 5/8 inch kanyle til injeksjon</w:t>
      </w:r>
    </w:p>
    <w:p w:rsidR="00E55CB1" w:rsidP="00066A58" w14:paraId="7AAB5699" w14:textId="77777777">
      <w:pPr>
        <w:spacing w:line="259" w:lineRule="auto"/>
        <w:rPr>
          <w:rFonts w:cstheme="minorHAnsi"/>
        </w:rPr>
      </w:pPr>
    </w:p>
    <w:p w:rsidR="00510BDF" w:rsidP="00066A58" w14:paraId="4B3E9AE6" w14:textId="77777777">
      <w:pPr>
        <w:pStyle w:val="Heading1"/>
        <w:spacing w:line="259" w:lineRule="auto"/>
      </w:pPr>
      <w:bookmarkStart w:id="8" w:name="_Toc256000008"/>
      <w:r>
        <w:t>Referanser</w:t>
      </w:r>
      <w:bookmarkEnd w:id="8"/>
      <w:r>
        <w:t xml:space="preserve"> </w:t>
      </w:r>
    </w:p>
    <w:p w:rsidR="00DF7BA8" w:rsidP="00066A58" w14:paraId="4B3E9AE7" w14:textId="77777777">
      <w:pPr>
        <w:spacing w:line="259"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66A58">
            <w:pPr>
              <w:numPr>
                <w:ilvl w:val="0"/>
                <w:numId w:val="0"/>
              </w:numPr>
              <w:spacing w:line="259" w:lineRule="auto"/>
              <w:rPr>
                <w:b w:val="0"/>
                <w:color w:val="0000FF"/>
                <w:u w:val="single"/>
              </w:rPr>
            </w:pPr>
            <w:bookmarkStart w:id="9" w:name="EK_Referanse"/>
            <w:r>
              <w:rPr>
                <w:b w:val="0"/>
                <w:color w:val="0000FF"/>
                <w:u w:val="single"/>
              </w:rPr>
              <w:t xml:space="preserve"> </w:t>
            </w:r>
          </w:p>
        </w:tc>
        <w:tc>
          <w:tcPr>
            <w:tcBorders>
              <w:top w:val="nil"/>
              <w:left w:val="nil"/>
              <w:bottom w:val="nil"/>
              <w:right w:val="nil"/>
            </w:tcBorders>
          </w:tcPr>
          <w:p w:rsidP="00066A58">
            <w:pPr>
              <w:numPr>
                <w:ilvl w:val="0"/>
                <w:numId w:val="0"/>
              </w:numPr>
              <w:spacing w:line="259" w:lineRule="auto"/>
              <w:rPr>
                <w:b w:val="0"/>
                <w:color w:val="0000FF"/>
                <w:u w:val="single"/>
              </w:rPr>
            </w:pPr>
            <w:r>
              <w:rPr>
                <w:b w:val="0"/>
                <w:color w:val="0000FF"/>
                <w:u w:val="single"/>
              </w:rPr>
              <w:t xml:space="preserve"> </w:t>
            </w:r>
          </w:p>
        </w:tc>
      </w:tr>
    </w:tbl>
    <w:p w:rsidR="00510BDF" w:rsidP="00066A58" w14:paraId="4B3E9AED" w14:textId="77777777">
      <w:pPr>
        <w:spacing w:line="259" w:lineRule="auto"/>
        <w:rPr>
          <w:rFonts w:cstheme="minorHAnsi"/>
        </w:rPr>
      </w:pPr>
      <w:bookmarkEnd w:id="9"/>
    </w:p>
    <w:p w:rsidR="00510BDF" w:rsidP="00066A58" w14:paraId="4B3E9AEE" w14:textId="77777777">
      <w:pPr>
        <w:spacing w:line="259" w:lineRule="auto"/>
        <w:rPr>
          <w:rFonts w:cstheme="minorHAnsi"/>
        </w:rPr>
      </w:pPr>
      <w:r>
        <w:rPr>
          <w:rFonts w:cstheme="minorHAnsi"/>
        </w:rPr>
        <w:t xml:space="preserve">Eksterne referanser </w:t>
      </w:r>
    </w:p>
    <w:p w:rsidR="00A268D7" w:rsidP="00066A58" w14:paraId="2C610C0F" w14:textId="489A858E">
      <w:pPr>
        <w:spacing w:line="259" w:lineRule="auto"/>
        <w:rPr>
          <w:rFonts w:cstheme="minorHAnsi"/>
        </w:rPr>
      </w:pPr>
      <w:r>
        <w:rPr>
          <w:rFonts w:cstheme="minorHAnsi"/>
        </w:rPr>
        <w:t>S</w:t>
      </w:r>
      <w:r w:rsidRPr="00A268D7">
        <w:rPr>
          <w:rFonts w:cstheme="minorHAnsi"/>
        </w:rPr>
        <w:t>wain</w:t>
      </w:r>
      <w:r>
        <w:rPr>
          <w:rFonts w:cstheme="minorHAnsi"/>
        </w:rPr>
        <w:t xml:space="preserve"> et al</w:t>
      </w:r>
      <w:r w:rsidRPr="00A268D7">
        <w:rPr>
          <w:rFonts w:cstheme="minorHAnsi"/>
        </w:rPr>
        <w:t xml:space="preserve"> (2013). </w:t>
      </w:r>
      <w:r w:rsidRPr="00A268D7">
        <w:rPr>
          <w:rFonts w:cstheme="minorHAnsi"/>
        </w:rPr>
        <w:t>Pertuzumab</w:t>
      </w:r>
      <w:r w:rsidRPr="00A268D7">
        <w:rPr>
          <w:rFonts w:cstheme="minorHAnsi"/>
        </w:rPr>
        <w:t xml:space="preserve">, </w:t>
      </w:r>
      <w:r w:rsidRPr="00A268D7">
        <w:rPr>
          <w:rFonts w:cstheme="minorHAnsi"/>
        </w:rPr>
        <w:t>trastuzumab</w:t>
      </w:r>
      <w:r w:rsidRPr="00A268D7">
        <w:rPr>
          <w:rFonts w:cstheme="minorHAnsi"/>
        </w:rPr>
        <w:t xml:space="preserve">, and </w:t>
      </w:r>
      <w:r w:rsidRPr="00A268D7">
        <w:rPr>
          <w:rFonts w:cstheme="minorHAnsi"/>
        </w:rPr>
        <w:t>docetaxel</w:t>
      </w:r>
      <w:r w:rsidRPr="00A268D7">
        <w:rPr>
          <w:rFonts w:cstheme="minorHAnsi"/>
        </w:rPr>
        <w:t xml:space="preserve"> for HER2-positive </w:t>
      </w:r>
      <w:r w:rsidRPr="00A268D7">
        <w:rPr>
          <w:rFonts w:cstheme="minorHAnsi"/>
        </w:rPr>
        <w:t>metastatic</w:t>
      </w:r>
      <w:r w:rsidRPr="00A268D7">
        <w:rPr>
          <w:rFonts w:cstheme="minorHAnsi"/>
        </w:rPr>
        <w:t xml:space="preserve"> </w:t>
      </w:r>
      <w:r w:rsidRPr="00A268D7">
        <w:rPr>
          <w:rFonts w:cstheme="minorHAnsi"/>
        </w:rPr>
        <w:t>breast</w:t>
      </w:r>
      <w:r w:rsidRPr="00A268D7">
        <w:rPr>
          <w:rFonts w:cstheme="minorHAnsi"/>
        </w:rPr>
        <w:t xml:space="preserve"> cancer (CLEOPATRA </w:t>
      </w:r>
      <w:r w:rsidRPr="00A268D7">
        <w:rPr>
          <w:rFonts w:cstheme="minorHAnsi"/>
        </w:rPr>
        <w:t>study</w:t>
      </w:r>
      <w:r w:rsidRPr="00A268D7">
        <w:rPr>
          <w:rFonts w:cstheme="minorHAnsi"/>
        </w:rPr>
        <w:t xml:space="preserve">): overall </w:t>
      </w:r>
      <w:r w:rsidRPr="00A268D7">
        <w:rPr>
          <w:rFonts w:cstheme="minorHAnsi"/>
        </w:rPr>
        <w:t>survival</w:t>
      </w:r>
      <w:r w:rsidRPr="00A268D7">
        <w:rPr>
          <w:rFonts w:cstheme="minorHAnsi"/>
        </w:rPr>
        <w:t xml:space="preserve"> </w:t>
      </w:r>
      <w:r w:rsidRPr="00A268D7">
        <w:rPr>
          <w:rFonts w:cstheme="minorHAnsi"/>
        </w:rPr>
        <w:t>results</w:t>
      </w:r>
      <w:r w:rsidRPr="00A268D7">
        <w:rPr>
          <w:rFonts w:cstheme="minorHAnsi"/>
        </w:rPr>
        <w:t xml:space="preserve"> from a </w:t>
      </w:r>
      <w:r w:rsidRPr="00A268D7">
        <w:rPr>
          <w:rFonts w:cstheme="minorHAnsi"/>
        </w:rPr>
        <w:t>randomised</w:t>
      </w:r>
      <w:r w:rsidRPr="00A268D7">
        <w:rPr>
          <w:rFonts w:cstheme="minorHAnsi"/>
        </w:rPr>
        <w:t>, double-blind, placebo</w:t>
      </w:r>
      <w:r w:rsidRPr="00A268D7">
        <w:rPr>
          <w:rFonts w:cstheme="minorHAnsi"/>
        </w:rPr>
        <w:t>controlled</w:t>
      </w:r>
      <w:r w:rsidRPr="00A268D7">
        <w:rPr>
          <w:rFonts w:cstheme="minorHAnsi"/>
        </w:rPr>
        <w:t xml:space="preserve">, </w:t>
      </w:r>
      <w:r w:rsidRPr="00A268D7">
        <w:rPr>
          <w:rFonts w:cstheme="minorHAnsi"/>
        </w:rPr>
        <w:t>phase</w:t>
      </w:r>
      <w:r w:rsidRPr="00A268D7">
        <w:rPr>
          <w:rFonts w:cstheme="minorHAnsi"/>
        </w:rPr>
        <w:t xml:space="preserve"> 3 </w:t>
      </w:r>
      <w:r w:rsidRPr="00A268D7">
        <w:rPr>
          <w:rFonts w:cstheme="minorHAnsi"/>
        </w:rPr>
        <w:t>study</w:t>
      </w:r>
      <w:r w:rsidRPr="00A268D7">
        <w:rPr>
          <w:rFonts w:cstheme="minorHAnsi"/>
        </w:rPr>
        <w:t xml:space="preserve">. The </w:t>
      </w:r>
      <w:r w:rsidRPr="00A268D7">
        <w:rPr>
          <w:rFonts w:cstheme="minorHAnsi"/>
        </w:rPr>
        <w:t>Lancet</w:t>
      </w:r>
      <w:r w:rsidRPr="00A268D7">
        <w:rPr>
          <w:rFonts w:cstheme="minorHAnsi"/>
        </w:rPr>
        <w:t xml:space="preserve">. </w:t>
      </w:r>
      <w:r w:rsidRPr="00A268D7">
        <w:rPr>
          <w:rFonts w:cstheme="minorHAnsi"/>
        </w:rPr>
        <w:t>Oncology</w:t>
      </w:r>
      <w:r w:rsidRPr="00A268D7">
        <w:rPr>
          <w:rFonts w:cstheme="minorHAnsi"/>
        </w:rPr>
        <w:t>, 14(6), 461-471.</w:t>
      </w:r>
    </w:p>
    <w:p w:rsidR="00A268D7" w:rsidP="00066A58" w14:paraId="6A56D213" w14:textId="77777777">
      <w:pPr>
        <w:spacing w:line="259" w:lineRule="auto"/>
        <w:rPr>
          <w:rFonts w:cstheme="minorHAnsi"/>
        </w:rPr>
      </w:pPr>
    </w:p>
    <w:p w:rsidR="00A268D7" w:rsidP="00066A58" w14:paraId="0B4F81BF" w14:textId="37E4DBA1">
      <w:pPr>
        <w:spacing w:line="259" w:lineRule="auto"/>
        <w:rPr>
          <w:rFonts w:cstheme="minorHAnsi"/>
        </w:rPr>
      </w:pPr>
      <w:r w:rsidRPr="00A268D7">
        <w:rPr>
          <w:rFonts w:cstheme="minorHAnsi"/>
        </w:rPr>
        <w:t>Tan</w:t>
      </w:r>
      <w:r>
        <w:rPr>
          <w:rFonts w:cstheme="minorHAnsi"/>
        </w:rPr>
        <w:t xml:space="preserve"> et al </w:t>
      </w:r>
      <w:r w:rsidRPr="00A268D7">
        <w:rPr>
          <w:rFonts w:cstheme="minorHAnsi"/>
        </w:rPr>
        <w:t xml:space="preserve">(2021). </w:t>
      </w:r>
      <w:r w:rsidRPr="00A268D7">
        <w:rPr>
          <w:rFonts w:cstheme="minorHAnsi"/>
        </w:rPr>
        <w:t>Fixed</w:t>
      </w:r>
      <w:r w:rsidRPr="00A268D7">
        <w:rPr>
          <w:rFonts w:cstheme="minorHAnsi"/>
        </w:rPr>
        <w:t xml:space="preserve">-dose combination </w:t>
      </w:r>
      <w:r w:rsidRPr="00A268D7">
        <w:rPr>
          <w:rFonts w:cstheme="minorHAnsi"/>
        </w:rPr>
        <w:t>of</w:t>
      </w:r>
      <w:r w:rsidRPr="00A268D7">
        <w:rPr>
          <w:rFonts w:cstheme="minorHAnsi"/>
        </w:rPr>
        <w:t xml:space="preserve"> </w:t>
      </w:r>
      <w:r w:rsidRPr="00A268D7">
        <w:rPr>
          <w:rFonts w:cstheme="minorHAnsi"/>
        </w:rPr>
        <w:t>pertuzumab</w:t>
      </w:r>
      <w:r w:rsidRPr="00A268D7">
        <w:rPr>
          <w:rFonts w:cstheme="minorHAnsi"/>
        </w:rPr>
        <w:t xml:space="preserve"> and </w:t>
      </w:r>
      <w:r w:rsidRPr="00A268D7">
        <w:rPr>
          <w:rFonts w:cstheme="minorHAnsi"/>
        </w:rPr>
        <w:t>trastuzumab</w:t>
      </w:r>
      <w:r w:rsidRPr="00A268D7">
        <w:rPr>
          <w:rFonts w:cstheme="minorHAnsi"/>
        </w:rPr>
        <w:t xml:space="preserve"> for </w:t>
      </w:r>
      <w:r w:rsidRPr="00A268D7">
        <w:rPr>
          <w:rFonts w:cstheme="minorHAnsi"/>
        </w:rPr>
        <w:t>subcutaneous</w:t>
      </w:r>
      <w:r w:rsidRPr="00A268D7">
        <w:rPr>
          <w:rFonts w:cstheme="minorHAnsi"/>
        </w:rPr>
        <w:t xml:space="preserve"> </w:t>
      </w:r>
      <w:r w:rsidRPr="00A268D7">
        <w:rPr>
          <w:rFonts w:cstheme="minorHAnsi"/>
        </w:rPr>
        <w:t>injection</w:t>
      </w:r>
      <w:r w:rsidRPr="00A268D7">
        <w:rPr>
          <w:rFonts w:cstheme="minorHAnsi"/>
        </w:rPr>
        <w:t xml:space="preserve"> </w:t>
      </w:r>
      <w:r w:rsidRPr="00A268D7">
        <w:rPr>
          <w:rFonts w:cstheme="minorHAnsi"/>
        </w:rPr>
        <w:t>plus</w:t>
      </w:r>
      <w:r w:rsidRPr="00A268D7">
        <w:rPr>
          <w:rFonts w:cstheme="minorHAnsi"/>
        </w:rPr>
        <w:t xml:space="preserve"> </w:t>
      </w:r>
      <w:r w:rsidRPr="00A268D7">
        <w:rPr>
          <w:rFonts w:cstheme="minorHAnsi"/>
        </w:rPr>
        <w:t>chemotherapy</w:t>
      </w:r>
      <w:r w:rsidRPr="00A268D7">
        <w:rPr>
          <w:rFonts w:cstheme="minorHAnsi"/>
        </w:rPr>
        <w:t xml:space="preserve"> in HER2-positive </w:t>
      </w:r>
      <w:r w:rsidRPr="00A268D7">
        <w:rPr>
          <w:rFonts w:cstheme="minorHAnsi"/>
        </w:rPr>
        <w:t>early</w:t>
      </w:r>
      <w:r w:rsidRPr="00A268D7">
        <w:rPr>
          <w:rFonts w:cstheme="minorHAnsi"/>
        </w:rPr>
        <w:t xml:space="preserve"> </w:t>
      </w:r>
      <w:r w:rsidRPr="00A268D7">
        <w:rPr>
          <w:rFonts w:cstheme="minorHAnsi"/>
        </w:rPr>
        <w:t>breast</w:t>
      </w:r>
      <w:r w:rsidRPr="00A268D7">
        <w:rPr>
          <w:rFonts w:cstheme="minorHAnsi"/>
        </w:rPr>
        <w:t xml:space="preserve"> cancer (</w:t>
      </w:r>
      <w:r w:rsidRPr="00A268D7">
        <w:rPr>
          <w:rFonts w:cstheme="minorHAnsi"/>
        </w:rPr>
        <w:t>FeDeriCa</w:t>
      </w:r>
      <w:r w:rsidRPr="00A268D7">
        <w:rPr>
          <w:rFonts w:cstheme="minorHAnsi"/>
        </w:rPr>
        <w:t xml:space="preserve">): a </w:t>
      </w:r>
      <w:r w:rsidRPr="00A268D7">
        <w:rPr>
          <w:rFonts w:cstheme="minorHAnsi"/>
        </w:rPr>
        <w:t>randomised</w:t>
      </w:r>
      <w:r w:rsidRPr="00A268D7">
        <w:rPr>
          <w:rFonts w:cstheme="minorHAnsi"/>
        </w:rPr>
        <w:t xml:space="preserve">, </w:t>
      </w:r>
      <w:r w:rsidRPr="00A268D7">
        <w:rPr>
          <w:rFonts w:cstheme="minorHAnsi"/>
        </w:rPr>
        <w:t>open-label</w:t>
      </w:r>
      <w:r w:rsidRPr="00A268D7">
        <w:rPr>
          <w:rFonts w:cstheme="minorHAnsi"/>
        </w:rPr>
        <w:t xml:space="preserve">, </w:t>
      </w:r>
      <w:r w:rsidRPr="00A268D7">
        <w:rPr>
          <w:rFonts w:cstheme="minorHAnsi"/>
        </w:rPr>
        <w:t>multicentre</w:t>
      </w:r>
      <w:r w:rsidRPr="00A268D7">
        <w:rPr>
          <w:rFonts w:cstheme="minorHAnsi"/>
        </w:rPr>
        <w:t>, non-</w:t>
      </w:r>
      <w:r w:rsidRPr="00A268D7">
        <w:rPr>
          <w:rFonts w:cstheme="minorHAnsi"/>
        </w:rPr>
        <w:t>inferiority</w:t>
      </w:r>
      <w:r w:rsidRPr="00A268D7">
        <w:rPr>
          <w:rFonts w:cstheme="minorHAnsi"/>
        </w:rPr>
        <w:t xml:space="preserve">, </w:t>
      </w:r>
      <w:r w:rsidRPr="00A268D7">
        <w:rPr>
          <w:rFonts w:cstheme="minorHAnsi"/>
        </w:rPr>
        <w:t>phase</w:t>
      </w:r>
      <w:r w:rsidRPr="00A268D7">
        <w:rPr>
          <w:rFonts w:cstheme="minorHAnsi"/>
        </w:rPr>
        <w:t xml:space="preserve"> 3 </w:t>
      </w:r>
      <w:r w:rsidRPr="00A268D7">
        <w:rPr>
          <w:rFonts w:cstheme="minorHAnsi"/>
        </w:rPr>
        <w:t>study</w:t>
      </w:r>
      <w:r w:rsidRPr="00A268D7">
        <w:rPr>
          <w:rFonts w:cstheme="minorHAnsi"/>
        </w:rPr>
        <w:t xml:space="preserve">. The </w:t>
      </w:r>
      <w:r w:rsidRPr="00A268D7">
        <w:rPr>
          <w:rFonts w:cstheme="minorHAnsi"/>
        </w:rPr>
        <w:t>Lancet</w:t>
      </w:r>
      <w:r w:rsidRPr="00A268D7">
        <w:rPr>
          <w:rFonts w:cstheme="minorHAnsi"/>
        </w:rPr>
        <w:t xml:space="preserve">. </w:t>
      </w:r>
      <w:r w:rsidRPr="00A268D7">
        <w:rPr>
          <w:rFonts w:cstheme="minorHAnsi"/>
        </w:rPr>
        <w:t>Oncology</w:t>
      </w:r>
      <w:r w:rsidRPr="00A268D7">
        <w:rPr>
          <w:rFonts w:cstheme="minorHAnsi"/>
        </w:rPr>
        <w:t>, 22(1), 85-97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66A58">
            <w:pPr>
              <w:numPr>
                <w:ilvl w:val="0"/>
                <w:numId w:val="0"/>
              </w:numPr>
              <w:spacing w:line="259" w:lineRule="auto"/>
              <w:rPr>
                <w:b w:val="0"/>
                <w:color w:val="0000FF"/>
                <w:u w:val="single"/>
              </w:rPr>
            </w:pPr>
            <w:bookmarkStart w:id="10" w:name="EK_EksRef"/>
            <w:r>
              <w:rPr>
                <w:b w:val="0"/>
                <w:color w:val="0000FF"/>
                <w:u w:val="single"/>
              </w:rPr>
              <w:t xml:space="preserve"> </w:t>
            </w:r>
          </w:p>
        </w:tc>
      </w:tr>
    </w:tbl>
    <w:p w:rsidR="009B041D" w:rsidP="00066A58" w14:paraId="4B3E9AF2" w14:textId="77777777">
      <w:pPr>
        <w:spacing w:line="259" w:lineRule="auto"/>
        <w:rPr>
          <w:rFonts w:cstheme="minorHAnsi"/>
        </w:rPr>
      </w:pPr>
      <w:bookmarkEnd w:id="10"/>
    </w:p>
    <w:p w:rsidR="009D023B" w:rsidP="00066A58" w14:paraId="4B3E9AF3" w14:textId="77777777">
      <w:pPr>
        <w:spacing w:line="259" w:lineRule="auto"/>
      </w:pPr>
    </w:p>
    <w:p w:rsidR="00DF7BA8" w:rsidP="00066A58" w14:paraId="4B3E9AF4" w14:textId="77777777">
      <w:pPr>
        <w:spacing w:line="259" w:lineRule="auto"/>
      </w:pPr>
    </w:p>
    <w:p w:rsidR="00935DE6" w:rsidP="00066A58" w14:paraId="4B3E9AF5" w14:textId="77777777">
      <w:pPr>
        <w:pStyle w:val="Heading1"/>
        <w:spacing w:line="259" w:lineRule="auto"/>
      </w:pPr>
      <w:bookmarkStart w:id="11" w:name="_Toc256000009"/>
      <w:r>
        <w:t>Forankring</w:t>
      </w:r>
      <w:bookmarkEnd w:id="11"/>
    </w:p>
    <w:p w:rsidR="00A268D7" w:rsidP="00A268D7" w14:paraId="49BB018F" w14:textId="77777777"/>
    <w:p w:rsidR="00A268D7" w:rsidRPr="00A268D7" w:rsidP="00A268D7" w14:paraId="3DF93F3B" w14:textId="57411445">
      <w:r>
        <w:t>Utarbeidet i samarbeid med Samhandlingslegen</w:t>
      </w:r>
    </w:p>
    <w:p w:rsidR="00935DE6" w:rsidRPr="009D023B" w:rsidP="00066A58" w14:paraId="4B3E9AF6" w14:textId="77777777">
      <w:pPr>
        <w:spacing w:line="259" w:lineRule="auto"/>
      </w:pPr>
    </w:p>
    <w:p w:rsidR="009D023B" w:rsidRPr="005F0E8F" w:rsidP="00066A58" w14:paraId="4B3E9AF7" w14:textId="77777777">
      <w:pPr>
        <w:pStyle w:val="Heading1"/>
        <w:spacing w:line="259" w:lineRule="auto"/>
      </w:pPr>
      <w:bookmarkStart w:id="12" w:name="_Toc256000010"/>
      <w:r w:rsidRPr="005F0E8F">
        <w:t>Endringer siden forrige versjon</w:t>
      </w:r>
      <w:bookmarkEnd w:id="12"/>
    </w:p>
    <w:p w:rsidR="009D023B" w:rsidRPr="00E754D7" w:rsidP="00066A58" w14:paraId="4B3E9AF9" w14:textId="1E3B73D1">
      <w:pPr>
        <w:spacing w:line="259" w:lineRule="auto"/>
        <w:rPr>
          <w:rFonts w:cstheme="minorHAnsi"/>
          <w:color w:val="000080"/>
        </w:rPr>
      </w:pPr>
      <w:r>
        <w:rPr>
          <w:rFonts w:cstheme="minorHAnsi"/>
          <w:color w:val="000080"/>
        </w:rPr>
        <w:t>Første versjon</w:t>
      </w:r>
    </w:p>
    <w:sectPr w:rsidSect="00D03EED">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4B3E9B02"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4B3E9B00" w14:textId="5864CCF2">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665727826"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35541" w:rsidRPr="00E35541" w:rsidP="00E35541" w14:paraId="301ADB33"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35541" w:rsidRPr="00E35541" w:rsidP="00E35541" w14:paraId="2F1F9561"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8A218A">
            <w:rPr>
              <w:rStyle w:val="PageNumber"/>
              <w:noProof/>
              <w:sz w:val="16"/>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8A218A">
            <w:rPr>
              <w:rStyle w:val="PageNumber"/>
              <w:noProof/>
              <w:sz w:val="16"/>
            </w:rPr>
            <w:t>1</w:t>
          </w:r>
          <w:r>
            <w:rPr>
              <w:rStyle w:val="PageNumber"/>
              <w:sz w:val="16"/>
            </w:rPr>
            <w:fldChar w:fldCharType="end"/>
          </w:r>
        </w:p>
      </w:tc>
      <w:tc>
        <w:tcPr>
          <w:tcW w:w="4074" w:type="dxa"/>
          <w:tcBorders>
            <w:left w:val="single" w:sz="4" w:space="0" w:color="auto"/>
          </w:tcBorders>
        </w:tcPr>
        <w:p w:rsidR="00485214" w14:paraId="4B3E9B01"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1.2.1.11-02</w:t>
          </w:r>
          <w:r>
            <w:rPr>
              <w:color w:val="000080"/>
              <w:sz w:val="16"/>
            </w:rPr>
            <w:fldChar w:fldCharType="end"/>
          </w:r>
        </w:p>
      </w:tc>
    </w:tr>
  </w:tbl>
  <w:p w:rsidR="00485214" w14:paraId="4B3E9B03"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jc w:val="center"/>
      <w:tblBorders>
        <w:top w:val="single" w:sz="4" w:space="0" w:color="auto"/>
      </w:tblBorders>
      <w:tblLayout w:type="fixed"/>
      <w:tblCellMar>
        <w:left w:w="70" w:type="dxa"/>
        <w:right w:w="70" w:type="dxa"/>
      </w:tblCellMar>
      <w:tblLook w:val="0000"/>
    </w:tblPr>
    <w:tblGrid>
      <w:gridCol w:w="1701"/>
      <w:gridCol w:w="2268"/>
      <w:gridCol w:w="3402"/>
      <w:gridCol w:w="1296"/>
    </w:tblGrid>
    <w:tr w14:paraId="4B3E9B08" w14:textId="77777777" w:rsidTr="009E1AE8">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701" w:type="dxa"/>
          <w:tcBorders>
            <w:right w:val="single" w:sz="4" w:space="0" w:color="auto"/>
          </w:tcBorders>
        </w:tcPr>
        <w:p w:rsidR="009B041D" w:rsidRPr="004568C8" w:rsidP="007E4125" w14:paraId="4B3E9B04" w14:textId="0AD9C485">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91235" cy="500380"/>
                    <wp:effectExtent l="0" t="0" r="18415" b="0"/>
                    <wp:wrapNone/>
                    <wp:docPr id="911443191"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1235" cy="500380"/>
                            </a:xfrm>
                            <a:prstGeom prst="rect">
                              <a:avLst/>
                            </a:prstGeom>
                            <a:noFill/>
                            <a:ln>
                              <a:noFill/>
                            </a:ln>
                          </wps:spPr>
                          <wps:txbx>
                            <w:txbxContent>
                              <w:p w:rsidR="00E35541" w:rsidRPr="00E35541" w:rsidP="00E35541" w14:paraId="3D33D53D"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78.0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35541" w:rsidRPr="00E35541" w:rsidP="00E35541" w14:paraId="4DFCAA50" w14:textId="77777777">
                          <w:pPr>
                            <w:rPr>
                              <w:rFonts w:ascii="Calibri" w:eastAsia="Calibri" w:hAnsi="Calibri" w:cs="Calibri"/>
                              <w:noProof/>
                              <w:color w:val="000000"/>
                              <w:sz w:val="20"/>
                            </w:rPr>
                          </w:pPr>
                          <w:r w:rsidRPr="00E35541">
                            <w:rPr>
                              <w:rFonts w:ascii="Calibri" w:eastAsia="Calibri" w:hAnsi="Calibri" w:cs="Calibri"/>
                              <w:noProof/>
                              <w:color w:val="000000"/>
                              <w:sz w:val="20"/>
                            </w:rPr>
                            <w:t>Følsomhet Intern (gul)</w:t>
                          </w:r>
                        </w:p>
                      </w:txbxContent>
                    </v:textbox>
                  </v:shape>
                </w:pict>
              </mc:Fallback>
            </mc:AlternateContent>
          </w:r>
          <w:r>
            <w:rPr>
              <w:sz w:val="16"/>
            </w:rPr>
            <w:t xml:space="preserve">Dok.id: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D83314</w:t>
          </w:r>
          <w:r>
            <w:rPr>
              <w:color w:val="000080"/>
              <w:sz w:val="16"/>
            </w:rPr>
            <w:fldChar w:fldCharType="end"/>
          </w:r>
        </w:p>
      </w:tc>
      <w:tc>
        <w:tcPr>
          <w:tcW w:w="2268" w:type="dxa"/>
          <w:tcBorders>
            <w:right w:val="single" w:sz="4" w:space="0" w:color="auto"/>
          </w:tcBorders>
        </w:tcPr>
        <w:p w:rsidR="009B041D" w:rsidRPr="009B041D" w:rsidP="007E4125" w14:paraId="4B3E9B05"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1.2.1.11-02</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4B3E9B06"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4B3E9B07"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4</w:t>
          </w:r>
          <w:r>
            <w:rPr>
              <w:rStyle w:val="PageNumber"/>
              <w:sz w:val="16"/>
            </w:rPr>
            <w:fldChar w:fldCharType="end"/>
          </w:r>
        </w:p>
      </w:tc>
    </w:tr>
  </w:tbl>
  <w:p w:rsidR="00B24A00" w:rsidRPr="009E0D59" w:rsidP="00B24A00" w14:paraId="4B3E9B09"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8478" w:type="dxa"/>
      <w:jc w:val="center"/>
      <w:tblBorders>
        <w:top w:val="single" w:sz="4" w:space="0" w:color="auto"/>
      </w:tblBorders>
      <w:tblLayout w:type="fixed"/>
      <w:tblCellMar>
        <w:left w:w="70" w:type="dxa"/>
        <w:right w:w="70" w:type="dxa"/>
      </w:tblCellMar>
      <w:tblLook w:val="0000"/>
    </w:tblPr>
    <w:tblGrid>
      <w:gridCol w:w="2268"/>
      <w:gridCol w:w="4395"/>
      <w:gridCol w:w="1815"/>
    </w:tblGrid>
    <w:tr w14:paraId="4B3E9B1D" w14:textId="77777777" w:rsidTr="004B40D7">
      <w:tblPrEx>
        <w:tblW w:w="8478" w:type="dxa"/>
        <w:jc w:val="center"/>
        <w:tblBorders>
          <w:top w:val="single" w:sz="4" w:space="0" w:color="auto"/>
        </w:tblBorders>
        <w:tblLayout w:type="fixed"/>
        <w:tblCellMar>
          <w:left w:w="70" w:type="dxa"/>
          <w:right w:w="70" w:type="dxa"/>
        </w:tblCellMar>
        <w:tblLook w:val="0000"/>
      </w:tblPrEx>
      <w:trPr>
        <w:trHeight w:val="394"/>
        <w:jc w:val="center"/>
      </w:trPr>
      <w:tc>
        <w:tcPr>
          <w:tcW w:w="2268" w:type="dxa"/>
          <w:tcBorders>
            <w:right w:val="single" w:sz="4" w:space="0" w:color="auto"/>
          </w:tcBorders>
        </w:tcPr>
        <w:p w:rsidR="004B40D7" w:rsidRPr="009B041D" w:rsidP="007E4125" w14:paraId="4B3E9B1A" w14:textId="01CEDCED">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1.2.1.11-02</w:t>
          </w:r>
          <w:r>
            <w:rPr>
              <w:color w:val="000080"/>
              <w:sz w:val="16"/>
            </w:rPr>
            <w:fldChar w:fldCharType="end"/>
          </w:r>
        </w:p>
      </w:tc>
      <w:tc>
        <w:tcPr>
          <w:tcW w:w="4395" w:type="dxa"/>
          <w:tcBorders>
            <w:left w:val="single" w:sz="4" w:space="0" w:color="auto"/>
            <w:right w:val="single" w:sz="4" w:space="0" w:color="auto"/>
          </w:tcBorders>
        </w:tcPr>
        <w:p w:rsidR="004B40D7" w:rsidRPr="00D320CC" w:rsidP="007E4125" w14:paraId="4B3E9B1B"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815" w:type="dxa"/>
          <w:tcBorders>
            <w:left w:val="single" w:sz="4" w:space="0" w:color="auto"/>
          </w:tcBorders>
        </w:tcPr>
        <w:p w:rsidR="004B40D7" w:rsidP="007E4125" w14:paraId="4B3E9B1C"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4</w:t>
          </w:r>
          <w:r>
            <w:rPr>
              <w:rStyle w:val="PageNumber"/>
              <w:sz w:val="16"/>
            </w:rPr>
            <w:fldChar w:fldCharType="end"/>
          </w:r>
        </w:p>
      </w:tc>
    </w:tr>
  </w:tbl>
  <w:p w:rsidR="00B24A00" w:rsidP="00B24A00" w14:paraId="4B3E9B1E" w14:textId="77FE0FCA">
    <w:pPr>
      <w:pStyle w:val="Footer"/>
      <w:rPr>
        <w:color w:val="FFFFFF"/>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posOffset>878840</wp:posOffset>
              </wp:positionH>
              <wp:positionV relativeFrom="page">
                <wp:posOffset>10151745</wp:posOffset>
              </wp:positionV>
              <wp:extent cx="1351280" cy="500380"/>
              <wp:effectExtent l="0" t="0" r="6350" b="0"/>
              <wp:wrapNone/>
              <wp:docPr id="613900499"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1280" cy="500380"/>
                      </a:xfrm>
                      <a:prstGeom prst="rect">
                        <a:avLst/>
                      </a:prstGeom>
                      <a:noFill/>
                      <a:ln>
                        <a:noFill/>
                      </a:ln>
                    </wps:spPr>
                    <wps:txbx>
                      <w:txbxContent>
                        <w:p w:rsidR="00E35541" w:rsidRPr="006D516B" w:rsidP="00E35541" w14:paraId="4E606F86"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1" type="#_x0000_t202" alt="Følsomhet Intern (gul)" style="width:106.4pt;height:39.4pt;margin-top:799.35pt;margin-left:69.2pt;mso-position-horizontal-relative:page;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35541" w:rsidRPr="006D516B" w:rsidP="00E35541" w14:paraId="08B9ED4C" w14:textId="77777777">
                    <w:pPr>
                      <w:rPr>
                        <w:rFonts w:ascii="Calibri" w:eastAsia="Calibri" w:hAnsi="Calibri" w:cs="Calibri"/>
                        <w:noProof/>
                        <w:color w:val="000000"/>
                        <w:sz w:val="16"/>
                        <w:szCs w:val="16"/>
                      </w:rPr>
                    </w:pPr>
                    <w:r w:rsidRPr="006D516B">
                      <w:rPr>
                        <w:rFonts w:ascii="Calibri" w:eastAsia="Calibri" w:hAnsi="Calibri" w:cs="Calibri"/>
                        <w:noProof/>
                        <w:color w:val="000000"/>
                        <w:sz w:val="16"/>
                        <w:szCs w:val="16"/>
                      </w:rPr>
                      <w:t>Følsomhet Intern (gul)</w:t>
                    </w:r>
                  </w:p>
                </w:txbxContent>
              </v:textbox>
            </v:shape>
          </w:pict>
        </mc:Fallback>
      </mc:AlternateContent>
    </w: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5214" w:rsidRPr="00D03EED" w:rsidP="00D03EED" w14:paraId="4B3E9AFA"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4B3E9AFE"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rsidRPr="00E55CB1" w14:paraId="4B3E9AFB" w14:textId="77777777">
          <w:pPr>
            <w:pStyle w:val="Header"/>
            <w:jc w:val="center"/>
            <w:rPr>
              <w:sz w:val="28"/>
              <w:lang w:val="nn-NO"/>
            </w:rPr>
          </w:pPr>
          <w:r>
            <w:rPr>
              <w:sz w:val="28"/>
            </w:rPr>
            <w:fldChar w:fldCharType="begin" w:fldLock="1"/>
          </w:r>
          <w:r w:rsidRPr="00E55CB1">
            <w:rPr>
              <w:color w:val="000080"/>
              <w:sz w:val="28"/>
              <w:lang w:val="nn-NO"/>
            </w:rPr>
            <w:instrText xml:space="preserve"> DOCPROPERTY EK_DokTittel </w:instrText>
          </w:r>
          <w:r>
            <w:rPr>
              <w:sz w:val="28"/>
            </w:rPr>
            <w:fldChar w:fldCharType="separate"/>
          </w:r>
          <w:r w:rsidRPr="00E55CB1">
            <w:rPr>
              <w:color w:val="000080"/>
              <w:sz w:val="28"/>
              <w:lang w:val="nn-NO"/>
            </w:rPr>
            <w:t>Informasjon om subkutan trastuzumab/pertuzumab (Phesgo®)</w:t>
          </w:r>
          <w:r>
            <w:rPr>
              <w:sz w:val="28"/>
            </w:rPr>
            <w:fldChar w:fldCharType="end"/>
          </w:r>
        </w:p>
      </w:tc>
      <w:tc>
        <w:tcPr>
          <w:tcW w:w="992" w:type="dxa"/>
          <w:tcBorders>
            <w:bottom w:val="single" w:sz="4" w:space="0" w:color="auto"/>
            <w:right w:val="single" w:sz="4" w:space="0" w:color="auto"/>
          </w:tcBorders>
        </w:tcPr>
        <w:p w:rsidR="00485214" w:rsidRPr="00E55CB1" w14:paraId="4B3E9AFC" w14:textId="77777777">
          <w:pPr>
            <w:pStyle w:val="Header"/>
            <w:jc w:val="left"/>
            <w:rPr>
              <w:sz w:val="12"/>
              <w:lang w:val="nn-NO"/>
            </w:rPr>
          </w:pPr>
        </w:p>
        <w:p w:rsidR="00485214" w14:paraId="4B3E9AFD"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485214" w14:paraId="4B3E9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4940"/>
      <w:gridCol w:w="2879"/>
    </w:tblGrid>
    <w:tr w14:paraId="4B3E9B0C" w14:textId="77777777" w:rsidTr="009D023B">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4B3E9B0A" w14:textId="77777777">
          <w:pPr>
            <w:pStyle w:val="Header"/>
            <w:jc w:val="center"/>
            <w:rPr>
              <w:sz w:val="16"/>
            </w:rPr>
          </w:pPr>
          <w:r>
            <w:rPr>
              <w:noProof/>
              <w:sz w:val="16"/>
            </w:rPr>
            <w:drawing>
              <wp:inline distT="0" distB="0" distL="0" distR="0">
                <wp:extent cx="1091565" cy="208915"/>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hf.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91565" cy="208915"/>
                        </a:xfrm>
                        <a:prstGeom prst="rect">
                          <a:avLst/>
                        </a:prstGeom>
                      </pic:spPr>
                    </pic:pic>
                  </a:graphicData>
                </a:graphic>
              </wp:inline>
            </w:drawing>
          </w:r>
        </w:p>
      </w:tc>
      <w:tc>
        <w:tcPr>
          <w:tcW w:w="7819" w:type="dxa"/>
          <w:gridSpan w:val="2"/>
          <w:vAlign w:val="bottom"/>
        </w:tcPr>
        <w:p w:rsidR="00485214" w:rsidRPr="00E55CB1" w14:paraId="4B3E9B0B" w14:textId="77777777">
          <w:pPr>
            <w:pStyle w:val="Header"/>
            <w:jc w:val="center"/>
            <w:rPr>
              <w:sz w:val="28"/>
              <w:lang w:val="nn-NO"/>
            </w:rPr>
          </w:pPr>
          <w:r>
            <w:rPr>
              <w:sz w:val="28"/>
            </w:rPr>
            <w:fldChar w:fldCharType="begin" w:fldLock="1"/>
          </w:r>
          <w:r w:rsidRPr="00E55CB1">
            <w:rPr>
              <w:color w:val="000080"/>
              <w:sz w:val="28"/>
              <w:lang w:val="nn-NO"/>
            </w:rPr>
            <w:instrText xml:space="preserve"> DOCPROPERTY EK_DokTittel </w:instrText>
          </w:r>
          <w:r>
            <w:rPr>
              <w:sz w:val="28"/>
            </w:rPr>
            <w:fldChar w:fldCharType="separate"/>
          </w:r>
          <w:r w:rsidRPr="00E55CB1">
            <w:rPr>
              <w:color w:val="000080"/>
              <w:sz w:val="28"/>
              <w:lang w:val="nn-NO"/>
            </w:rPr>
            <w:t>Informasjon om subkutan trastuzumab/pertuzumab (Phesgo®)</w:t>
          </w:r>
          <w:r>
            <w:rPr>
              <w:sz w:val="28"/>
            </w:rPr>
            <w:fldChar w:fldCharType="end"/>
          </w:r>
        </w:p>
      </w:tc>
    </w:tr>
    <w:tr w14:paraId="4B3E9B0F" w14:textId="77777777" w:rsidTr="00540375">
      <w:tblPrEx>
        <w:tblW w:w="9678" w:type="dxa"/>
        <w:tblLayout w:type="fixed"/>
        <w:tblCellMar>
          <w:left w:w="70" w:type="dxa"/>
          <w:right w:w="70" w:type="dxa"/>
        </w:tblCellMar>
        <w:tblLook w:val="0000"/>
      </w:tblPrEx>
      <w:trPr>
        <w:cantSplit/>
        <w:trHeight w:val="228"/>
      </w:trPr>
      <w:tc>
        <w:tcPr>
          <w:tcW w:w="6799" w:type="dxa"/>
          <w:gridSpan w:val="2"/>
          <w:vAlign w:val="bottom"/>
        </w:tcPr>
        <w:p w:rsidR="00FD5284" w14:paraId="4B3E9B0D"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w:t>
          </w:r>
          <w:r>
            <w:rPr>
              <w:sz w:val="16"/>
            </w:rPr>
            <w:fldChar w:fldCharType="end"/>
          </w:r>
        </w:p>
      </w:tc>
      <w:tc>
        <w:tcPr>
          <w:tcW w:w="2879" w:type="dxa"/>
          <w:vAlign w:val="bottom"/>
        </w:tcPr>
        <w:p w:rsidR="00FD5284" w:rsidRPr="005F0E8F" w:rsidP="00540375" w14:paraId="4B3E9B0E" w14:textId="77777777">
          <w:pPr>
            <w:pStyle w:val="Header"/>
            <w:jc w:val="left"/>
            <w:rPr>
              <w:color w:val="000080"/>
              <w:sz w:val="16"/>
            </w:rPr>
          </w:pPr>
          <w:r>
            <w:rPr>
              <w:sz w:val="16"/>
            </w:rPr>
            <w:t>Gyldig 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14.01.2026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14.01.2027</w:t>
          </w:r>
          <w:r>
            <w:rPr>
              <w:color w:val="000080"/>
              <w:sz w:val="16"/>
            </w:rPr>
            <w:fldChar w:fldCharType="end"/>
          </w:r>
        </w:p>
      </w:tc>
    </w:tr>
    <w:tr w14:paraId="4B3E9B12" w14:textId="77777777" w:rsidTr="00540375">
      <w:tblPrEx>
        <w:tblW w:w="9678" w:type="dxa"/>
        <w:tblLayout w:type="fixed"/>
        <w:tblCellMar>
          <w:left w:w="70" w:type="dxa"/>
          <w:right w:w="70" w:type="dxa"/>
        </w:tblCellMar>
        <w:tblLook w:val="0000"/>
      </w:tblPrEx>
      <w:trPr>
        <w:cantSplit/>
        <w:trHeight w:val="168"/>
      </w:trPr>
      <w:tc>
        <w:tcPr>
          <w:tcW w:w="6799" w:type="dxa"/>
          <w:gridSpan w:val="2"/>
        </w:tcPr>
        <w:p w:rsidR="005F0E8F" w14:paraId="4B3E9B10"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HF/Fellesdokumenter/Pasientbehandling</w:t>
          </w:r>
          <w:r>
            <w:rPr>
              <w:sz w:val="16"/>
            </w:rPr>
            <w:fldChar w:fldCharType="end"/>
          </w:r>
        </w:p>
      </w:tc>
      <w:tc>
        <w:tcPr>
          <w:tcW w:w="2879" w:type="dxa"/>
          <w:vAlign w:val="bottom"/>
        </w:tcPr>
        <w:p w:rsidR="005F0E8F" w14:paraId="4B3E9B11"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r w14:paraId="4B3E9B15" w14:textId="77777777" w:rsidTr="00540375">
      <w:tblPrEx>
        <w:tblW w:w="9678" w:type="dxa"/>
        <w:tblLayout w:type="fixed"/>
        <w:tblCellMar>
          <w:left w:w="70" w:type="dxa"/>
          <w:right w:w="70" w:type="dxa"/>
        </w:tblCellMar>
        <w:tblLook w:val="0000"/>
      </w:tblPrEx>
      <w:trPr>
        <w:trHeight w:val="252"/>
      </w:trPr>
      <w:tc>
        <w:tcPr>
          <w:tcW w:w="6799" w:type="dxa"/>
          <w:gridSpan w:val="2"/>
        </w:tcPr>
        <w:p w:rsidR="00FD5284" w:rsidP="00FD5284" w14:paraId="4B3E9B13"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Åsa Karlsdottir</w:t>
          </w:r>
          <w:r>
            <w:rPr>
              <w:color w:val="000080"/>
              <w:sz w:val="16"/>
            </w:rPr>
            <w:fldChar w:fldCharType="end"/>
          </w:r>
          <w:r>
            <w:rPr>
              <w:color w:val="000080"/>
              <w:sz w:val="16"/>
            </w:rPr>
            <w:t xml:space="preserve"> </w:t>
          </w:r>
        </w:p>
      </w:tc>
      <w:tc>
        <w:tcPr>
          <w:tcW w:w="2879" w:type="dxa"/>
        </w:tcPr>
        <w:p w:rsidR="00FD5284" w:rsidP="00FD5284" w14:paraId="4B3E9B14"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Retningslinje</w:t>
          </w:r>
          <w:r>
            <w:rPr>
              <w:color w:val="000080"/>
              <w:sz w:val="16"/>
            </w:rPr>
            <w:fldChar w:fldCharType="end"/>
          </w:r>
        </w:p>
      </w:tc>
    </w:tr>
    <w:tr w14:paraId="4B3E9B18" w14:textId="77777777" w:rsidTr="00540375">
      <w:tblPrEx>
        <w:tblW w:w="9678" w:type="dxa"/>
        <w:tblLayout w:type="fixed"/>
        <w:tblCellMar>
          <w:left w:w="70" w:type="dxa"/>
          <w:right w:w="70" w:type="dxa"/>
        </w:tblCellMar>
        <w:tblLook w:val="0000"/>
      </w:tblPrEx>
      <w:trPr>
        <w:trHeight w:val="153"/>
      </w:trPr>
      <w:tc>
        <w:tcPr>
          <w:tcW w:w="6799" w:type="dxa"/>
          <w:gridSpan w:val="2"/>
        </w:tcPr>
        <w:p w:rsidR="00FD5284" w:rsidP="00FD5284" w14:paraId="4B3E9B16" w14:textId="77777777">
          <w:pPr>
            <w:rPr>
              <w:sz w:val="16"/>
            </w:rPr>
          </w:pPr>
          <w:r>
            <w:rPr>
              <w:sz w:val="16"/>
            </w:rPr>
            <w:t>Dok</w:t>
          </w:r>
          <w:r>
            <w:rPr>
              <w:sz w:val="16"/>
            </w:rPr>
            <w:t xml:space="preserve">.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Hanna Dillekås</w:t>
          </w:r>
          <w:r>
            <w:rPr>
              <w:color w:val="000080"/>
              <w:sz w:val="16"/>
            </w:rPr>
            <w:fldChar w:fldCharType="end"/>
          </w:r>
          <w:r>
            <w:rPr>
              <w:color w:val="000080"/>
              <w:sz w:val="16"/>
            </w:rPr>
            <w:t xml:space="preserve"> </w:t>
          </w:r>
        </w:p>
      </w:tc>
      <w:tc>
        <w:tcPr>
          <w:tcW w:w="2879" w:type="dxa"/>
        </w:tcPr>
        <w:p w:rsidR="00FD5284" w14:paraId="4B3E9B17"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D83314</w:t>
          </w:r>
          <w:r>
            <w:rPr>
              <w:color w:val="000080"/>
              <w:sz w:val="16"/>
            </w:rPr>
            <w:fldChar w:fldCharType="end"/>
          </w:r>
        </w:p>
      </w:tc>
    </w:tr>
  </w:tbl>
  <w:p w:rsidR="00485214" w14:paraId="4B3E9B19"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1FA0BDC"/>
    <w:multiLevelType w:val="hybridMultilevel"/>
    <w:tmpl w:val="774AB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E6371A"/>
    <w:multiLevelType w:val="multilevel"/>
    <w:tmpl w:val="4544C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A6A08F7"/>
    <w:multiLevelType w:val="multilevel"/>
    <w:tmpl w:val="CB3695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9276A90"/>
    <w:multiLevelType w:val="multilevel"/>
    <w:tmpl w:val="5692A9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0EF17AD"/>
    <w:multiLevelType w:val="hybridMultilevel"/>
    <w:tmpl w:val="1FD22F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16">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005DFD"/>
    <w:multiLevelType w:val="hybridMultilevel"/>
    <w:tmpl w:val="E6A6F898"/>
    <w:lvl w:ilvl="0">
      <w:start w:val="0"/>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656465">
    <w:abstractNumId w:val="11"/>
  </w:num>
  <w:num w:numId="2" w16cid:durableId="1175725845">
    <w:abstractNumId w:val="8"/>
  </w:num>
  <w:num w:numId="3" w16cid:durableId="701857049">
    <w:abstractNumId w:val="3"/>
  </w:num>
  <w:num w:numId="4" w16cid:durableId="858154033">
    <w:abstractNumId w:val="2"/>
  </w:num>
  <w:num w:numId="5" w16cid:durableId="805052100">
    <w:abstractNumId w:val="1"/>
  </w:num>
  <w:num w:numId="6" w16cid:durableId="2047220084">
    <w:abstractNumId w:val="0"/>
  </w:num>
  <w:num w:numId="7" w16cid:durableId="1152647459">
    <w:abstractNumId w:val="9"/>
  </w:num>
  <w:num w:numId="8" w16cid:durableId="540170345">
    <w:abstractNumId w:val="7"/>
  </w:num>
  <w:num w:numId="9" w16cid:durableId="1472483670">
    <w:abstractNumId w:val="6"/>
  </w:num>
  <w:num w:numId="10" w16cid:durableId="1005940175">
    <w:abstractNumId w:val="5"/>
  </w:num>
  <w:num w:numId="11" w16cid:durableId="162823521">
    <w:abstractNumId w:val="4"/>
  </w:num>
  <w:num w:numId="12" w16cid:durableId="1715306055">
    <w:abstractNumId w:val="12"/>
  </w:num>
  <w:num w:numId="13" w16cid:durableId="958947322">
    <w:abstractNumId w:val="15"/>
  </w:num>
  <w:num w:numId="14" w16cid:durableId="1240796667">
    <w:abstractNumId w:val="16"/>
  </w:num>
  <w:num w:numId="15" w16cid:durableId="1741707904">
    <w:abstractNumId w:val="17"/>
  </w:num>
  <w:num w:numId="16" w16cid:durableId="1214347900">
    <w:abstractNumId w:val="13"/>
  </w:num>
  <w:num w:numId="17" w16cid:durableId="1826556132">
    <w:abstractNumId w:val="13"/>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lvlRestart w:val="1"/>
        <w:pStyle w:val="Heading3"/>
        <w:lvlText w:val="%2.%3.%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8" w16cid:durableId="974800904">
    <w:abstractNumId w:val="14"/>
  </w:num>
  <w:num w:numId="19" w16cid:durableId="8616686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irkeland, Ole Christian">
    <w15:presenceInfo w15:providerId="AD" w15:userId="S::obir@ihelse.net::9064b0e6-c52c-4817-8741-815ceb18ba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intFractionalCharacterWidth/>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38E2"/>
    <w:rsid w:val="00005ABC"/>
    <w:rsid w:val="00007BD0"/>
    <w:rsid w:val="00020754"/>
    <w:rsid w:val="000354A8"/>
    <w:rsid w:val="00042992"/>
    <w:rsid w:val="00050E94"/>
    <w:rsid w:val="0005214E"/>
    <w:rsid w:val="00056D52"/>
    <w:rsid w:val="00057D50"/>
    <w:rsid w:val="00066A58"/>
    <w:rsid w:val="00067C31"/>
    <w:rsid w:val="00076677"/>
    <w:rsid w:val="00081F27"/>
    <w:rsid w:val="00083284"/>
    <w:rsid w:val="00097072"/>
    <w:rsid w:val="000A1D6A"/>
    <w:rsid w:val="000A6B2D"/>
    <w:rsid w:val="000C6A9B"/>
    <w:rsid w:val="000C73DF"/>
    <w:rsid w:val="000C763E"/>
    <w:rsid w:val="000D3C29"/>
    <w:rsid w:val="000D5FFE"/>
    <w:rsid w:val="000D63E4"/>
    <w:rsid w:val="000F32C5"/>
    <w:rsid w:val="000F5FC0"/>
    <w:rsid w:val="00101002"/>
    <w:rsid w:val="00106C20"/>
    <w:rsid w:val="00115094"/>
    <w:rsid w:val="00117E18"/>
    <w:rsid w:val="00140619"/>
    <w:rsid w:val="00144BC1"/>
    <w:rsid w:val="00150F73"/>
    <w:rsid w:val="00151E16"/>
    <w:rsid w:val="00155765"/>
    <w:rsid w:val="00157C37"/>
    <w:rsid w:val="00161FD5"/>
    <w:rsid w:val="00176BA5"/>
    <w:rsid w:val="00187793"/>
    <w:rsid w:val="0019138B"/>
    <w:rsid w:val="0019290E"/>
    <w:rsid w:val="001A4CED"/>
    <w:rsid w:val="001B1D43"/>
    <w:rsid w:val="001B37A6"/>
    <w:rsid w:val="001C094A"/>
    <w:rsid w:val="001E1DBA"/>
    <w:rsid w:val="001F43D4"/>
    <w:rsid w:val="001F7E88"/>
    <w:rsid w:val="0020110C"/>
    <w:rsid w:val="00203F1E"/>
    <w:rsid w:val="00227AF8"/>
    <w:rsid w:val="00231DC5"/>
    <w:rsid w:val="00241F65"/>
    <w:rsid w:val="00246C9E"/>
    <w:rsid w:val="002744C3"/>
    <w:rsid w:val="00281B8D"/>
    <w:rsid w:val="00284EBB"/>
    <w:rsid w:val="00291CD7"/>
    <w:rsid w:val="002A4A07"/>
    <w:rsid w:val="002A791D"/>
    <w:rsid w:val="002B1F3C"/>
    <w:rsid w:val="002D0738"/>
    <w:rsid w:val="002F5A32"/>
    <w:rsid w:val="00304B15"/>
    <w:rsid w:val="00311019"/>
    <w:rsid w:val="00312D39"/>
    <w:rsid w:val="003403C0"/>
    <w:rsid w:val="00360258"/>
    <w:rsid w:val="00362B96"/>
    <w:rsid w:val="00381C00"/>
    <w:rsid w:val="00387597"/>
    <w:rsid w:val="00390056"/>
    <w:rsid w:val="00393223"/>
    <w:rsid w:val="003A669E"/>
    <w:rsid w:val="003A6B8A"/>
    <w:rsid w:val="003C5594"/>
    <w:rsid w:val="003D3C2E"/>
    <w:rsid w:val="003E1B52"/>
    <w:rsid w:val="003E25C1"/>
    <w:rsid w:val="003E4741"/>
    <w:rsid w:val="003F4A3C"/>
    <w:rsid w:val="00407B78"/>
    <w:rsid w:val="00411E8A"/>
    <w:rsid w:val="004252FB"/>
    <w:rsid w:val="00437DED"/>
    <w:rsid w:val="00455820"/>
    <w:rsid w:val="004568C8"/>
    <w:rsid w:val="004611B5"/>
    <w:rsid w:val="004640AA"/>
    <w:rsid w:val="0047022F"/>
    <w:rsid w:val="004719A0"/>
    <w:rsid w:val="00482156"/>
    <w:rsid w:val="00482CE0"/>
    <w:rsid w:val="0048427D"/>
    <w:rsid w:val="00485214"/>
    <w:rsid w:val="004B1EF5"/>
    <w:rsid w:val="004B40D7"/>
    <w:rsid w:val="004C563C"/>
    <w:rsid w:val="004D0DCE"/>
    <w:rsid w:val="004D15E6"/>
    <w:rsid w:val="004E0461"/>
    <w:rsid w:val="004E763F"/>
    <w:rsid w:val="0050053D"/>
    <w:rsid w:val="00507D96"/>
    <w:rsid w:val="005103B6"/>
    <w:rsid w:val="00510BDF"/>
    <w:rsid w:val="00517F62"/>
    <w:rsid w:val="00520D11"/>
    <w:rsid w:val="00524CF7"/>
    <w:rsid w:val="00532237"/>
    <w:rsid w:val="0053273E"/>
    <w:rsid w:val="005370F4"/>
    <w:rsid w:val="00540375"/>
    <w:rsid w:val="00540CC6"/>
    <w:rsid w:val="0054179A"/>
    <w:rsid w:val="0054461F"/>
    <w:rsid w:val="005454A4"/>
    <w:rsid w:val="00547EEF"/>
    <w:rsid w:val="005562F2"/>
    <w:rsid w:val="00556838"/>
    <w:rsid w:val="00557C81"/>
    <w:rsid w:val="00577FEE"/>
    <w:rsid w:val="005810F3"/>
    <w:rsid w:val="0058166E"/>
    <w:rsid w:val="005852EC"/>
    <w:rsid w:val="0058663E"/>
    <w:rsid w:val="00590E1D"/>
    <w:rsid w:val="005A5E90"/>
    <w:rsid w:val="005A78B9"/>
    <w:rsid w:val="005B084B"/>
    <w:rsid w:val="005B0B7E"/>
    <w:rsid w:val="005B308D"/>
    <w:rsid w:val="005B4C45"/>
    <w:rsid w:val="005F0E8F"/>
    <w:rsid w:val="00606A4F"/>
    <w:rsid w:val="00611A93"/>
    <w:rsid w:val="00611B44"/>
    <w:rsid w:val="00617242"/>
    <w:rsid w:val="006479E1"/>
    <w:rsid w:val="00650773"/>
    <w:rsid w:val="00652242"/>
    <w:rsid w:val="0067105D"/>
    <w:rsid w:val="006720B2"/>
    <w:rsid w:val="00677EB4"/>
    <w:rsid w:val="00693B1B"/>
    <w:rsid w:val="00697362"/>
    <w:rsid w:val="006B1529"/>
    <w:rsid w:val="006B2158"/>
    <w:rsid w:val="006C0D63"/>
    <w:rsid w:val="006C17D9"/>
    <w:rsid w:val="006C735A"/>
    <w:rsid w:val="006D0B1E"/>
    <w:rsid w:val="006D2D97"/>
    <w:rsid w:val="006D3A08"/>
    <w:rsid w:val="006D516B"/>
    <w:rsid w:val="006D57BF"/>
    <w:rsid w:val="006E06DD"/>
    <w:rsid w:val="006E2A16"/>
    <w:rsid w:val="006E4AAC"/>
    <w:rsid w:val="006E5645"/>
    <w:rsid w:val="006F6255"/>
    <w:rsid w:val="00707B83"/>
    <w:rsid w:val="00711961"/>
    <w:rsid w:val="00713D7C"/>
    <w:rsid w:val="00727E6C"/>
    <w:rsid w:val="007367F2"/>
    <w:rsid w:val="0078621E"/>
    <w:rsid w:val="00793756"/>
    <w:rsid w:val="007C3E55"/>
    <w:rsid w:val="007E4125"/>
    <w:rsid w:val="0080313B"/>
    <w:rsid w:val="00806640"/>
    <w:rsid w:val="008078AB"/>
    <w:rsid w:val="00820775"/>
    <w:rsid w:val="00820B61"/>
    <w:rsid w:val="008361CD"/>
    <w:rsid w:val="008419E2"/>
    <w:rsid w:val="00843ADC"/>
    <w:rsid w:val="00845551"/>
    <w:rsid w:val="008461D2"/>
    <w:rsid w:val="00850B9C"/>
    <w:rsid w:val="008530BA"/>
    <w:rsid w:val="00853B1D"/>
    <w:rsid w:val="00855382"/>
    <w:rsid w:val="008564CD"/>
    <w:rsid w:val="00862FF8"/>
    <w:rsid w:val="00864BB9"/>
    <w:rsid w:val="0088008E"/>
    <w:rsid w:val="00885802"/>
    <w:rsid w:val="008A218A"/>
    <w:rsid w:val="008B41C0"/>
    <w:rsid w:val="008B5CBE"/>
    <w:rsid w:val="008B7340"/>
    <w:rsid w:val="008C3A13"/>
    <w:rsid w:val="008C41EB"/>
    <w:rsid w:val="008C797A"/>
    <w:rsid w:val="008D33F1"/>
    <w:rsid w:val="008E4C99"/>
    <w:rsid w:val="008E56A7"/>
    <w:rsid w:val="008F30D5"/>
    <w:rsid w:val="008F40E4"/>
    <w:rsid w:val="00903623"/>
    <w:rsid w:val="009039EB"/>
    <w:rsid w:val="00905B0B"/>
    <w:rsid w:val="00907122"/>
    <w:rsid w:val="00907ABE"/>
    <w:rsid w:val="0091692D"/>
    <w:rsid w:val="009336A7"/>
    <w:rsid w:val="00935DE6"/>
    <w:rsid w:val="00940FC5"/>
    <w:rsid w:val="009456D0"/>
    <w:rsid w:val="009506D3"/>
    <w:rsid w:val="00963180"/>
    <w:rsid w:val="00964121"/>
    <w:rsid w:val="00970B24"/>
    <w:rsid w:val="00981A99"/>
    <w:rsid w:val="009A2EB0"/>
    <w:rsid w:val="009B041D"/>
    <w:rsid w:val="009B19A9"/>
    <w:rsid w:val="009C6E05"/>
    <w:rsid w:val="009D023B"/>
    <w:rsid w:val="009D072D"/>
    <w:rsid w:val="009D4154"/>
    <w:rsid w:val="009E0D59"/>
    <w:rsid w:val="009E1AE8"/>
    <w:rsid w:val="009F7668"/>
    <w:rsid w:val="00A17D23"/>
    <w:rsid w:val="00A268D7"/>
    <w:rsid w:val="00A271A9"/>
    <w:rsid w:val="00A3019C"/>
    <w:rsid w:val="00A43AE5"/>
    <w:rsid w:val="00A53720"/>
    <w:rsid w:val="00A55D47"/>
    <w:rsid w:val="00A577D4"/>
    <w:rsid w:val="00A75A8B"/>
    <w:rsid w:val="00A9508B"/>
    <w:rsid w:val="00AA75F1"/>
    <w:rsid w:val="00AB08E0"/>
    <w:rsid w:val="00AC0D84"/>
    <w:rsid w:val="00AC35FB"/>
    <w:rsid w:val="00AD1672"/>
    <w:rsid w:val="00AD1E4B"/>
    <w:rsid w:val="00AD296B"/>
    <w:rsid w:val="00AD3BC6"/>
    <w:rsid w:val="00AD6B34"/>
    <w:rsid w:val="00AE6893"/>
    <w:rsid w:val="00AF5DDC"/>
    <w:rsid w:val="00AF6094"/>
    <w:rsid w:val="00B02D46"/>
    <w:rsid w:val="00B02D6D"/>
    <w:rsid w:val="00B218AB"/>
    <w:rsid w:val="00B21CB1"/>
    <w:rsid w:val="00B236DD"/>
    <w:rsid w:val="00B24A00"/>
    <w:rsid w:val="00B27AFC"/>
    <w:rsid w:val="00B46418"/>
    <w:rsid w:val="00B55A8A"/>
    <w:rsid w:val="00B70C14"/>
    <w:rsid w:val="00B803E3"/>
    <w:rsid w:val="00B900D2"/>
    <w:rsid w:val="00BC3FD8"/>
    <w:rsid w:val="00BC5853"/>
    <w:rsid w:val="00BD6D72"/>
    <w:rsid w:val="00BE48E2"/>
    <w:rsid w:val="00BF6B78"/>
    <w:rsid w:val="00C071DF"/>
    <w:rsid w:val="00C24BA6"/>
    <w:rsid w:val="00C40A3A"/>
    <w:rsid w:val="00C4283A"/>
    <w:rsid w:val="00C450FE"/>
    <w:rsid w:val="00C47D6B"/>
    <w:rsid w:val="00C5222B"/>
    <w:rsid w:val="00C72834"/>
    <w:rsid w:val="00C81FA3"/>
    <w:rsid w:val="00C836EE"/>
    <w:rsid w:val="00C84942"/>
    <w:rsid w:val="00C962F9"/>
    <w:rsid w:val="00C97AFA"/>
    <w:rsid w:val="00CA0ECF"/>
    <w:rsid w:val="00CB13CF"/>
    <w:rsid w:val="00CB3EB0"/>
    <w:rsid w:val="00CB523D"/>
    <w:rsid w:val="00CD6C43"/>
    <w:rsid w:val="00CE5024"/>
    <w:rsid w:val="00CF2E4A"/>
    <w:rsid w:val="00D013CC"/>
    <w:rsid w:val="00D03EED"/>
    <w:rsid w:val="00D0754D"/>
    <w:rsid w:val="00D13046"/>
    <w:rsid w:val="00D26789"/>
    <w:rsid w:val="00D320CC"/>
    <w:rsid w:val="00D36983"/>
    <w:rsid w:val="00D36A2D"/>
    <w:rsid w:val="00D40E94"/>
    <w:rsid w:val="00D4374F"/>
    <w:rsid w:val="00D53A2C"/>
    <w:rsid w:val="00D7283E"/>
    <w:rsid w:val="00D8507D"/>
    <w:rsid w:val="00D948F4"/>
    <w:rsid w:val="00D95FB8"/>
    <w:rsid w:val="00DA0D76"/>
    <w:rsid w:val="00DB372D"/>
    <w:rsid w:val="00DD1C72"/>
    <w:rsid w:val="00DD2FE1"/>
    <w:rsid w:val="00DD7CFF"/>
    <w:rsid w:val="00DE2C1F"/>
    <w:rsid w:val="00DF7BA8"/>
    <w:rsid w:val="00E023CD"/>
    <w:rsid w:val="00E033C9"/>
    <w:rsid w:val="00E04941"/>
    <w:rsid w:val="00E268CB"/>
    <w:rsid w:val="00E30F00"/>
    <w:rsid w:val="00E3168F"/>
    <w:rsid w:val="00E33977"/>
    <w:rsid w:val="00E35541"/>
    <w:rsid w:val="00E35C67"/>
    <w:rsid w:val="00E36B5C"/>
    <w:rsid w:val="00E40863"/>
    <w:rsid w:val="00E4664C"/>
    <w:rsid w:val="00E53E1F"/>
    <w:rsid w:val="00E5442A"/>
    <w:rsid w:val="00E55CB1"/>
    <w:rsid w:val="00E65C74"/>
    <w:rsid w:val="00E67083"/>
    <w:rsid w:val="00E754D7"/>
    <w:rsid w:val="00E774C2"/>
    <w:rsid w:val="00E8039E"/>
    <w:rsid w:val="00E80759"/>
    <w:rsid w:val="00E8424E"/>
    <w:rsid w:val="00E86FAE"/>
    <w:rsid w:val="00E8758E"/>
    <w:rsid w:val="00E90D68"/>
    <w:rsid w:val="00E96F17"/>
    <w:rsid w:val="00EA5771"/>
    <w:rsid w:val="00EB193A"/>
    <w:rsid w:val="00EB3357"/>
    <w:rsid w:val="00EB3728"/>
    <w:rsid w:val="00EB79E9"/>
    <w:rsid w:val="00EC1A89"/>
    <w:rsid w:val="00ED248C"/>
    <w:rsid w:val="00EE0410"/>
    <w:rsid w:val="00EE3B2D"/>
    <w:rsid w:val="00EF5BB3"/>
    <w:rsid w:val="00F166F5"/>
    <w:rsid w:val="00F16CEA"/>
    <w:rsid w:val="00F24469"/>
    <w:rsid w:val="00F43A32"/>
    <w:rsid w:val="00F46524"/>
    <w:rsid w:val="00F712A2"/>
    <w:rsid w:val="00F8392F"/>
    <w:rsid w:val="00F958D6"/>
    <w:rsid w:val="00FB090D"/>
    <w:rsid w:val="00FB2EC4"/>
    <w:rsid w:val="00FB3861"/>
    <w:rsid w:val="00FC0005"/>
    <w:rsid w:val="00FD0B94"/>
    <w:rsid w:val="00FD5284"/>
    <w:rsid w:val="00FD64C1"/>
    <w:rsid w:val="00FF5B51"/>
    <w:rsid w:val="00FF672A"/>
    <w:rsid w:val="00FF6C0E"/>
    <w:rsid w:val="00FF6D3F"/>
    <w:rsid w:val="0EF92BE8"/>
    <w:rsid w:val="7E8C66FF"/>
  </w:rsids>
  <w:docVars>
    <w:docVar w:name="beskyttet" w:val="nei"/>
    <w:docVar w:name="docver" w:val="2.20"/>
    <w:docVar w:name="ek_dbfields" w:val="EK_Avdeling¤2#4¤2#[Avdeling]¤3#EK_Avsnitt¤2#4¤2#[Avsnitt]¤3#EK_Bedriftsnavn¤2#1¤2#Helse Bergen¤3#EK_GjelderFra¤2#0¤2#[GjelderFra]¤3#EK_KlGjelderFra¤2#0¤2#[KlGjelderFra]¤3#EK_Opprettet¤2#0¤2#[Opprettet]¤3#EK_Utgitt¤2#0¤2#[Utgitt]¤3#EK_IBrukDato¤2#0¤2#[Endret]¤3#EK_DokumentID¤2#0¤2#[ID]¤3#EK_DokTittel¤2#0¤2#HBHF Generell/standard mal Helse Bergen¤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ansvarlig" w:val="[Dok.ansvarlig]"/>
    <w:docVar w:name="ek_doktittel" w:val="HBHF Generell/standard mal Helse Bergen"/>
    <w:docVar w:name="ek_dokumentid" w:val="[ID]"/>
    <w:docVar w:name="ek_eksref" w:val="[EK_EksRef]"/>
    <w:docVar w:name="ek_endrfields" w:val="EK_Rapport¤1#"/>
    <w:docVar w:name="ek_format" w:val="-10"/>
    <w:docVar w:name="ek_gjelderfra" w:val="[GjelderFra]"/>
    <w:docVar w:name="ek_gjeldertil" w:val="[GyldigTil]"/>
    <w:docVar w:name="ek_klgjelderfra" w:val="[KlGjelderFra]"/>
    <w:docVar w:name="ek_merknad" w:val="[]"/>
    <w:docVar w:name="ek_protection" w:val="0"/>
    <w:docVar w:name="ek_rapport" w:val="[Tilknyttet rapport]"/>
    <w:docVar w:name="ek_referanse" w:val="[EK_Referanse]"/>
    <w:docVar w:name="ek_superstikkord" w:val="[SuperStikkord]"/>
    <w:docVar w:name="ek_type" w:val="MAL"/>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B3E9AD0"/>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41"/>
    <w:rPr>
      <w:rFonts w:asciiTheme="minorHAnsi" w:hAnsiTheme="minorHAnsi"/>
      <w:sz w:val="22"/>
    </w:rPr>
  </w:style>
  <w:style w:type="paragraph" w:styleId="Heading1">
    <w:name w:val="heading 1"/>
    <w:basedOn w:val="Normal"/>
    <w:next w:val="Normal"/>
    <w:autoRedefine/>
    <w:qFormat/>
    <w:rsid w:val="00066A58"/>
    <w:pPr>
      <w:numPr>
        <w:numId w:val="16"/>
      </w:numPr>
      <w:ind w:left="431" w:hanging="431"/>
      <w:outlineLvl w:val="0"/>
    </w:pPr>
    <w:rPr>
      <w:b/>
      <w:sz w:val="28"/>
    </w:rPr>
  </w:style>
  <w:style w:type="paragraph" w:styleId="Heading2">
    <w:name w:val="heading 2"/>
    <w:basedOn w:val="Normal"/>
    <w:next w:val="Normal"/>
    <w:autoRedefine/>
    <w:qFormat/>
    <w:rsid w:val="006C0D63"/>
    <w:pPr>
      <w:numPr>
        <w:ilvl w:val="1"/>
        <w:numId w:val="16"/>
      </w:numPr>
      <w:ind w:left="397" w:hanging="397"/>
      <w:outlineLvl w:val="1"/>
    </w:pPr>
    <w:rPr>
      <w:b/>
      <w:bCs/>
    </w:rPr>
  </w:style>
  <w:style w:type="paragraph" w:styleId="Heading3">
    <w:name w:val="heading 3"/>
    <w:basedOn w:val="Normal"/>
    <w:next w:val="Normal"/>
    <w:autoRedefine/>
    <w:qFormat/>
    <w:rsid w:val="00066A58"/>
    <w:pPr>
      <w:numPr>
        <w:ilvl w:val="2"/>
        <w:numId w:val="16"/>
      </w:numPr>
      <w:tabs>
        <w:tab w:val="num" w:pos="703"/>
      </w:tabs>
      <w:ind w:left="567" w:hanging="567"/>
      <w:outlineLvl w:val="2"/>
    </w:pPr>
    <w:rPr>
      <w:i/>
    </w:rPr>
  </w:style>
  <w:style w:type="paragraph" w:styleId="Heading4">
    <w:name w:val="heading 4"/>
    <w:basedOn w:val="Heading3"/>
    <w:next w:val="Normal"/>
    <w:autoRedefine/>
    <w:qFormat/>
    <w:rsid w:val="00A3019C"/>
    <w:pPr>
      <w:numPr>
        <w:ilvl w:val="3"/>
      </w:numPr>
      <w:ind w:left="624" w:hanging="624"/>
      <w:outlineLvl w:val="3"/>
    </w:pPr>
  </w:style>
  <w:style w:type="paragraph" w:styleId="Heading5">
    <w:name w:val="heading 5"/>
    <w:basedOn w:val="Normal"/>
    <w:next w:val="Normal"/>
    <w:link w:val="Overskrift5Tegn"/>
    <w:semiHidden/>
    <w:unhideWhenUsed/>
    <w:qFormat/>
    <w:rsid w:val="00C450FE"/>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6"/>
      </w:numPr>
      <w:spacing w:line="360" w:lineRule="auto"/>
      <w:outlineLvl w:val="5"/>
    </w:pPr>
    <w:rPr>
      <w:b/>
    </w:rPr>
  </w:style>
  <w:style w:type="paragraph" w:styleId="Heading7">
    <w:name w:val="heading 7"/>
    <w:basedOn w:val="Normal"/>
    <w:next w:val="Normal"/>
    <w:link w:val="Overskrift7Tegn"/>
    <w:semiHidden/>
    <w:unhideWhenUsed/>
    <w:qFormat/>
    <w:rsid w:val="00C450FE"/>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C450FE"/>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C450FE"/>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sid w:val="00885802"/>
    <w:rPr>
      <w:color w:val="808080"/>
    </w:rPr>
  </w:style>
  <w:style w:type="character" w:styleId="PageNumber">
    <w:name w:val="page number"/>
    <w:basedOn w:val="DefaultParagraphFont"/>
  </w:style>
  <w:style w:type="character" w:styleId="Hyperlink">
    <w:name w:val="Hyperlink"/>
    <w:uiPriority w:val="99"/>
    <w:rsid w:val="00A9508B"/>
    <w:rPr>
      <w:rFonts w:asciiTheme="minorHAnsi" w:hAnsiTheme="minorHAnsi"/>
      <w:color w:val="1F497D" w:themeColor="text2"/>
      <w:sz w:val="24"/>
      <w:u w:val="single"/>
    </w:rPr>
  </w:style>
  <w:style w:type="character" w:styleId="FollowedHyperlink">
    <w:name w:val="FollowedHyperlink"/>
    <w:rsid w:val="00885802"/>
    <w:rPr>
      <w:rFonts w:asciiTheme="minorHAnsi" w:hAnsiTheme="minorHAnsi"/>
      <w:color w:val="800080"/>
      <w:sz w:val="2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885802"/>
    <w:pPr>
      <w:keepNext/>
      <w:keepLines/>
      <w:numPr>
        <w:numId w:val="0"/>
      </w:numPr>
      <w:spacing w:line="259" w:lineRule="auto"/>
      <w:outlineLvl w:val="9"/>
    </w:pPr>
    <w:rPr>
      <w:rFonts w:eastAsiaTheme="majorEastAsia" w:cstheme="majorBidi"/>
      <w:b w:val="0"/>
      <w:color w:val="365F91" w:themeColor="accent1" w:themeShade="BF"/>
      <w:sz w:val="20"/>
      <w:szCs w:val="32"/>
    </w:rPr>
  </w:style>
  <w:style w:type="paragraph" w:styleId="TOC1">
    <w:name w:val="toc 1"/>
    <w:basedOn w:val="Normal"/>
    <w:next w:val="Normal"/>
    <w:autoRedefine/>
    <w:uiPriority w:val="39"/>
    <w:unhideWhenUsed/>
    <w:rsid w:val="00A55D47"/>
    <w:pPr>
      <w:spacing w:after="100"/>
    </w:pPr>
  </w:style>
  <w:style w:type="paragraph" w:styleId="TOC2">
    <w:name w:val="toc 2"/>
    <w:basedOn w:val="Normal"/>
    <w:next w:val="Normal"/>
    <w:autoRedefine/>
    <w:semiHidden/>
    <w:unhideWhenUsed/>
    <w:rsid w:val="00C24BA6"/>
    <w:pPr>
      <w:spacing w:after="100"/>
      <w:ind w:left="240"/>
    </w:pPr>
  </w:style>
  <w:style w:type="paragraph" w:styleId="TOC3">
    <w:name w:val="toc 3"/>
    <w:basedOn w:val="Normal"/>
    <w:next w:val="Normal"/>
    <w:autoRedefine/>
    <w:semiHidden/>
    <w:unhideWhenUsed/>
    <w:rsid w:val="00C24BA6"/>
    <w:pPr>
      <w:spacing w:after="100"/>
      <w:ind w:left="480"/>
    </w:pPr>
  </w:style>
  <w:style w:type="character" w:customStyle="1" w:styleId="Overskrift5Tegn">
    <w:name w:val="Overskrift 5 Tegn"/>
    <w:basedOn w:val="DefaultParagraphFont"/>
    <w:link w:val="Heading5"/>
    <w:semiHidden/>
    <w:rsid w:val="00C450FE"/>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C450FE"/>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C450F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C450FE"/>
    <w:rPr>
      <w:rFonts w:asciiTheme="majorHAnsi" w:eastAsiaTheme="majorEastAsia" w:hAnsiTheme="majorHAnsi" w:cstheme="majorBidi"/>
      <w:i/>
      <w:iCs/>
      <w:color w:val="272727" w:themeColor="text1" w:themeTint="D8"/>
      <w:sz w:val="21"/>
      <w:szCs w:val="21"/>
    </w:rPr>
  </w:style>
  <w:style w:type="paragraph" w:customStyle="1" w:styleId="StilOverskriftforinnholdsfortegnelseLatinBrdtekstCali">
    <w:name w:val="Stil Overskrift for innholdsfortegnelse + (Latin) +Brødtekst (Cali..."/>
    <w:basedOn w:val="TOCHeading"/>
    <w:rsid w:val="00885802"/>
    <w:rPr>
      <w:color w:val="auto"/>
    </w:rPr>
  </w:style>
  <w:style w:type="table" w:styleId="TableGrid">
    <w:name w:val="Table Grid"/>
    <w:basedOn w:val="TableNormal"/>
    <w:uiPriority w:val="39"/>
    <w:rsid w:val="00FC00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C0D63"/>
    <w:rPr>
      <w:sz w:val="16"/>
      <w:szCs w:val="16"/>
    </w:rPr>
  </w:style>
  <w:style w:type="paragraph" w:styleId="CommentText">
    <w:name w:val="annotation text"/>
    <w:basedOn w:val="Normal"/>
    <w:link w:val="MerknadstekstTegn"/>
    <w:unhideWhenUsed/>
    <w:rsid w:val="006C0D63"/>
    <w:rPr>
      <w:sz w:val="20"/>
    </w:rPr>
  </w:style>
  <w:style w:type="character" w:customStyle="1" w:styleId="MerknadstekstTegn">
    <w:name w:val="Merknadstekst Tegn"/>
    <w:basedOn w:val="DefaultParagraphFont"/>
    <w:link w:val="CommentText"/>
    <w:rsid w:val="006C0D63"/>
    <w:rPr>
      <w:rFonts w:asciiTheme="minorHAnsi" w:hAnsiTheme="minorHAnsi"/>
    </w:rPr>
  </w:style>
  <w:style w:type="paragraph" w:styleId="CommentSubject">
    <w:name w:val="annotation subject"/>
    <w:basedOn w:val="CommentText"/>
    <w:next w:val="CommentText"/>
    <w:link w:val="KommentaremneTegn"/>
    <w:semiHidden/>
    <w:unhideWhenUsed/>
    <w:rsid w:val="006C0D63"/>
    <w:rPr>
      <w:b/>
      <w:bCs/>
    </w:rPr>
  </w:style>
  <w:style w:type="character" w:customStyle="1" w:styleId="KommentaremneTegn">
    <w:name w:val="Kommentaremne Tegn"/>
    <w:basedOn w:val="MerknadstekstTegn"/>
    <w:link w:val="CommentSubject"/>
    <w:semiHidden/>
    <w:rsid w:val="006C0D63"/>
    <w:rPr>
      <w:rFonts w:asciiTheme="minorHAnsi" w:hAnsiTheme="minorHAnsi"/>
      <w:b/>
      <w:bCs/>
    </w:rPr>
  </w:style>
  <w:style w:type="paragraph" w:styleId="Caption">
    <w:name w:val="caption"/>
    <w:basedOn w:val="Normal"/>
    <w:next w:val="Normal"/>
    <w:unhideWhenUsed/>
    <w:qFormat/>
    <w:rsid w:val="006C0D6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OFFICE97\MALER\OPERATIV.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43A0-598F-4EC9-9EB0-3D8AF99D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70</TotalTime>
  <Pages>4</Pages>
  <Words>927</Words>
  <Characters>6345</Characters>
  <Application>Microsoft Office Word</Application>
  <DocSecurity>0</DocSecurity>
  <Lines>52</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Informasjon om subkutan trastuzumab/pertuzumab (Phesgo®)</vt:lpstr>
      <vt:lpstr>HBHF-mal - stående</vt:lpstr>
    </vt:vector>
  </TitlesOfParts>
  <Company>Datakvalitet</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Informasjon om subkutan trastuzumab/pertuzumab (Phesgo®)</dc:title>
  <dc:subject>000302|[RefNr]|</dc:subject>
  <dc:creator>Handbok</dc:creator>
  <cp:lastModifiedBy>Dillekås, Hanna Elisabet</cp:lastModifiedBy>
  <cp:revision>9</cp:revision>
  <cp:lastPrinted>2006-09-07T08:52:00Z</cp:lastPrinted>
  <dcterms:created xsi:type="dcterms:W3CDTF">2021-12-08T08:43:00Z</dcterms:created>
  <dcterms:modified xsi:type="dcterms:W3CDTF">2026-01-14T10:44:00Z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249760d3,27ae3352,365384f7</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Informasjon om subkutan trastuzumab/pertuzumab (Phesgo®)</vt:lpwstr>
  </property>
  <property fmtid="{D5CDD505-2E9C-101B-9397-08002B2CF9AE}" pid="7" name="EK_DokType">
    <vt:lpwstr>Retningslinje</vt:lpwstr>
  </property>
  <property fmtid="{D5CDD505-2E9C-101B-9397-08002B2CF9AE}" pid="8" name="EK_DokumentID">
    <vt:lpwstr>D83314</vt:lpwstr>
  </property>
  <property fmtid="{D5CDD505-2E9C-101B-9397-08002B2CF9AE}" pid="9" name="EK_EKPrintMerke">
    <vt:lpwstr>Uoffisiell utskrift er kun gyldig på utskriftsdato</vt:lpwstr>
  </property>
  <property fmtid="{D5CDD505-2E9C-101B-9397-08002B2CF9AE}" pid="10" name="EK_GjelderFra">
    <vt:lpwstr>14.01.2026</vt:lpwstr>
  </property>
  <property fmtid="{D5CDD505-2E9C-101B-9397-08002B2CF9AE}" pid="11" name="EK_GjelderTil">
    <vt:lpwstr>14.01.2027</vt:lpwstr>
  </property>
  <property fmtid="{D5CDD505-2E9C-101B-9397-08002B2CF9AE}" pid="12" name="EK_Merknad">
    <vt:lpwstr>[Merknad]</vt:lpwstr>
  </property>
  <property fmtid="{D5CDD505-2E9C-101B-9397-08002B2CF9AE}" pid="13" name="EK_RefNr">
    <vt:lpwstr>1.2.1.11-02</vt:lpwstr>
  </property>
  <property fmtid="{D5CDD505-2E9C-101B-9397-08002B2CF9AE}" pid="14" name="EK_S00MT1">
    <vt:lpwstr>Helse Bergen HF/Fellesdokumenter/Pasientbehandling</vt:lpwstr>
  </property>
  <property fmtid="{D5CDD505-2E9C-101B-9397-08002B2CF9AE}" pid="15" name="EK_S01MT3">
    <vt:lpwstr>[]</vt:lpwstr>
  </property>
  <property fmtid="{D5CDD505-2E9C-101B-9397-08002B2CF9AE}" pid="16" name="EK_Signatur">
    <vt:lpwstr>Åsa Karlsdottir</vt:lpwstr>
  </property>
  <property fmtid="{D5CDD505-2E9C-101B-9397-08002B2CF9AE}" pid="17" name="EK_UText1">
    <vt:lpwstr>Hanna Dillekås</vt:lpwstr>
  </property>
  <property fmtid="{D5CDD505-2E9C-101B-9397-08002B2CF9AE}" pid="18" name="EK_Utgave">
    <vt:lpwstr>1.00</vt:lpwstr>
  </property>
  <property fmtid="{D5CDD505-2E9C-101B-9397-08002B2CF9AE}" pid="19" name="EK_Watermark">
    <vt:lpwstr>Vannmerke</vt:lpwstr>
  </property>
  <property fmtid="{D5CDD505-2E9C-101B-9397-08002B2CF9AE}" pid="20" name="MSIP_Label_0c3ffc1c-ef00-4620-9c2f-7d9c1597774b_ActionId">
    <vt:lpwstr>dd6bccfe-a3c0-4ea3-a07e-6feb2b3f5d6c</vt:lpwstr>
  </property>
  <property fmtid="{D5CDD505-2E9C-101B-9397-08002B2CF9AE}" pid="21" name="MSIP_Label_0c3ffc1c-ef00-4620-9c2f-7d9c1597774b_ContentBits">
    <vt:lpwstr>2</vt:lpwstr>
  </property>
  <property fmtid="{D5CDD505-2E9C-101B-9397-08002B2CF9AE}" pid="22" name="MSIP_Label_0c3ffc1c-ef00-4620-9c2f-7d9c1597774b_Enabled">
    <vt:lpwstr>true</vt:lpwstr>
  </property>
  <property fmtid="{D5CDD505-2E9C-101B-9397-08002B2CF9AE}" pid="23" name="MSIP_Label_0c3ffc1c-ef00-4620-9c2f-7d9c1597774b_Method">
    <vt:lpwstr>Standard</vt:lpwstr>
  </property>
  <property fmtid="{D5CDD505-2E9C-101B-9397-08002B2CF9AE}" pid="24" name="MSIP_Label_0c3ffc1c-ef00-4620-9c2f-7d9c1597774b_Name">
    <vt:lpwstr>Intern</vt:lpwstr>
  </property>
  <property fmtid="{D5CDD505-2E9C-101B-9397-08002B2CF9AE}" pid="25" name="MSIP_Label_0c3ffc1c-ef00-4620-9c2f-7d9c1597774b_SetDate">
    <vt:lpwstr>2025-01-20T12:39:11Z</vt:lpwstr>
  </property>
  <property fmtid="{D5CDD505-2E9C-101B-9397-08002B2CF9AE}" pid="26" name="MSIP_Label_0c3ffc1c-ef00-4620-9c2f-7d9c1597774b_SiteId">
    <vt:lpwstr>bdcbe535-f3cf-49f5-8a6a-fb6d98dc7837</vt:lpwstr>
  </property>
</Properties>
</file>