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:rsidR="00A55D47" w:rsidRPr="00066A58" w:rsidP="00066A58" w14:paraId="4B3E9AD0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4.1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Hv</w:t>
            </w:r>
            <w:r w:rsidR="00244499">
              <w:rPr>
                <w:rStyle w:val="Hyperlink"/>
              </w:rPr>
              <w:t>ilke barn</w:t>
            </w:r>
            <w:r>
              <w:rPr>
                <w:rStyle w:val="Hyperlink"/>
              </w:rPr>
              <w:t xml:space="preserve"> skal smertescores</w:t>
            </w:r>
            <w:r w:rsidR="000924EE">
              <w:rPr>
                <w:rStyle w:val="Hyperlink"/>
              </w:rPr>
              <w:t>?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4.2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Når skal smerte vurderes</w:t>
            </w:r>
            <w:r w:rsidR="000924EE">
              <w:rPr>
                <w:rStyle w:val="Hyperlink"/>
              </w:rPr>
              <w:t>?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4.3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Hva skal vurderes</w:t>
            </w:r>
            <w:r w:rsidR="000924EE">
              <w:rPr>
                <w:rStyle w:val="Hyperlink"/>
              </w:rPr>
              <w:t>?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4.4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Smertevurderingsverktøy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2"/>
            <w:tabs>
              <w:tab w:val="left" w:pos="8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4.5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Dokumentasjon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1468F6" w:rsidP="001468F6" w14:paraId="57631E03" w14:textId="3D718CA6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9C279F" w:rsidP="001468F6" w14:paraId="2CD7AC28" w14:textId="77F30448">
      <w:r w:rsidRPr="009C279F">
        <w:t>Denne prosedyren beskriver</w:t>
      </w:r>
      <w:r>
        <w:t xml:space="preserve"> hvilke pasienter som skal smertescores, når pasienten skal smertescores, hva skal vurderes, hvilke smerteverktøy en skal bruke og dokumentasjon i </w:t>
      </w:r>
      <w:r w:rsidR="000924EE">
        <w:t>Meona og DIPS</w:t>
      </w:r>
      <w:r w:rsidR="004B64FB">
        <w:t>.</w:t>
      </w:r>
    </w:p>
    <w:p w:rsidR="001468F6" w:rsidRPr="001468F6" w:rsidP="001468F6" w14:paraId="3B474621" w14:textId="076C9509">
      <w:r>
        <w:t>Ønsker å b</w:t>
      </w:r>
      <w:r w:rsidRPr="006D57F2">
        <w:t xml:space="preserve">ruke smertevurderingsverktøy systematisk for å </w:t>
      </w:r>
      <w:r>
        <w:t xml:space="preserve">vurdere smerte, </w:t>
      </w:r>
      <w:r w:rsidRPr="006D57F2">
        <w:t>gi god smertelindring og evaluere effekten av smertelindrende tiltak til pasienter på Medisin B</w:t>
      </w:r>
      <w:r>
        <w:t>.</w:t>
      </w:r>
    </w:p>
    <w:p w:rsidR="00DF7BA8" w:rsidRPr="00DF7BA8" w:rsidP="00066A58" w14:paraId="4B3E9ADB" w14:textId="77777777">
      <w:pPr>
        <w:spacing w:line="259" w:lineRule="auto"/>
        <w:rPr>
          <w:rFonts w:cstheme="minorHAnsi"/>
          <w:color w:val="808080" w:themeColor="background1" w:themeShade="80"/>
        </w:rPr>
      </w:pPr>
    </w:p>
    <w:p w:rsidR="00C450FE" w:rsidRPr="00C450FE" w:rsidP="00066A58" w14:paraId="4B3E9ADD" w14:textId="77777777">
      <w:pPr>
        <w:spacing w:line="259" w:lineRule="auto"/>
      </w:pPr>
    </w:p>
    <w:p w:rsidR="00DF7BA8" w:rsidP="00066A58" w14:paraId="4B3E9ADE" w14:textId="5EFCF5D6">
      <w:pPr>
        <w:pStyle w:val="Heading1"/>
        <w:spacing w:line="259" w:lineRule="auto"/>
      </w:pPr>
      <w:bookmarkStart w:id="2" w:name="_Toc256000001"/>
      <w:r>
        <w:t>Definisjoner</w:t>
      </w:r>
      <w:bookmarkEnd w:id="2"/>
    </w:p>
    <w:p w:rsidR="006A11D7" w:rsidRPr="006A11D7" w:rsidP="006A11D7" w14:paraId="2651D19C" w14:textId="46DF01AE">
      <w:r w:rsidRPr="006A11D7">
        <w:t>Smerte er definert som en ubehagelig, sensorisk og emosjonell opplevelse som assosieres med faktisk eller mulig vevsødeleggelse, eller som beskrives som slik skade</w:t>
      </w:r>
      <w:r>
        <w:t xml:space="preserve"> (</w:t>
      </w:r>
      <w:r w:rsidRPr="006A11D7">
        <w:t>International Association for the Study of Pain, IASP</w:t>
      </w:r>
      <w:r>
        <w:t>)</w:t>
      </w:r>
      <w:r w:rsidRPr="006A11D7">
        <w:t>.</w:t>
      </w:r>
    </w:p>
    <w:p w:rsidR="006A11D7" w:rsidRPr="006A11D7" w:rsidP="006A11D7" w14:paraId="2BE30652" w14:textId="3F199B3F">
      <w:r w:rsidRPr="006A11D7">
        <w:t>Smerte er en subjektiv opplevelse, det er personen selv som vet om noe gjør vondt eller ikke.</w:t>
      </w:r>
    </w:p>
    <w:p w:rsidR="00DF7BA8" w:rsidRPr="00360258" w:rsidP="00066A58" w14:paraId="4B3E9ADF" w14:textId="56408357">
      <w:pPr>
        <w:spacing w:line="259" w:lineRule="auto"/>
        <w:rPr>
          <w:rFonts w:cstheme="minorHAnsi"/>
        </w:rPr>
      </w:pPr>
    </w:p>
    <w:p w:rsidR="00935DE6" w:rsidP="00066A58" w14:paraId="4B3E9AE1" w14:textId="3F9BEDF7">
      <w:pPr>
        <w:pStyle w:val="Heading1"/>
        <w:spacing w:line="259" w:lineRule="auto"/>
      </w:pPr>
      <w:bookmarkStart w:id="3" w:name="_Toc256000002"/>
      <w:r>
        <w:t>Ansvar</w:t>
      </w:r>
      <w:bookmarkEnd w:id="3"/>
      <w:r>
        <w:t xml:space="preserve"> </w:t>
      </w:r>
    </w:p>
    <w:p w:rsidR="00244499" w:rsidP="001871D2" w14:paraId="68C0B233" w14:textId="3F34B8E7">
      <w:r w:rsidRPr="00244499">
        <w:t>Pasientansvarlig helsepersonell har kompetanse (kunnskaper, ferdigheter og holdninger) i smertevurdering av barn og anvender prosedyren. </w:t>
      </w:r>
    </w:p>
    <w:p w:rsidR="001871D2" w:rsidRPr="001871D2" w:rsidP="001871D2" w14:paraId="424F34EC" w14:textId="79BC6B72">
      <w:r>
        <w:t>Foreldre eller nære omsorgspersoner kjenner pasienten best og bør involveres i smertevurderingen</w:t>
      </w:r>
      <w:r w:rsidR="000924EE">
        <w:t>.</w:t>
      </w:r>
    </w:p>
    <w:p w:rsidR="00DF7BA8" w:rsidP="00E35541" w14:paraId="4B3E9AE2" w14:textId="77777777"/>
    <w:p w:rsidR="000924EE" w:rsidRPr="00DF7BA8" w:rsidP="00E35541" w14:paraId="3E5FBC02" w14:textId="77777777"/>
    <w:p w:rsidR="006D57F2" w:rsidP="006D57F2" w14:paraId="385FFCBD" w14:textId="77777777">
      <w:pPr>
        <w:pStyle w:val="Heading1"/>
        <w:spacing w:line="259" w:lineRule="auto"/>
      </w:pPr>
      <w:bookmarkStart w:id="4" w:name="_Toc256000003"/>
      <w:r>
        <w:t>Gjennomføring</w:t>
      </w:r>
      <w:bookmarkEnd w:id="4"/>
    </w:p>
    <w:p w:rsidR="00C77BDF" w:rsidRPr="00C77BDF" w:rsidP="00C77BDF" w14:paraId="7EA030DC" w14:textId="77777777"/>
    <w:p w:rsidR="006A11D7" w:rsidP="006A11D7" w14:paraId="38C6A6F9" w14:textId="70250E52">
      <w:pPr>
        <w:pStyle w:val="Heading2"/>
      </w:pPr>
      <w:bookmarkStart w:id="5" w:name="_Toc256000004"/>
      <w:r>
        <w:t>Hv</w:t>
      </w:r>
      <w:r w:rsidR="00244499">
        <w:t>ilke barn</w:t>
      </w:r>
      <w:r>
        <w:t xml:space="preserve"> skal smertescores</w:t>
      </w:r>
      <w:r w:rsidR="000924EE">
        <w:t>?</w:t>
      </w:r>
      <w:bookmarkEnd w:id="5"/>
      <w:r w:rsidR="00FF71A5">
        <w:t xml:space="preserve"> </w:t>
      </w:r>
    </w:p>
    <w:p w:rsidR="00244499" w:rsidRPr="00244499" w:rsidP="00244499" w14:paraId="7219EA36" w14:textId="55239ED3">
      <w:pPr>
        <w:numPr>
          <w:ilvl w:val="0"/>
          <w:numId w:val="19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244499">
        <w:rPr>
          <w:rFonts w:ascii="Calibri" w:hAnsi="Calibri" w:cs="Calibri"/>
          <w:color w:val="333333"/>
          <w:szCs w:val="22"/>
        </w:rPr>
        <w:t>Barn hvor det forventes akutt smerte, for eksempel</w:t>
      </w:r>
      <w:r>
        <w:rPr>
          <w:rFonts w:ascii="Calibri" w:hAnsi="Calibri" w:cs="Calibri"/>
          <w:color w:val="333333"/>
          <w:szCs w:val="22"/>
        </w:rPr>
        <w:t xml:space="preserve"> </w:t>
      </w:r>
      <w:r w:rsidRPr="00244499">
        <w:rPr>
          <w:rFonts w:ascii="Calibri" w:hAnsi="Calibri" w:cs="Calibri"/>
          <w:color w:val="333333"/>
          <w:szCs w:val="22"/>
        </w:rPr>
        <w:t>postoperativ</w:t>
      </w:r>
    </w:p>
    <w:p w:rsidR="00244499" w:rsidRPr="00244499" w:rsidP="00244499" w14:paraId="673B0789" w14:textId="77777777">
      <w:pPr>
        <w:numPr>
          <w:ilvl w:val="0"/>
          <w:numId w:val="19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244499">
        <w:rPr>
          <w:rFonts w:ascii="Calibri" w:hAnsi="Calibri" w:cs="Calibri"/>
          <w:color w:val="333333"/>
          <w:szCs w:val="22"/>
        </w:rPr>
        <w:t>Barn som gjennomgår smertefulle prosedyrer</w:t>
      </w:r>
    </w:p>
    <w:p w:rsidR="00244499" w:rsidRPr="00244499" w:rsidP="00244499" w14:paraId="47DFCF4E" w14:textId="77777777">
      <w:pPr>
        <w:numPr>
          <w:ilvl w:val="0"/>
          <w:numId w:val="19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244499">
        <w:rPr>
          <w:rFonts w:ascii="Calibri" w:hAnsi="Calibri" w:cs="Calibri"/>
          <w:color w:val="333333"/>
          <w:szCs w:val="22"/>
        </w:rPr>
        <w:t>Barn med langvarige smerter</w:t>
      </w:r>
    </w:p>
    <w:p w:rsidR="00244499" w:rsidRPr="00244499" w:rsidP="00244499" w14:paraId="7020C51D" w14:textId="77777777">
      <w:pPr>
        <w:numPr>
          <w:ilvl w:val="0"/>
          <w:numId w:val="19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244499">
        <w:rPr>
          <w:rFonts w:ascii="Calibri" w:hAnsi="Calibri" w:cs="Calibri"/>
          <w:color w:val="333333"/>
          <w:szCs w:val="22"/>
        </w:rPr>
        <w:t>Barn som får smertelindrende legemidler</w:t>
      </w:r>
    </w:p>
    <w:p w:rsidR="00244499" w:rsidRPr="00244499" w:rsidP="00244499" w14:paraId="3436EB50" w14:textId="3A6E9EA5">
      <w:pPr>
        <w:numPr>
          <w:ilvl w:val="0"/>
          <w:numId w:val="19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244499">
        <w:rPr>
          <w:rFonts w:ascii="Calibri" w:hAnsi="Calibri" w:cs="Calibri"/>
          <w:color w:val="333333"/>
          <w:szCs w:val="22"/>
        </w:rPr>
        <w:t>Barn som sier de har vondt</w:t>
      </w:r>
      <w:r>
        <w:rPr>
          <w:rFonts w:ascii="Calibri" w:hAnsi="Calibri" w:cs="Calibri"/>
          <w:color w:val="333333"/>
          <w:szCs w:val="22"/>
        </w:rPr>
        <w:t xml:space="preserve">, </w:t>
      </w:r>
      <w:r w:rsidRPr="00244499">
        <w:rPr>
          <w:rFonts w:ascii="Calibri" w:hAnsi="Calibri" w:cs="Calibri"/>
          <w:color w:val="333333"/>
          <w:szCs w:val="22"/>
        </w:rPr>
        <w:t xml:space="preserve">som ser </w:t>
      </w:r>
      <w:r w:rsidRPr="00244499">
        <w:rPr>
          <w:rFonts w:ascii="Calibri" w:hAnsi="Calibri" w:cs="Calibri"/>
          <w:color w:val="333333"/>
          <w:szCs w:val="22"/>
        </w:rPr>
        <w:t>smertepåvirket ut</w:t>
      </w:r>
      <w:r>
        <w:rPr>
          <w:rFonts w:ascii="Calibri" w:hAnsi="Calibri" w:cs="Calibri"/>
          <w:color w:val="333333"/>
          <w:szCs w:val="22"/>
        </w:rPr>
        <w:t xml:space="preserve"> eller på annen måte uttrykker smerte</w:t>
      </w:r>
      <w:r w:rsidR="000924EE">
        <w:rPr>
          <w:rFonts w:ascii="Calibri" w:hAnsi="Calibri" w:cs="Calibri"/>
          <w:color w:val="333333"/>
          <w:szCs w:val="22"/>
        </w:rPr>
        <w:t>.</w:t>
      </w:r>
    </w:p>
    <w:p w:rsidR="00244499" w:rsidRPr="00244499" w:rsidP="00244499" w14:paraId="7588866E" w14:textId="77777777"/>
    <w:p w:rsidR="00733006" w:rsidP="00A62BE9" w14:paraId="2D9F312B" w14:textId="0AD23133">
      <w:pPr>
        <w:pStyle w:val="Heading2"/>
      </w:pPr>
      <w:bookmarkStart w:id="6" w:name="_Toc256000005"/>
      <w:r>
        <w:t>Når skal smerte vurderes</w:t>
      </w:r>
      <w:r w:rsidR="000924EE">
        <w:t>?</w:t>
      </w:r>
      <w:bookmarkEnd w:id="6"/>
    </w:p>
    <w:p w:rsidR="00733006" w:rsidRPr="00733006" w:rsidP="00733006" w14:paraId="3460089E" w14:textId="77777777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733006">
        <w:rPr>
          <w:rFonts w:ascii="Calibri" w:hAnsi="Calibri" w:cs="Calibri"/>
          <w:color w:val="333333"/>
          <w:szCs w:val="22"/>
        </w:rPr>
        <w:t>Når barnet sier det har vondt eller viser smerteatferd</w:t>
      </w:r>
    </w:p>
    <w:p w:rsidR="00733006" w:rsidRPr="00733006" w:rsidP="00733006" w14:paraId="3519A0F9" w14:textId="45C02A34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733006">
        <w:rPr>
          <w:rFonts w:ascii="Calibri" w:hAnsi="Calibri" w:cs="Calibri"/>
          <w:color w:val="333333"/>
          <w:szCs w:val="22"/>
        </w:rPr>
        <w:t>Før og etter en mulig smertefull prosedyre</w:t>
      </w:r>
    </w:p>
    <w:p w:rsidR="00733006" w:rsidRPr="00733006" w:rsidP="00733006" w14:paraId="33414A86" w14:textId="77777777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733006">
        <w:rPr>
          <w:rFonts w:ascii="Calibri" w:hAnsi="Calibri" w:cs="Calibri"/>
          <w:color w:val="333333"/>
          <w:szCs w:val="22"/>
        </w:rPr>
        <w:t>Før og etter administrering av smertelindrende tiltak (medikamentelle/ ikke-medikamentelle)</w:t>
      </w:r>
    </w:p>
    <w:p w:rsidR="00733006" w:rsidRPr="00733006" w:rsidP="00733006" w14:paraId="60E910ED" w14:textId="77777777">
      <w:pPr>
        <w:numPr>
          <w:ilvl w:val="0"/>
          <w:numId w:val="21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733006">
        <w:rPr>
          <w:rFonts w:ascii="Calibri" w:hAnsi="Calibri" w:cs="Calibri"/>
          <w:color w:val="333333"/>
          <w:szCs w:val="22"/>
        </w:rPr>
        <w:t>Etter administrering av smertelindrende legemidler:</w:t>
      </w:r>
    </w:p>
    <w:p w:rsidR="00733006" w:rsidRPr="00733006" w:rsidP="00733006" w14:paraId="683B35F4" w14:textId="038A88BC">
      <w:pPr>
        <w:numPr>
          <w:ilvl w:val="1"/>
          <w:numId w:val="21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733006">
        <w:rPr>
          <w:rFonts w:ascii="Calibri" w:hAnsi="Calibri" w:cs="Calibri"/>
          <w:color w:val="333333"/>
          <w:szCs w:val="22"/>
        </w:rPr>
        <w:t> Intravenøs bolus: ca</w:t>
      </w:r>
      <w:r>
        <w:rPr>
          <w:rFonts w:ascii="Calibri" w:hAnsi="Calibri" w:cs="Calibri"/>
          <w:color w:val="333333"/>
          <w:szCs w:val="22"/>
        </w:rPr>
        <w:t>.</w:t>
      </w:r>
      <w:r w:rsidRPr="00733006">
        <w:rPr>
          <w:rFonts w:ascii="Calibri" w:hAnsi="Calibri" w:cs="Calibri"/>
          <w:color w:val="333333"/>
          <w:szCs w:val="22"/>
        </w:rPr>
        <w:t xml:space="preserve"> 15 min og 30 min</w:t>
      </w:r>
    </w:p>
    <w:p w:rsidR="00733006" w:rsidRPr="00733006" w:rsidP="00733006" w14:paraId="4291B406" w14:textId="735BB6BD">
      <w:pPr>
        <w:numPr>
          <w:ilvl w:val="1"/>
          <w:numId w:val="21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733006">
        <w:rPr>
          <w:rFonts w:ascii="Calibri" w:hAnsi="Calibri" w:cs="Calibri"/>
          <w:color w:val="333333"/>
          <w:szCs w:val="22"/>
        </w:rPr>
        <w:t> Peroral: ca</w:t>
      </w:r>
      <w:r>
        <w:rPr>
          <w:rFonts w:ascii="Calibri" w:hAnsi="Calibri" w:cs="Calibri"/>
          <w:color w:val="333333"/>
          <w:szCs w:val="22"/>
        </w:rPr>
        <w:t>.</w:t>
      </w:r>
      <w:r w:rsidRPr="00733006">
        <w:rPr>
          <w:rFonts w:ascii="Calibri" w:hAnsi="Calibri" w:cs="Calibri"/>
          <w:color w:val="333333"/>
          <w:szCs w:val="22"/>
        </w:rPr>
        <w:t xml:space="preserve"> 30 min og 60 min</w:t>
      </w:r>
    </w:p>
    <w:p w:rsidR="00751AE7" w:rsidRPr="00733006" w:rsidP="00733006" w14:paraId="14540EF4" w14:textId="40C8EACC">
      <w:pPr>
        <w:numPr>
          <w:ilvl w:val="1"/>
          <w:numId w:val="21"/>
        </w:numPr>
        <w:shd w:val="clear" w:color="auto" w:fill="FFFFFF"/>
        <w:rPr>
          <w:rFonts w:ascii="Calibri" w:hAnsi="Calibri" w:cs="Calibri"/>
          <w:color w:val="333333"/>
          <w:szCs w:val="22"/>
        </w:rPr>
      </w:pPr>
      <w:r w:rsidRPr="00733006">
        <w:rPr>
          <w:rFonts w:ascii="Calibri" w:hAnsi="Calibri" w:cs="Calibri"/>
          <w:color w:val="333333"/>
          <w:szCs w:val="22"/>
        </w:rPr>
        <w:t> Opioidinfusjoner: Vurder smerte kontinuerlig de første timene, deretter minst hver 4.</w:t>
      </w:r>
      <w:r>
        <w:rPr>
          <w:rFonts w:ascii="Calibri" w:hAnsi="Calibri" w:cs="Calibri"/>
          <w:color w:val="333333"/>
          <w:szCs w:val="22"/>
        </w:rPr>
        <w:t xml:space="preserve"> </w:t>
      </w:r>
      <w:r w:rsidRPr="00733006">
        <w:rPr>
          <w:rFonts w:ascii="Calibri" w:hAnsi="Calibri" w:cs="Calibri"/>
          <w:color w:val="333333"/>
          <w:szCs w:val="22"/>
        </w:rPr>
        <w:t>time og etter endring av dosen</w:t>
      </w:r>
      <w:r w:rsidR="000924EE">
        <w:rPr>
          <w:rFonts w:ascii="Calibri" w:hAnsi="Calibri" w:cs="Calibri"/>
          <w:color w:val="333333"/>
          <w:szCs w:val="22"/>
        </w:rPr>
        <w:t>.</w:t>
      </w:r>
    </w:p>
    <w:p w:rsidR="006A11D7" w:rsidRPr="006A11D7" w:rsidP="006A11D7" w14:paraId="16BB1521" w14:textId="77777777"/>
    <w:p w:rsidR="00653CB7" w:rsidRPr="00653CB7" w:rsidP="00653CB7" w14:paraId="716C051F" w14:textId="313E98C6">
      <w:pPr>
        <w:pStyle w:val="Heading2"/>
      </w:pPr>
      <w:bookmarkStart w:id="7" w:name="_Toc256000006"/>
      <w:r>
        <w:t>Hva skal vurderes</w:t>
      </w:r>
      <w:r w:rsidR="000924EE">
        <w:t>?</w:t>
      </w:r>
      <w:bookmarkEnd w:id="7"/>
    </w:p>
    <w:p w:rsidR="00FF71A5" w:rsidP="000A7CD3" w14:paraId="5B565C9C" w14:textId="1E3B79F7">
      <w:r w:rsidRPr="00522D7A">
        <w:t>En bred kartlegging av smerte baseres på barnets opplevelse, foreldrenes beskrivelse, klinisk undersøkelse og opplysninger fra journal. </w:t>
      </w:r>
    </w:p>
    <w:p w:rsidR="00522D7A" w:rsidRPr="00522D7A" w:rsidP="00522D7A" w14:paraId="70394E8E" w14:textId="77777777">
      <w:pPr>
        <w:numPr>
          <w:ilvl w:val="0"/>
          <w:numId w:val="24"/>
        </w:numPr>
      </w:pPr>
      <w:r w:rsidRPr="00522D7A">
        <w:t>Smertetype</w:t>
      </w:r>
    </w:p>
    <w:p w:rsidR="00522D7A" w:rsidRPr="00522D7A" w:rsidP="00522D7A" w14:paraId="61878A01" w14:textId="77777777">
      <w:pPr>
        <w:numPr>
          <w:ilvl w:val="0"/>
          <w:numId w:val="24"/>
        </w:numPr>
      </w:pPr>
      <w:r w:rsidRPr="00522D7A">
        <w:t xml:space="preserve">Lokalisasjon og evt. utstråling </w:t>
      </w:r>
      <w:r w:rsidRPr="00522D7A">
        <w:t>(hvor smerten starter og brer seg til)</w:t>
      </w:r>
    </w:p>
    <w:p w:rsidR="00522D7A" w:rsidRPr="00522D7A" w:rsidP="00522D7A" w14:paraId="27C64246" w14:textId="5D0B0912">
      <w:pPr>
        <w:numPr>
          <w:ilvl w:val="0"/>
          <w:numId w:val="24"/>
        </w:numPr>
      </w:pPr>
      <w:r w:rsidRPr="00522D7A">
        <w:t xml:space="preserve">Intensitet   </w:t>
      </w:r>
    </w:p>
    <w:p w:rsidR="00522D7A" w:rsidRPr="00522D7A" w:rsidP="00522D7A" w14:paraId="7BE93F35" w14:textId="5B2C37C3">
      <w:pPr>
        <w:numPr>
          <w:ilvl w:val="0"/>
          <w:numId w:val="24"/>
        </w:numPr>
      </w:pPr>
      <w:r w:rsidRPr="00522D7A">
        <w:t xml:space="preserve">Varighet og variasjon (er smerten </w:t>
      </w:r>
      <w:r w:rsidRPr="00522D7A" w:rsidR="000924EE">
        <w:t>til stede</w:t>
      </w:r>
      <w:r w:rsidRPr="00522D7A">
        <w:t xml:space="preserve"> hele tiden, er det mer vondt om natten eller ved aktivitet)</w:t>
      </w:r>
    </w:p>
    <w:p w:rsidR="00522D7A" w:rsidRPr="00522D7A" w:rsidP="00522D7A" w14:paraId="3E2AD4E8" w14:textId="4A641E16">
      <w:pPr>
        <w:numPr>
          <w:ilvl w:val="0"/>
          <w:numId w:val="24"/>
        </w:numPr>
      </w:pPr>
      <w:r w:rsidRPr="00522D7A">
        <w:t>Faktorer påvirker smerteopplevelsen (er det noe som forverrer eller lindrer smerten)</w:t>
      </w:r>
      <w:r w:rsidR="000924EE">
        <w:t>.</w:t>
      </w:r>
    </w:p>
    <w:p w:rsidR="00522D7A" w:rsidRPr="00522D7A" w:rsidP="00522D7A" w14:paraId="5F9178EB" w14:textId="77777777"/>
    <w:p w:rsidR="006A11D7" w:rsidRPr="006A11D7" w:rsidP="006A11D7" w14:paraId="30DD3B3E" w14:textId="77777777"/>
    <w:p w:rsidR="001871D2" w:rsidP="001871D2" w14:paraId="01CE580F" w14:textId="42ACA331">
      <w:pPr>
        <w:pStyle w:val="Heading2"/>
      </w:pPr>
      <w:bookmarkStart w:id="8" w:name="_Toc256000007"/>
      <w:r>
        <w:t>Smertevurderingsverktøy</w:t>
      </w:r>
      <w:bookmarkEnd w:id="8"/>
    </w:p>
    <w:p w:rsidR="006E6241" w:rsidRPr="00CF61FE" w:rsidP="006E6241" w14:paraId="1E7B842B" w14:textId="54C21B4E">
      <w:r w:rsidRPr="00CF61FE">
        <w:t xml:space="preserve">Aktiver tiltak i Meona </w:t>
      </w:r>
      <w:r>
        <w:t xml:space="preserve">om </w:t>
      </w:r>
      <w:r w:rsidRPr="00CF61FE">
        <w:t>hvilket smertevurderingsverktøy som brukes</w:t>
      </w:r>
      <w:r>
        <w:t xml:space="preserve"> på aktuell pasient.</w:t>
      </w:r>
    </w:p>
    <w:p w:rsidR="00A62BE9" w:rsidRPr="00A62BE9" w:rsidP="00A62BE9" w14:paraId="4093A754" w14:textId="77777777"/>
    <w:tbl>
      <w:tblPr>
        <w:tblStyle w:val="TableGrid"/>
        <w:tblW w:w="11222" w:type="dxa"/>
        <w:tblInd w:w="-998" w:type="dxa"/>
        <w:tblLook w:val="04A0"/>
      </w:tblPr>
      <w:tblGrid>
        <w:gridCol w:w="4689"/>
        <w:gridCol w:w="4809"/>
        <w:gridCol w:w="1724"/>
      </w:tblGrid>
      <w:tr w14:paraId="03C45EA2" w14:textId="77777777" w:rsidTr="00CF61FE">
        <w:tblPrEx>
          <w:tblW w:w="11222" w:type="dxa"/>
          <w:tblInd w:w="-998" w:type="dxa"/>
          <w:tblLook w:val="04A0"/>
        </w:tblPrEx>
        <w:trPr>
          <w:trHeight w:val="227"/>
        </w:trPr>
        <w:tc>
          <w:tcPr>
            <w:tcW w:w="4689" w:type="dxa"/>
          </w:tcPr>
          <w:p w:rsidR="00A62BE9" w:rsidRPr="00A62BE9" w:rsidP="00A62BE9" w14:paraId="1649F186" w14:textId="13468BC5">
            <w:pPr>
              <w:rPr>
                <w:b/>
                <w:bCs/>
              </w:rPr>
            </w:pPr>
            <w:r w:rsidRPr="00A62BE9">
              <w:rPr>
                <w:b/>
                <w:bCs/>
              </w:rPr>
              <w:t>Navn på verktøy</w:t>
            </w:r>
          </w:p>
        </w:tc>
        <w:tc>
          <w:tcPr>
            <w:tcW w:w="4809" w:type="dxa"/>
          </w:tcPr>
          <w:p w:rsidR="00A62BE9" w:rsidRPr="00A62BE9" w:rsidP="00A62BE9" w14:paraId="2DC35F32" w14:textId="6971D795">
            <w:pPr>
              <w:rPr>
                <w:b/>
                <w:bCs/>
              </w:rPr>
            </w:pPr>
            <w:r w:rsidRPr="00A62BE9">
              <w:rPr>
                <w:b/>
                <w:bCs/>
              </w:rPr>
              <w:t>Type verktøy</w:t>
            </w:r>
          </w:p>
        </w:tc>
        <w:tc>
          <w:tcPr>
            <w:tcW w:w="1724" w:type="dxa"/>
          </w:tcPr>
          <w:p w:rsidR="00A62BE9" w:rsidRPr="00A62BE9" w:rsidP="00A62BE9" w14:paraId="3B27DFE0" w14:textId="148E215C">
            <w:pPr>
              <w:rPr>
                <w:b/>
                <w:bCs/>
              </w:rPr>
            </w:pPr>
            <w:r w:rsidRPr="00A62BE9">
              <w:rPr>
                <w:b/>
                <w:bCs/>
              </w:rPr>
              <w:t>Alder</w:t>
            </w:r>
          </w:p>
        </w:tc>
      </w:tr>
      <w:tr w14:paraId="63BB6DD9" w14:textId="77777777" w:rsidTr="00CF61FE">
        <w:tblPrEx>
          <w:tblW w:w="11222" w:type="dxa"/>
          <w:tblInd w:w="-998" w:type="dxa"/>
          <w:tblLook w:val="04A0"/>
        </w:tblPrEx>
        <w:trPr>
          <w:trHeight w:val="454"/>
        </w:trPr>
        <w:tc>
          <w:tcPr>
            <w:tcW w:w="4689" w:type="dxa"/>
          </w:tcPr>
          <w:p w:rsidR="00A62BE9" w:rsidP="00A62BE9" w14:paraId="1F6F208E" w14:textId="5976C6DB">
            <w:r>
              <w:rPr>
                <w:b/>
                <w:bCs/>
              </w:rPr>
              <w:t xml:space="preserve">FPSR-R </w:t>
            </w:r>
            <w:hyperlink r:id="rId5" w:history="1">
              <w:r w:rsidRPr="00C77BDF">
                <w:rPr>
                  <w:rStyle w:val="Hyperlink"/>
                  <w:sz w:val="22"/>
                </w:rPr>
                <w:t>Faces Pain Scale - Revised - International Association for the Study of Pain (IASP)</w:t>
              </w:r>
            </w:hyperlink>
          </w:p>
        </w:tc>
        <w:tc>
          <w:tcPr>
            <w:tcW w:w="4809" w:type="dxa"/>
          </w:tcPr>
          <w:p w:rsidR="00A62BE9" w:rsidP="00A62BE9" w14:paraId="0540A7CE" w14:textId="1E21E44E">
            <w:r w:rsidRPr="00840D86">
              <w:t>Selvrapportering ved hjelp av ansikter</w:t>
            </w:r>
          </w:p>
        </w:tc>
        <w:tc>
          <w:tcPr>
            <w:tcW w:w="1724" w:type="dxa"/>
          </w:tcPr>
          <w:p w:rsidR="00A62BE9" w:rsidP="00A62BE9" w14:paraId="1C723080" w14:textId="2E0E4792">
            <w:r>
              <w:t>Fra 5 år</w:t>
            </w:r>
          </w:p>
        </w:tc>
      </w:tr>
      <w:tr w14:paraId="3836C711" w14:textId="77777777" w:rsidTr="00CF61FE">
        <w:tblPrEx>
          <w:tblW w:w="11222" w:type="dxa"/>
          <w:tblInd w:w="-998" w:type="dxa"/>
          <w:tblLook w:val="04A0"/>
        </w:tblPrEx>
        <w:trPr>
          <w:trHeight w:val="227"/>
        </w:trPr>
        <w:tc>
          <w:tcPr>
            <w:tcW w:w="4689" w:type="dxa"/>
          </w:tcPr>
          <w:p w:rsidR="00A62BE9" w:rsidP="00A62BE9" w14:paraId="28720562" w14:textId="4EF14CD3">
            <w:r>
              <w:rPr>
                <w:b/>
                <w:bCs/>
              </w:rPr>
              <w:t>VAS (Visuell Analog Skala)</w:t>
            </w:r>
            <w:r w:rsidR="00CF61FE">
              <w:t xml:space="preserve"> </w:t>
            </w:r>
          </w:p>
        </w:tc>
        <w:tc>
          <w:tcPr>
            <w:tcW w:w="4809" w:type="dxa"/>
          </w:tcPr>
          <w:p w:rsidR="00A62BE9" w:rsidP="00A62BE9" w14:paraId="39455B7E" w14:textId="52DF14DC">
            <w:r w:rsidRPr="00C77BDF">
              <w:t>Selvrapportering ved hjelp av tall</w:t>
            </w:r>
          </w:p>
        </w:tc>
        <w:tc>
          <w:tcPr>
            <w:tcW w:w="1724" w:type="dxa"/>
          </w:tcPr>
          <w:p w:rsidR="00A62BE9" w:rsidP="00A62BE9" w14:paraId="34D3B0EA" w14:textId="305498DC">
            <w:r>
              <w:t>Alle pasient grupper</w:t>
            </w:r>
          </w:p>
        </w:tc>
      </w:tr>
      <w:tr w14:paraId="60EC2F71" w14:textId="77777777" w:rsidTr="00CF61FE">
        <w:tblPrEx>
          <w:tblW w:w="11222" w:type="dxa"/>
          <w:tblInd w:w="-998" w:type="dxa"/>
          <w:tblLook w:val="04A0"/>
        </w:tblPrEx>
        <w:trPr>
          <w:trHeight w:val="453"/>
        </w:trPr>
        <w:tc>
          <w:tcPr>
            <w:tcW w:w="4689" w:type="dxa"/>
          </w:tcPr>
          <w:p w:rsidR="00A62BE9" w:rsidP="00A62BE9" w14:paraId="287FAAA6" w14:textId="5995C1AD">
            <w:r w:rsidRPr="00840D86">
              <w:rPr>
                <w:b/>
                <w:bCs/>
              </w:rPr>
              <w:t>FLACC</w:t>
            </w:r>
            <w:r>
              <w:t xml:space="preserve"> </w:t>
            </w:r>
            <w:r w:rsidRPr="00840D86">
              <w:t>(Face, Legs, Activity, Cry, Consolability)</w:t>
            </w:r>
          </w:p>
        </w:tc>
        <w:tc>
          <w:tcPr>
            <w:tcW w:w="4809" w:type="dxa"/>
          </w:tcPr>
          <w:p w:rsidR="00A62BE9" w:rsidP="00A62BE9" w14:paraId="44C2631E" w14:textId="48E22620">
            <w:r w:rsidRPr="00840D86">
              <w:t>Observasjon av barn med redusert verbalt språk og forståelse</w:t>
            </w:r>
          </w:p>
        </w:tc>
        <w:tc>
          <w:tcPr>
            <w:tcW w:w="1724" w:type="dxa"/>
          </w:tcPr>
          <w:p w:rsidR="00A62BE9" w:rsidRPr="00A62BE9" w:rsidP="00A62BE9" w14:paraId="7061544E" w14:textId="2D8D2FBD">
            <w:pPr>
              <w:jc w:val="both"/>
              <w:rPr>
                <w:rFonts w:ascii="Calibri" w:hAnsi="Calibri" w:cs="Calibri"/>
                <w:color w:val="333333"/>
                <w:szCs w:val="22"/>
              </w:rPr>
            </w:pPr>
            <w:r w:rsidRPr="00A62BE9">
              <w:rPr>
                <w:rFonts w:ascii="Calibri" w:hAnsi="Calibri" w:cs="Calibri"/>
                <w:color w:val="333333"/>
                <w:szCs w:val="22"/>
              </w:rPr>
              <w:t>0-5 (12 år)</w:t>
            </w:r>
          </w:p>
        </w:tc>
      </w:tr>
    </w:tbl>
    <w:p w:rsidR="00A62BE9" w:rsidRPr="00A62BE9" w:rsidP="00A62BE9" w14:paraId="39D8E545" w14:textId="77777777"/>
    <w:p w:rsidR="006A11D7" w:rsidRPr="006A11D7" w:rsidP="006A11D7" w14:paraId="6E7339FC" w14:textId="77777777"/>
    <w:p w:rsidR="00653CB7" w:rsidP="006A11D7" w14:paraId="7A010188" w14:textId="77777777">
      <w:pPr>
        <w:pStyle w:val="Heading2"/>
      </w:pPr>
      <w:bookmarkStart w:id="9" w:name="_Toc256000008"/>
      <w:r>
        <w:t>Dokumentasjon</w:t>
      </w:r>
      <w:bookmarkEnd w:id="9"/>
    </w:p>
    <w:p w:rsidR="00653CB7" w:rsidP="000A7CD3" w14:paraId="27DB6E40" w14:textId="490CC170">
      <w:r>
        <w:rPr>
          <w:shd w:val="clear" w:color="auto" w:fill="FFFFFF"/>
        </w:rPr>
        <w:t xml:space="preserve">Smertevurdering, igangsatte smertelindrende tiltak (medikamentelle og ikke-medikamentelle), samt effekt av tiltakene dokumenteres i </w:t>
      </w:r>
      <w:r w:rsidR="006E6241">
        <w:rPr>
          <w:shd w:val="clear" w:color="auto" w:fill="FFFFFF"/>
        </w:rPr>
        <w:t xml:space="preserve">Meona og evt. mer utfyllende i </w:t>
      </w:r>
      <w:r>
        <w:rPr>
          <w:shd w:val="clear" w:color="auto" w:fill="FFFFFF"/>
        </w:rPr>
        <w:t>pasientjournal.</w:t>
      </w:r>
      <w:r w:rsidR="00840D86">
        <w:t xml:space="preserve"> </w:t>
      </w:r>
    </w:p>
    <w:p w:rsidR="006A11D7" w:rsidP="000A7CD3" w14:paraId="75E3AF02" w14:textId="21C86D29">
      <w:r>
        <w:t xml:space="preserve">Aktuelle pasienter skal alltid smertevurderes, scores og se effekt av medikamentell/ikke medikamentell smertebehandling før previsitt. </w:t>
      </w:r>
    </w:p>
    <w:p w:rsidR="00382781" w:rsidRPr="004B64FB" w:rsidP="000A7CD3" w14:paraId="2DFA6DCF" w14:textId="1ADDEED7">
      <w:pPr>
        <w:rPr>
          <w:color w:val="FF0000"/>
        </w:rPr>
      </w:pPr>
      <w:r>
        <w:t>Dokumenteres i Meona og DIPS.</w:t>
      </w:r>
    </w:p>
    <w:p w:rsidR="00653CB7" w:rsidRPr="00653CB7" w:rsidP="00653CB7" w14:paraId="3E90720D" w14:textId="77777777"/>
    <w:p w:rsidR="00510BDF" w:rsidP="00066A58" w14:paraId="4B3E9AE5" w14:textId="77777777">
      <w:pPr>
        <w:spacing w:line="259" w:lineRule="auto"/>
        <w:rPr>
          <w:rFonts w:cstheme="minorHAnsi"/>
        </w:rPr>
      </w:pPr>
    </w:p>
    <w:p w:rsidR="00510BDF" w:rsidP="00066A58" w14:paraId="4B3E9AE6" w14:textId="77777777">
      <w:pPr>
        <w:pStyle w:val="Heading1"/>
        <w:spacing w:line="259" w:lineRule="auto"/>
      </w:pPr>
      <w:bookmarkStart w:id="10" w:name="_Toc256000009"/>
      <w:r>
        <w:t>Referanser</w:t>
      </w:r>
      <w:bookmarkEnd w:id="10"/>
      <w:r>
        <w:t xml:space="preserve"> </w:t>
      </w:r>
    </w:p>
    <w:p w:rsidR="00DF7BA8" w:rsidP="00066A58" w14:paraId="4B3E9AE7" w14:textId="77777777">
      <w:pPr>
        <w:spacing w:line="259" w:lineRule="auto"/>
        <w:rPr>
          <w:rFonts w:cstheme="minorHAnsi"/>
        </w:rPr>
      </w:pPr>
    </w:p>
    <w:p w:rsidR="00510BDF" w:rsidP="00066A58" w14:paraId="4B3E9AE8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10BDF" w:rsidP="00066A58" w14:paraId="4B3E9AED" w14:textId="77777777">
      <w:pPr>
        <w:spacing w:line="259" w:lineRule="auto"/>
        <w:rPr>
          <w:rFonts w:cstheme="minorHAnsi"/>
        </w:rPr>
      </w:pPr>
      <w:bookmarkEnd w:id="11"/>
    </w:p>
    <w:p w:rsidR="00510BDF" w:rsidP="00066A58" w14:paraId="4B3E9AEE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p w:rsidR="00CF61FE" w:rsidP="00066A58" w14:paraId="4285E13D" w14:textId="4454784E">
      <w:pPr>
        <w:spacing w:line="259" w:lineRule="auto"/>
        <w:rPr>
          <w:rFonts w:cstheme="minorHAnsi"/>
        </w:rPr>
      </w:pPr>
      <w:hyperlink r:id="rId6" w:anchor="Smertevurderingsverkt%C3%B8y" w:history="1">
        <w:r w:rsidRPr="00CF61FE">
          <w:rPr>
            <w:rStyle w:val="Hyperlink"/>
            <w:rFonts w:cstheme="minorHAnsi"/>
            <w:sz w:val="22"/>
          </w:rPr>
          <w:t>eHåndbok - Smertevurdering av barn 0-18 år</w:t>
        </w:r>
      </w:hyperlink>
    </w:p>
    <w:p w:rsidR="00CF61FE" w:rsidP="00066A58" w14:paraId="65E94073" w14:textId="23CAE51F">
      <w:pPr>
        <w:spacing w:line="259" w:lineRule="auto"/>
        <w:rPr>
          <w:rFonts w:cstheme="minorHAnsi"/>
        </w:rPr>
      </w:pPr>
      <w:hyperlink r:id="rId7" w:history="1">
        <w:r w:rsidRPr="00CF61FE">
          <w:rPr>
            <w:rStyle w:val="Hyperlink"/>
            <w:rFonts w:cstheme="minorHAnsi"/>
            <w:sz w:val="22"/>
          </w:rPr>
          <w:t>13.2 Barn og smerte – definisjon og smertetyper - Helsebiblioteket</w:t>
        </w:r>
      </w:hyperlink>
    </w:p>
    <w:p w:rsidR="00B1427D" w:rsidP="00066A58" w14:paraId="6CF6D314" w14:textId="1C32ED00">
      <w:pPr>
        <w:spacing w:line="259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1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4B3E9AF2" w14:textId="77777777">
      <w:pPr>
        <w:spacing w:line="259" w:lineRule="auto"/>
        <w:rPr>
          <w:rFonts w:cstheme="minorHAnsi"/>
        </w:rPr>
      </w:pPr>
      <w:bookmarkEnd w:id="12"/>
    </w:p>
    <w:p w:rsidR="009D023B" w:rsidP="00066A58" w14:paraId="4B3E9AF3" w14:textId="77777777">
      <w:pPr>
        <w:spacing w:line="259" w:lineRule="auto"/>
      </w:pPr>
    </w:p>
    <w:p w:rsidR="00DF7BA8" w:rsidP="00066A58" w14:paraId="4B3E9AF4" w14:textId="77777777">
      <w:pPr>
        <w:spacing w:line="259" w:lineRule="auto"/>
      </w:pPr>
    </w:p>
    <w:p w:rsidR="00935DE6" w:rsidP="00066A58" w14:paraId="4B3E9AF5" w14:textId="77777777">
      <w:pPr>
        <w:pStyle w:val="Heading1"/>
        <w:spacing w:line="259" w:lineRule="auto"/>
      </w:pPr>
      <w:bookmarkStart w:id="13" w:name="_Toc256000010"/>
      <w:r>
        <w:t>Forankring</w:t>
      </w:r>
      <w:bookmarkEnd w:id="13"/>
    </w:p>
    <w:p w:rsidR="00935DE6" w:rsidRPr="009D023B" w:rsidP="00066A58" w14:paraId="4B3E9AF6" w14:textId="77777777">
      <w:pPr>
        <w:spacing w:line="259" w:lineRule="auto"/>
      </w:pPr>
    </w:p>
    <w:p w:rsidR="009D023B" w:rsidRPr="005F0E8F" w:rsidP="00066A58" w14:paraId="4B3E9AF7" w14:textId="77777777">
      <w:pPr>
        <w:pStyle w:val="Heading1"/>
        <w:spacing w:line="259" w:lineRule="auto"/>
      </w:pPr>
      <w:bookmarkStart w:id="14" w:name="_Toc256000011"/>
      <w:r w:rsidRPr="005F0E8F">
        <w:t>Endringer siden forrige versjon</w:t>
      </w:r>
      <w:bookmarkEnd w:id="14"/>
    </w:p>
    <w:p w:rsidR="009D023B" w:rsidRPr="0073590C" w:rsidP="00066A58" w14:paraId="4B3E9AF8" w14:textId="4C0AB8F3">
      <w:pPr>
        <w:spacing w:line="259" w:lineRule="auto"/>
        <w:rPr>
          <w:rFonts w:cstheme="minorHAnsi"/>
        </w:rPr>
      </w:pPr>
      <w:r w:rsidRPr="0073590C">
        <w:rPr>
          <w:rFonts w:cstheme="minorHAnsi"/>
        </w:rPr>
        <w:t>Dette er første versjon</w:t>
      </w:r>
    </w:p>
    <w:p w:rsidR="009D023B" w:rsidRPr="00E754D7" w:rsidP="00066A58" w14:paraId="4B3E9AF9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18E022E7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5.3.8-06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1FA0AEE6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D80890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5.3.8-06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4D8C3903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Smertekartlegging ved BUK, Medisin B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Smertekartlegging ved BUK, Medisin B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Pasientbehandling/Fagprosedyrer/Generelle fagprosedyrer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14.03.2025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14.03.2027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HF/Barne- og ungdomsklinikken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Hagen, Hilde Johanne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Marianne Bøe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D80890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1294C"/>
    <w:multiLevelType w:val="multilevel"/>
    <w:tmpl w:val="1D8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60146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iCs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B6004"/>
    <w:multiLevelType w:val="hybridMultilevel"/>
    <w:tmpl w:val="93A46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64530B4"/>
    <w:multiLevelType w:val="hybridMultilevel"/>
    <w:tmpl w:val="8236E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81E94"/>
    <w:multiLevelType w:val="multilevel"/>
    <w:tmpl w:val="BB88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C10730"/>
    <w:multiLevelType w:val="multilevel"/>
    <w:tmpl w:val="E7C2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832B2A"/>
    <w:multiLevelType w:val="multilevel"/>
    <w:tmpl w:val="6958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656465">
    <w:abstractNumId w:val="11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2"/>
  </w:num>
  <w:num w:numId="13" w16cid:durableId="958947322">
    <w:abstractNumId w:val="16"/>
  </w:num>
  <w:num w:numId="14" w16cid:durableId="1240796667">
    <w:abstractNumId w:val="18"/>
  </w:num>
  <w:num w:numId="15" w16cid:durableId="1741707904">
    <w:abstractNumId w:val="19"/>
  </w:num>
  <w:num w:numId="16" w16cid:durableId="1214347900">
    <w:abstractNumId w:val="13"/>
  </w:num>
  <w:num w:numId="17" w16cid:durableId="1826556132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14"/>
  </w:num>
  <w:num w:numId="19" w16cid:durableId="794177729">
    <w:abstractNumId w:val="10"/>
  </w:num>
  <w:num w:numId="20" w16cid:durableId="460810509">
    <w:abstractNumId w:val="15"/>
  </w:num>
  <w:num w:numId="21" w16cid:durableId="1719476000">
    <w:abstractNumId w:val="21"/>
  </w:num>
  <w:num w:numId="22" w16cid:durableId="1142891339">
    <w:abstractNumId w:val="22"/>
  </w:num>
  <w:num w:numId="23" w16cid:durableId="100615882">
    <w:abstractNumId w:val="17"/>
  </w:num>
  <w:num w:numId="24" w16cid:durableId="4797356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24EE"/>
    <w:rsid w:val="00097072"/>
    <w:rsid w:val="000A1D6A"/>
    <w:rsid w:val="000A6B2D"/>
    <w:rsid w:val="000A7CD3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3CDD"/>
    <w:rsid w:val="00115094"/>
    <w:rsid w:val="00117E18"/>
    <w:rsid w:val="00140619"/>
    <w:rsid w:val="00144BC1"/>
    <w:rsid w:val="001468F6"/>
    <w:rsid w:val="00150F73"/>
    <w:rsid w:val="00151E16"/>
    <w:rsid w:val="00155765"/>
    <w:rsid w:val="00157C37"/>
    <w:rsid w:val="00161FD5"/>
    <w:rsid w:val="00170D99"/>
    <w:rsid w:val="00176BA5"/>
    <w:rsid w:val="001871D2"/>
    <w:rsid w:val="00187793"/>
    <w:rsid w:val="00190132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4499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46F57"/>
    <w:rsid w:val="00360258"/>
    <w:rsid w:val="00362B96"/>
    <w:rsid w:val="00372C23"/>
    <w:rsid w:val="00381C00"/>
    <w:rsid w:val="00382781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B64FB"/>
    <w:rsid w:val="004C563C"/>
    <w:rsid w:val="004D0DCE"/>
    <w:rsid w:val="004D15E6"/>
    <w:rsid w:val="004D3603"/>
    <w:rsid w:val="004E0461"/>
    <w:rsid w:val="004E763F"/>
    <w:rsid w:val="0050053D"/>
    <w:rsid w:val="00507D96"/>
    <w:rsid w:val="005103B6"/>
    <w:rsid w:val="00510BDF"/>
    <w:rsid w:val="00520D11"/>
    <w:rsid w:val="00522D7A"/>
    <w:rsid w:val="00524CF7"/>
    <w:rsid w:val="005264D5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6548D"/>
    <w:rsid w:val="00577C7A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C17B2"/>
    <w:rsid w:val="005F0E8F"/>
    <w:rsid w:val="00606A4F"/>
    <w:rsid w:val="00611A93"/>
    <w:rsid w:val="00611B44"/>
    <w:rsid w:val="00617242"/>
    <w:rsid w:val="006479E1"/>
    <w:rsid w:val="00650773"/>
    <w:rsid w:val="00652242"/>
    <w:rsid w:val="00653CB7"/>
    <w:rsid w:val="00655FA8"/>
    <w:rsid w:val="0067105D"/>
    <w:rsid w:val="006720B2"/>
    <w:rsid w:val="00674ADC"/>
    <w:rsid w:val="00677EB4"/>
    <w:rsid w:val="00693B1B"/>
    <w:rsid w:val="00697362"/>
    <w:rsid w:val="006A11D7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D57F2"/>
    <w:rsid w:val="006E06DD"/>
    <w:rsid w:val="006E2A16"/>
    <w:rsid w:val="006E4AAC"/>
    <w:rsid w:val="006E5645"/>
    <w:rsid w:val="006E6241"/>
    <w:rsid w:val="006F6255"/>
    <w:rsid w:val="00707B83"/>
    <w:rsid w:val="00713D7C"/>
    <w:rsid w:val="00727E6C"/>
    <w:rsid w:val="00733006"/>
    <w:rsid w:val="0073590C"/>
    <w:rsid w:val="007367F2"/>
    <w:rsid w:val="00751AE7"/>
    <w:rsid w:val="0078621E"/>
    <w:rsid w:val="00793756"/>
    <w:rsid w:val="007C3E55"/>
    <w:rsid w:val="007E4125"/>
    <w:rsid w:val="007F6392"/>
    <w:rsid w:val="0080313B"/>
    <w:rsid w:val="00806640"/>
    <w:rsid w:val="008078AB"/>
    <w:rsid w:val="00820775"/>
    <w:rsid w:val="00820B61"/>
    <w:rsid w:val="008361CD"/>
    <w:rsid w:val="00840D86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90835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8F40E4"/>
    <w:rsid w:val="00902B00"/>
    <w:rsid w:val="00903623"/>
    <w:rsid w:val="009039EB"/>
    <w:rsid w:val="00905B0B"/>
    <w:rsid w:val="00907122"/>
    <w:rsid w:val="00907ABE"/>
    <w:rsid w:val="00912212"/>
    <w:rsid w:val="0091692D"/>
    <w:rsid w:val="009308C7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B3616"/>
    <w:rsid w:val="009C279F"/>
    <w:rsid w:val="009C6E05"/>
    <w:rsid w:val="009D023B"/>
    <w:rsid w:val="009D072D"/>
    <w:rsid w:val="009D4154"/>
    <w:rsid w:val="009E0D59"/>
    <w:rsid w:val="009E1AE8"/>
    <w:rsid w:val="009F113C"/>
    <w:rsid w:val="009F7668"/>
    <w:rsid w:val="00A1289F"/>
    <w:rsid w:val="00A17D23"/>
    <w:rsid w:val="00A271A9"/>
    <w:rsid w:val="00A3019C"/>
    <w:rsid w:val="00A43AE5"/>
    <w:rsid w:val="00A50FBA"/>
    <w:rsid w:val="00A55D47"/>
    <w:rsid w:val="00A577D4"/>
    <w:rsid w:val="00A62BE9"/>
    <w:rsid w:val="00A75A8B"/>
    <w:rsid w:val="00A94359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1427D"/>
    <w:rsid w:val="00B218AB"/>
    <w:rsid w:val="00B21CB1"/>
    <w:rsid w:val="00B236DD"/>
    <w:rsid w:val="00B24A00"/>
    <w:rsid w:val="00B46418"/>
    <w:rsid w:val="00B55A8A"/>
    <w:rsid w:val="00B765A1"/>
    <w:rsid w:val="00B803E3"/>
    <w:rsid w:val="00B900D2"/>
    <w:rsid w:val="00BC3FD8"/>
    <w:rsid w:val="00BC5853"/>
    <w:rsid w:val="00BD6D72"/>
    <w:rsid w:val="00BE2A8A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77BDF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CF61FE"/>
    <w:rsid w:val="00D013CC"/>
    <w:rsid w:val="00D03EED"/>
    <w:rsid w:val="00D13046"/>
    <w:rsid w:val="00D2236D"/>
    <w:rsid w:val="00D26789"/>
    <w:rsid w:val="00D320CC"/>
    <w:rsid w:val="00D36983"/>
    <w:rsid w:val="00D36A2D"/>
    <w:rsid w:val="00D40E94"/>
    <w:rsid w:val="00D4374F"/>
    <w:rsid w:val="00D53A2C"/>
    <w:rsid w:val="00D60CC9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E691E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1A1D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35F6A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  <w:rsid w:val="00FF71A5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840D86"/>
    <w:pPr>
      <w:outlineLvl w:val="2"/>
    </w:pPr>
    <w:rPr>
      <w:iCs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6A11D7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2D7A"/>
    <w:rPr>
      <w:color w:val="605E5C"/>
      <w:shd w:val="clear" w:color="auto" w:fill="E1DFDD"/>
    </w:rPr>
  </w:style>
  <w:style w:type="table" w:styleId="TableGrid">
    <w:name w:val="Table Grid"/>
    <w:basedOn w:val="TableNormal"/>
    <w:rsid w:val="00C7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iasp-pain.org/resources/faces-pain-scale-revised/?ItemNumber=1519&amp;navItemNumber=577" TargetMode="External" /><Relationship Id="rId6" Type="http://schemas.openxmlformats.org/officeDocument/2006/relationships/hyperlink" Target="https://ehandboken.ous-hf.no/document/119216" TargetMode="External" /><Relationship Id="rId7" Type="http://schemas.openxmlformats.org/officeDocument/2006/relationships/hyperlink" Target="https://www.helsebiblioteket.no/innhold/retningslinjer/pediatri/generell-veileder-i-pediatri/13.smerte-og-sedasjon/13.2-barn-og-smerte-definisjon-og-smertetyper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359</TotalTime>
  <Pages>3</Pages>
  <Words>505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Smertekartlegging ved BUK, Medisin B</vt:lpstr>
      <vt:lpstr>HBHF-mal - stående</vt:lpstr>
    </vt:vector>
  </TitlesOfParts>
  <Company>Datakvalitet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Smertekartlegging ved BUK, Medisin B</dc:title>
  <dc:subject>000302|[RefNr]|</dc:subject>
  <dc:creator>Bøe, Marianne</dc:creator>
  <cp:lastModifiedBy>Bøe, Marianne</cp:lastModifiedBy>
  <cp:revision>13</cp:revision>
  <cp:lastPrinted>2006-09-07T08:52:00Z</cp:lastPrinted>
  <dcterms:created xsi:type="dcterms:W3CDTF">2021-12-08T08:43:00Z</dcterms:created>
  <dcterms:modified xsi:type="dcterms:W3CDTF">2025-03-14T08:34:00Z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Smertekartlegging ved BUK, Medisin B</vt:lpwstr>
  </property>
  <property fmtid="{D5CDD505-2E9C-101B-9397-08002B2CF9AE}" pid="7" name="EK_DokType">
    <vt:lpwstr>Retningslinje</vt:lpwstr>
  </property>
  <property fmtid="{D5CDD505-2E9C-101B-9397-08002B2CF9AE}" pid="8" name="EK_DokumentID">
    <vt:lpwstr>D80890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14.03.2025</vt:lpwstr>
  </property>
  <property fmtid="{D5CDD505-2E9C-101B-9397-08002B2CF9AE}" pid="11" name="EK_GjelderTil">
    <vt:lpwstr>14.03.2027</vt:lpwstr>
  </property>
  <property fmtid="{D5CDD505-2E9C-101B-9397-08002B2CF9AE}" pid="12" name="EK_Merknad">
    <vt:lpwstr>[Merknad]</vt:lpwstr>
  </property>
  <property fmtid="{D5CDD505-2E9C-101B-9397-08002B2CF9AE}" pid="13" name="EK_RefNr">
    <vt:lpwstr>5.3.8-06</vt:lpwstr>
  </property>
  <property fmtid="{D5CDD505-2E9C-101B-9397-08002B2CF9AE}" pid="14" name="EK_S00MT1">
    <vt:lpwstr>Helse Bergen HF/Barne- og ungdomsklinikken</vt:lpwstr>
  </property>
  <property fmtid="{D5CDD505-2E9C-101B-9397-08002B2CF9AE}" pid="15" name="EK_S01MT3">
    <vt:lpwstr>Pasientbehandling/Fagprosedyrer/Generelle fagprosedyrer</vt:lpwstr>
  </property>
  <property fmtid="{D5CDD505-2E9C-101B-9397-08002B2CF9AE}" pid="16" name="EK_Signatur">
    <vt:lpwstr>Hagen, Hilde Johanne</vt:lpwstr>
  </property>
  <property fmtid="{D5CDD505-2E9C-101B-9397-08002B2CF9AE}" pid="17" name="EK_UText1">
    <vt:lpwstr>Marianne Bøe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