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  <w:szCs w:val="20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55D47" w:rsidRPr="00066A58" w:rsidP="00066A58" w14:paraId="63DB087A" w14:textId="77777777">
          <w:pPr>
            <w:pStyle w:val="StilOverskriftforinnholdsfortegnelseLatinBrdtekstCali"/>
            <w:rPr>
              <w:szCs w:val="20"/>
            </w:rPr>
          </w:pPr>
          <w:r w:rsidRPr="00066A58">
            <w:rPr>
              <w:szCs w:val="20"/>
            </w:rPr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Hensikt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Målgruppe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Avgrensning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3.1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Bruk og o</w:t>
            </w:r>
            <w:r w:rsidRPr="00F01AEF">
              <w:rPr>
                <w:rStyle w:val="Hyperlink"/>
              </w:rPr>
              <w:t>ppbevaring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3.2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Personlige eiendeler dekket av retningslinjene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Ansvar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Framgangsmåte: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7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Forankring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8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A55D47" w:rsidP="00066A58">
          <w:pPr>
            <w:spacing w:line="259" w:lineRule="auto"/>
          </w:pPr>
          <w:r w:rsidRPr="00066A58">
            <w:rPr>
              <w:rFonts w:cstheme="minorHAnsi"/>
              <w:sz w:val="20"/>
            </w:rPr>
            <w:fldChar w:fldCharType="end"/>
          </w:r>
        </w:p>
      </w:sdtContent>
    </w:sdt>
    <w:p w:rsidR="00CB3EB0" w:rsidP="00066A58" w14:paraId="63DB0884" w14:textId="77777777">
      <w:pPr>
        <w:pStyle w:val="Heading1"/>
        <w:spacing w:line="259" w:lineRule="auto"/>
      </w:pPr>
      <w:bookmarkStart w:id="1" w:name="_Toc256000000"/>
      <w:r>
        <w:t>Hensikt</w:t>
      </w:r>
      <w:bookmarkEnd w:id="1"/>
    </w:p>
    <w:p w:rsidR="009C4431" w:rsidP="009D422D" w14:paraId="14639913" w14:textId="7816D564">
      <w:pPr>
        <w:spacing w:after="120"/>
      </w:pPr>
      <w:r>
        <w:t>Retningslinjen fastsetter framgangsmåte for kompensasjon til medarbeider ved skade på eller tap av personlige eiendeler (for eksempel briller, klær og sko) som skjer i forbindelse med arbeid.</w:t>
      </w:r>
    </w:p>
    <w:p w:rsidR="009C4431" w:rsidRPr="00DF7BA8" w:rsidP="009D422D" w14:paraId="63433317" w14:textId="77777777">
      <w:pPr>
        <w:spacing w:after="120" w:line="259" w:lineRule="auto"/>
        <w:rPr>
          <w:rFonts w:cstheme="minorHAnsi"/>
          <w:color w:val="808080" w:themeColor="background1" w:themeShade="80"/>
        </w:rPr>
      </w:pPr>
    </w:p>
    <w:p w:rsidR="002744C3" w:rsidP="00066A58" w14:paraId="63DB0886" w14:textId="0BFAD4A7">
      <w:pPr>
        <w:pStyle w:val="Heading1"/>
        <w:spacing w:line="259" w:lineRule="auto"/>
      </w:pPr>
      <w:bookmarkStart w:id="2" w:name="_Toc256000001"/>
      <w:r>
        <w:t>Målgruppe</w:t>
      </w:r>
      <w:bookmarkEnd w:id="2"/>
    </w:p>
    <w:p w:rsidR="00C450FE" w:rsidP="009D422D" w14:paraId="63DB0887" w14:textId="0E21C40D">
      <w:pPr>
        <w:spacing w:after="120" w:line="259" w:lineRule="auto"/>
      </w:pPr>
      <w:r>
        <w:t>Retningslinjene gjelder for alle fast ansatte, midlertidige ansatte og innleide medarbeidere på sykehuset som får skade på sine personlige eiendeler i arbeidssammenheng.</w:t>
      </w:r>
    </w:p>
    <w:p w:rsidR="009D422D" w:rsidP="009D422D" w14:paraId="7454F6C0" w14:textId="77777777">
      <w:pPr>
        <w:spacing w:after="120" w:line="259" w:lineRule="auto"/>
      </w:pPr>
    </w:p>
    <w:p w:rsidR="009D422D" w:rsidP="009D422D" w14:paraId="7A40652A" w14:textId="0289ECC0">
      <w:pPr>
        <w:pStyle w:val="Heading1"/>
        <w:spacing w:line="259" w:lineRule="auto"/>
      </w:pPr>
      <w:bookmarkStart w:id="3" w:name="_Toc256000002"/>
      <w:r>
        <w:t>Avgrensning</w:t>
      </w:r>
      <w:bookmarkEnd w:id="3"/>
    </w:p>
    <w:p w:rsidR="009D422D" w:rsidP="009D422D" w14:paraId="3B8D8379" w14:textId="6381C55E">
      <w:r>
        <w:t xml:space="preserve">Det finnes en egen retningslinje for melding av </w:t>
      </w:r>
      <w:hyperlink r:id="rId5" w:tooltip="XDF17482" w:history="1">
        <w:r w:rsidRPr="008D4AA7">
          <w:rPr>
            <w:rStyle w:val="Hyperlink"/>
          </w:rPr>
          <w:t>arbeidsrelatert skade eller arbeidsrelatert sykdom</w:t>
        </w:r>
      </w:hyperlink>
      <w:r>
        <w:rPr>
          <w:rStyle w:val="Hyperlink"/>
        </w:rPr>
        <w:t>.</w:t>
      </w:r>
      <w:r w:rsidRPr="008D4AA7">
        <w:t xml:space="preserve"> </w:t>
      </w:r>
    </w:p>
    <w:p w:rsidR="009D422D" w:rsidP="009D422D" w14:paraId="37581F45" w14:textId="092ADAA5">
      <w:pPr>
        <w:spacing w:after="120" w:line="259" w:lineRule="auto"/>
      </w:pPr>
    </w:p>
    <w:p w:rsidR="00F01AEF" w:rsidRPr="00F01AEF" w:rsidP="00F01AEF" w14:paraId="67ADCC06" w14:textId="061A5690">
      <w:pPr>
        <w:pStyle w:val="Heading2"/>
      </w:pPr>
      <w:bookmarkStart w:id="4" w:name="_Toc256000003"/>
      <w:r>
        <w:t>Bruk og o</w:t>
      </w:r>
      <w:r w:rsidRPr="00F01AEF">
        <w:t>ppbevaring</w:t>
      </w:r>
      <w:bookmarkEnd w:id="4"/>
      <w:r w:rsidRPr="00F01AEF">
        <w:t xml:space="preserve"> </w:t>
      </w:r>
    </w:p>
    <w:p w:rsidR="00F01AEF" w:rsidP="00F01AEF" w14:paraId="08214185" w14:textId="4B0E7204">
      <w:pPr>
        <w:spacing w:after="120"/>
      </w:pPr>
      <w:r>
        <w:t>Personlige eiendeler må ha blitt skadet eller tapt i arbeidstiden, og/eller mens medarbeideren</w:t>
      </w:r>
      <w:r>
        <w:t xml:space="preserve"> utførte arbeid relatert til sine oppgaver på sykehuset. </w:t>
      </w:r>
    </w:p>
    <w:p w:rsidR="00B97993" w:rsidP="00B97993" w14:paraId="5CE67543" w14:textId="77777777">
      <w:pPr>
        <w:spacing w:after="120"/>
      </w:pPr>
      <w:r>
        <w:t>Retningslinjen gjelder også for tap eller skade på personlige eiendeler oppbevart i låst skap eller i adgangsstyrt garderobe.</w:t>
      </w:r>
      <w:r w:rsidRPr="00CF59DF">
        <w:t xml:space="preserve"> </w:t>
      </w:r>
      <w:r>
        <w:t>Ved oppbevaring av gjenstander andre steder enn dette kan det foretas skjønnsmessig vurdering.</w:t>
      </w:r>
    </w:p>
    <w:p w:rsidR="009C4431" w:rsidRPr="009C4431" w:rsidP="009D422D" w14:paraId="0B952C29" w14:textId="77777777">
      <w:pPr>
        <w:spacing w:after="120"/>
      </w:pPr>
    </w:p>
    <w:p w:rsidR="009C4431" w:rsidP="009D422D" w14:paraId="02C34A77" w14:textId="77777777">
      <w:pPr>
        <w:pStyle w:val="Heading2"/>
      </w:pPr>
      <w:bookmarkStart w:id="5" w:name="_Toc256000004"/>
      <w:r>
        <w:t>Personlige eiendeler dekket av retningslinjene</w:t>
      </w:r>
      <w:bookmarkEnd w:id="5"/>
    </w:p>
    <w:p w:rsidR="009C4431" w:rsidP="009D422D" w14:paraId="2A4F3C9E" w14:textId="62490560">
      <w:pPr>
        <w:spacing w:after="120"/>
      </w:pPr>
      <w:r>
        <w:t>Eiendeler som dekkes av retningslinjene kan for eksempel være:</w:t>
      </w:r>
    </w:p>
    <w:p w:rsidR="009C4431" w:rsidP="009D422D" w14:paraId="3CD549CC" w14:textId="77777777">
      <w:pPr>
        <w:pStyle w:val="ListParagraph"/>
        <w:numPr>
          <w:ilvl w:val="0"/>
          <w:numId w:val="20"/>
        </w:numPr>
        <w:spacing w:after="120"/>
      </w:pPr>
      <w:r>
        <w:t>Briller eller kontaktlinser</w:t>
      </w:r>
    </w:p>
    <w:p w:rsidR="009C4431" w:rsidP="009D422D" w14:paraId="5D7CED20" w14:textId="1AAD80E5">
      <w:pPr>
        <w:pStyle w:val="ListParagraph"/>
        <w:numPr>
          <w:ilvl w:val="0"/>
          <w:numId w:val="20"/>
        </w:numPr>
        <w:spacing w:after="120"/>
      </w:pPr>
      <w:r>
        <w:t>Klokker (armbåndsur og søsterur)</w:t>
      </w:r>
    </w:p>
    <w:p w:rsidR="009C4431" w:rsidP="009D422D" w14:paraId="1CA1D28C" w14:textId="77777777">
      <w:pPr>
        <w:pStyle w:val="ListParagraph"/>
        <w:numPr>
          <w:ilvl w:val="0"/>
          <w:numId w:val="20"/>
        </w:numPr>
        <w:spacing w:after="120"/>
      </w:pPr>
      <w:r>
        <w:t>Sko, dersom de er nødvendige for arbeidsutførelsen</w:t>
      </w:r>
    </w:p>
    <w:p w:rsidR="009C4431" w:rsidP="009D422D" w14:paraId="07170A3F" w14:textId="77777777">
      <w:pPr>
        <w:pStyle w:val="ListParagraph"/>
        <w:numPr>
          <w:ilvl w:val="0"/>
          <w:numId w:val="20"/>
        </w:numPr>
        <w:spacing w:after="120"/>
      </w:pPr>
      <w:r>
        <w:t>Andre nødvendige personlige eiendeler som brukes regelmessig i arbeidet</w:t>
      </w:r>
    </w:p>
    <w:p w:rsidR="00F01AEF" w:rsidRPr="00F01AEF" w:rsidP="00F01AEF" w14:paraId="3E9D288A" w14:textId="17626FBB">
      <w:pPr>
        <w:spacing w:before="100" w:beforeAutospacing="1" w:after="100" w:afterAutospacing="1"/>
      </w:pPr>
      <w:r>
        <w:t>Eiendeler med høy verdi som smykker, designerklokker eller luksusvarer dekkes ikke, da dette ikke er nødvendig å ta med på arbeidsplassen.</w:t>
      </w:r>
    </w:p>
    <w:p w:rsidR="009C4431" w:rsidRPr="00360258" w:rsidP="009D422D" w14:paraId="36529156" w14:textId="77777777">
      <w:pPr>
        <w:spacing w:after="120" w:line="259" w:lineRule="auto"/>
        <w:rPr>
          <w:rFonts w:cstheme="minorHAnsi"/>
        </w:rPr>
      </w:pPr>
    </w:p>
    <w:p w:rsidR="00510BDF" w:rsidP="00066A58" w14:paraId="63DB088A" w14:textId="77777777">
      <w:pPr>
        <w:pStyle w:val="Heading1"/>
        <w:spacing w:line="259" w:lineRule="auto"/>
      </w:pPr>
      <w:bookmarkStart w:id="6" w:name="_Toc256000005"/>
      <w:r>
        <w:t>Ansvar</w:t>
      </w:r>
      <w:bookmarkEnd w:id="6"/>
      <w:r>
        <w:t xml:space="preserve"> </w:t>
      </w:r>
    </w:p>
    <w:p w:rsidR="00B97993" w:rsidP="00B97993" w14:paraId="672A63B4" w14:textId="07E5091D">
      <w:pPr>
        <w:spacing w:after="120"/>
      </w:pPr>
      <w:r>
        <w:t xml:space="preserve">Medarbeider har som hovedregel selv ansvar for personlige eiendeler og verdisaker som medbringes på arbeidsplassen. </w:t>
      </w:r>
      <w:bookmarkStart w:id="7" w:name="_Hlk193184806"/>
      <w:r>
        <w:t>Skade på eller tap av private eiendeler kan erstattes når skaden eller tapet har skjedd på eller i tilknytning til arbeidsplassen, eksempelvis på tur med pasient som utagerer.</w:t>
      </w:r>
      <w:r w:rsidRPr="00E0610C">
        <w:rPr>
          <w:color w:val="FF0000"/>
        </w:rPr>
        <w:t xml:space="preserve"> </w:t>
      </w:r>
    </w:p>
    <w:bookmarkEnd w:id="7"/>
    <w:p w:rsidR="00B97993" w:rsidP="00B97993" w14:paraId="603FE73A" w14:textId="29CEC82A">
      <w:pPr>
        <w:spacing w:after="120"/>
      </w:pPr>
      <w:r>
        <w:t>Erstatning gis ikke for tap som er eller vil bli dekket av forsikring, enten ved forsikringsdekning gjennom arbeidsgiver eller forsikring som medarbeideren har tegnet privat. I slike tilfeller erstattes kun eventuell egenandel.</w:t>
      </w:r>
    </w:p>
    <w:p w:rsidR="009D422D" w:rsidP="009D422D" w14:paraId="48056A82" w14:textId="5FE1FFD7">
      <w:pPr>
        <w:spacing w:after="120"/>
      </w:pPr>
      <w:r>
        <w:t xml:space="preserve">Det vises til </w:t>
      </w:r>
      <w:hyperlink r:id="rId6" w:history="1">
        <w:r w:rsidRPr="00A8631E">
          <w:rPr>
            <w:rStyle w:val="Hyperlink"/>
          </w:rPr>
          <w:t>forsikringer for ansatte</w:t>
        </w:r>
      </w:hyperlink>
      <w:r>
        <w:t xml:space="preserve"> for nærmere informasjon om forsikringsordninger for medarbeidere, deriblant yrkesskadeforsikring.</w:t>
      </w:r>
    </w:p>
    <w:p w:rsidR="009D422D" w:rsidP="009D422D" w14:paraId="6E05EB4B" w14:textId="149E3C40">
      <w:pPr>
        <w:spacing w:after="120"/>
      </w:pPr>
      <w:r>
        <w:t>Erstatning kan gis etter søknad. Leder avgjør om erstatning skal utbetales, og i tilfelle med hvilket beløp. Ved vurderingen av om det økonomiske tapet helt eller delvis skal dekkes, tas særlig hensyn til om medarbeideren har utvist alminnelig aktsomhet. Erstatningsutbetalinger dekkes over nivå 2-enhetens driftsbudsjett.</w:t>
      </w:r>
    </w:p>
    <w:p w:rsidR="009D422D" w:rsidP="009D422D" w14:paraId="742097A6" w14:textId="77777777">
      <w:pPr>
        <w:spacing w:after="120"/>
      </w:pPr>
      <w:r>
        <w:rPr>
          <w:color w:val="000000"/>
          <w:shd w:val="clear" w:color="auto" w:fill="FFFFFF"/>
        </w:rPr>
        <w:t>Ved mistanke om tyveri kan leder kontakte personalrådgiver for vurdering av om forholdet skal anmeldes til politiet. </w:t>
      </w:r>
    </w:p>
    <w:p w:rsidR="00DF7BA8" w:rsidRPr="00DF7BA8" w:rsidP="009D422D" w14:paraId="63DB088C" w14:textId="77777777">
      <w:pPr>
        <w:spacing w:after="120" w:line="259" w:lineRule="auto"/>
        <w:rPr>
          <w:rFonts w:cstheme="minorHAnsi"/>
        </w:rPr>
      </w:pPr>
    </w:p>
    <w:p w:rsidR="00510BDF" w:rsidP="00066A58" w14:paraId="63DB088D" w14:textId="77777777">
      <w:pPr>
        <w:pStyle w:val="Heading1"/>
        <w:spacing w:line="259" w:lineRule="auto"/>
      </w:pPr>
      <w:bookmarkStart w:id="8" w:name="_Toc256000006"/>
      <w:r>
        <w:t>Gjennomføring</w:t>
      </w:r>
      <w:bookmarkEnd w:id="8"/>
      <w:r>
        <w:t xml:space="preserve"> </w:t>
      </w:r>
    </w:p>
    <w:p w:rsidR="00510BDF" w:rsidP="009D422D" w14:paraId="63DB088E" w14:textId="280B53FE">
      <w:pPr>
        <w:spacing w:after="120" w:line="259" w:lineRule="auto"/>
      </w:pPr>
      <w:r>
        <w:t>Skade på personlige eiendeler skal rapporteres umiddelbart til nærmeste leder og dokumenteres med bilder eller en beskrivelse av hendelsen. Rapporten skal inneholde informasjon om hvor, når, og hvordan skaden oppstod.</w:t>
      </w:r>
    </w:p>
    <w:p w:rsidR="009D422D" w:rsidP="009D422D" w14:paraId="5EA490EE" w14:textId="64BA61D5">
      <w:pPr>
        <w:spacing w:after="120" w:line="259" w:lineRule="auto"/>
      </w:pPr>
      <w:r>
        <w:t>Medarbeidere</w:t>
      </w:r>
      <w:r>
        <w:t xml:space="preserve"> bør kunne dokumentere at eiendelen tilhører dem og, så langt det er mulig, kunne vise til kvittering eller annen bekreftelse på eiendelens verdi ved kjøpstidspunktet.</w:t>
      </w:r>
    </w:p>
    <w:p w:rsidR="00B97993" w:rsidP="00B97993" w14:paraId="3452C749" w14:textId="77777777">
      <w:pPr>
        <w:spacing w:after="120" w:line="259" w:lineRule="auto"/>
      </w:pPr>
      <w:r>
        <w:t xml:space="preserve">Erstatningsbeløpet skal dekke reparasjon eller erstatning av eiendelen, men ikke overstige den opprinnelige verdien. Erstatningsbeløp over kr 5000 per eiendel kan ikke påregnes, og må vurderes særskilt. </w:t>
      </w:r>
    </w:p>
    <w:p w:rsidR="00F01AEF" w:rsidP="009D422D" w14:paraId="05DE50B3" w14:textId="77777777">
      <w:pPr>
        <w:spacing w:after="120" w:line="259" w:lineRule="auto"/>
      </w:pPr>
    </w:p>
    <w:p w:rsidR="008D4AA7" w:rsidP="00F01AEF" w14:paraId="057B8D57" w14:textId="377E5782">
      <w:pPr>
        <w:pStyle w:val="Heading2"/>
      </w:pPr>
      <w:bookmarkStart w:id="9" w:name="_Toc256000007"/>
      <w:r>
        <w:t>Framgangsmåte:</w:t>
      </w:r>
      <w:bookmarkEnd w:id="9"/>
      <w:r>
        <w:t xml:space="preserve"> </w:t>
      </w:r>
    </w:p>
    <w:p w:rsidR="008D4AA7" w:rsidP="008D4AA7" w14:paraId="16AFC798" w14:textId="709D46E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</w:pPr>
      <w:r>
        <w:t>Hendelsen registreres i synergi.</w:t>
      </w:r>
    </w:p>
    <w:p w:rsidR="008D4AA7" w:rsidP="008D4AA7" w14:paraId="7088DB45" w14:textId="062C9573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</w:pPr>
      <w:r>
        <w:t xml:space="preserve">Leder vurderer om det er utvist alminnelig aktsomhet, eksempelvis om eiendelen som er tapt eller skadet ble oppbevart i tråd med gjeldende retningslinjer. Herunder </w:t>
      </w:r>
      <w:r>
        <w:t xml:space="preserve">kan det også vurderes om tapet er innenfor rimelig kostnadsramme. </w:t>
      </w:r>
      <w:bookmarkStart w:id="10" w:name="_Hlk192253951"/>
      <w:r>
        <w:t>Ved mistanke om tyveri må det vurderes om forholdet skal anmeldes til politiet.</w:t>
      </w:r>
    </w:p>
    <w:bookmarkEnd w:id="10"/>
    <w:p w:rsidR="008D4AA7" w:rsidP="008D4AA7" w14:paraId="4D50EA17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</w:pPr>
      <w:r>
        <w:t xml:space="preserve">Det må avklares at </w:t>
      </w:r>
      <w:r>
        <w:t>forsikring ikke dekker tapet.</w:t>
      </w:r>
    </w:p>
    <w:p w:rsidR="008D4AA7" w:rsidP="008D4AA7" w14:paraId="3431504B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</w:pPr>
      <w:r>
        <w:t xml:space="preserve">Det må kunne framvises dokumentasjon på verdien av eiendelen. Ved skade på eiendel som kan repareres må dokumentasjon på reparasjonskostnader foreligge. </w:t>
      </w:r>
    </w:p>
    <w:p w:rsidR="008D4AA7" w:rsidP="008D4AA7" w14:paraId="62E22237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</w:pPr>
      <w:r>
        <w:t>Leder opplyser om hvilket kostnadssted som skal benyttes for utleggsrefusjon.</w:t>
      </w:r>
    </w:p>
    <w:p w:rsidR="009D422D" w:rsidP="009D422D" w14:paraId="46C75FB9" w14:textId="77777777">
      <w:pPr>
        <w:spacing w:after="120" w:line="259" w:lineRule="auto"/>
        <w:rPr>
          <w:rFonts w:cstheme="minorHAnsi"/>
        </w:rPr>
      </w:pPr>
    </w:p>
    <w:p w:rsidR="00510BDF" w:rsidP="009D422D" w14:paraId="63DB088F" w14:textId="77777777">
      <w:pPr>
        <w:spacing w:after="120" w:line="259" w:lineRule="auto"/>
        <w:rPr>
          <w:rFonts w:cstheme="minorHAnsi"/>
        </w:rPr>
      </w:pPr>
    </w:p>
    <w:p w:rsidR="00510BDF" w:rsidP="00066A58" w14:paraId="63DB0890" w14:textId="77777777">
      <w:pPr>
        <w:pStyle w:val="Heading1"/>
        <w:spacing w:line="259" w:lineRule="auto"/>
      </w:pPr>
      <w:bookmarkStart w:id="11" w:name="_Toc256000008"/>
      <w:r>
        <w:t>Referanser</w:t>
      </w:r>
      <w:bookmarkEnd w:id="11"/>
      <w:r>
        <w:t xml:space="preserve"> </w:t>
      </w:r>
    </w:p>
    <w:p w:rsidR="00DF7BA8" w:rsidP="00066A58" w14:paraId="63DB0891" w14:textId="77777777">
      <w:pPr>
        <w:spacing w:line="259" w:lineRule="auto"/>
        <w:rPr>
          <w:rFonts w:cstheme="minorHAnsi"/>
        </w:rPr>
      </w:pPr>
    </w:p>
    <w:p w:rsidR="00510BDF" w:rsidP="00066A58" w14:paraId="63DB0892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12" w:name="EK_Referanse"/>
            <w:hyperlink r:id="rId5" w:history="1">
              <w:r>
                <w:rPr>
                  <w:b w:val="0"/>
                  <w:color w:val="0000FF"/>
                  <w:u w:val="single"/>
                </w:rPr>
                <w:t>1.1.9-7-01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Hvordan melde arbeidsrelatert skade eller arbeidsrelatert sykdom</w:t>
              </w:r>
            </w:hyperlink>
          </w:p>
        </w:tc>
      </w:tr>
    </w:tbl>
    <w:p w:rsidR="009B041D" w:rsidP="00066A58" w14:paraId="63DB0896" w14:textId="77777777">
      <w:pPr>
        <w:spacing w:line="259" w:lineRule="auto"/>
        <w:rPr>
          <w:rFonts w:cstheme="minorHAnsi"/>
        </w:rPr>
      </w:pPr>
      <w:bookmarkEnd w:id="12"/>
    </w:p>
    <w:p w:rsidR="00510BDF" w:rsidP="00066A58" w14:paraId="63DB0897" w14:textId="77777777">
      <w:pPr>
        <w:spacing w:line="259" w:lineRule="auto"/>
        <w:rPr>
          <w:rFonts w:cstheme="minorHAnsi"/>
        </w:rPr>
      </w:pPr>
    </w:p>
    <w:p w:rsidR="00510BDF" w:rsidP="00066A58" w14:paraId="63DB0898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Eksterne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1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B041D" w:rsidP="00066A58" w14:paraId="63DB089B" w14:textId="77777777">
      <w:pPr>
        <w:spacing w:line="259" w:lineRule="auto"/>
        <w:rPr>
          <w:rFonts w:cstheme="minorHAnsi"/>
        </w:rPr>
      </w:pPr>
      <w:bookmarkEnd w:id="13"/>
    </w:p>
    <w:p w:rsidR="009D023B" w:rsidP="00066A58" w14:paraId="63DB089C" w14:textId="77777777">
      <w:pPr>
        <w:spacing w:line="259" w:lineRule="auto"/>
      </w:pPr>
    </w:p>
    <w:p w:rsidR="00DF7BA8" w:rsidP="00066A58" w14:paraId="63DB089D" w14:textId="77777777">
      <w:pPr>
        <w:spacing w:line="259" w:lineRule="auto"/>
      </w:pPr>
    </w:p>
    <w:p w:rsidR="00935DE6" w:rsidP="00066A58" w14:paraId="63DB089E" w14:textId="77777777">
      <w:pPr>
        <w:pStyle w:val="Heading1"/>
        <w:spacing w:line="259" w:lineRule="auto"/>
      </w:pPr>
      <w:bookmarkStart w:id="14" w:name="_Toc256000009"/>
      <w:r>
        <w:t>Forankring</w:t>
      </w:r>
      <w:bookmarkEnd w:id="14"/>
    </w:p>
    <w:p w:rsidR="00935DE6" w:rsidP="00066A58" w14:paraId="63DB089F" w14:textId="1844D8C8">
      <w:pPr>
        <w:spacing w:line="259" w:lineRule="auto"/>
      </w:pPr>
      <w:r>
        <w:t xml:space="preserve">Retningslinjen </w:t>
      </w:r>
      <w:r w:rsidR="00CE26F7">
        <w:t xml:space="preserve">ble lagt fram for foretakstillitsvalgte og foretaksverneombud </w:t>
      </w:r>
      <w:r>
        <w:t xml:space="preserve">i informasjons- og drøftingsmøte </w:t>
      </w:r>
      <w:r w:rsidR="00CE26F7">
        <w:t xml:space="preserve">13. februar 2025. Foretaksledelsen besluttet 2. april 2025 at retningslinjen skulle </w:t>
      </w:r>
      <w:r w:rsidR="000776E5">
        <w:t>tas i bruk</w:t>
      </w:r>
      <w:r w:rsidR="00CE26F7">
        <w:t xml:space="preserve">. </w:t>
      </w:r>
    </w:p>
    <w:p w:rsidR="002C6DCD" w:rsidP="00066A58" w14:paraId="212EFE15" w14:textId="77777777">
      <w:pPr>
        <w:spacing w:line="259" w:lineRule="auto"/>
      </w:pPr>
    </w:p>
    <w:p w:rsidR="002C6DCD" w:rsidRPr="009D023B" w:rsidP="00066A58" w14:paraId="7ED25303" w14:textId="77777777">
      <w:pPr>
        <w:spacing w:line="259" w:lineRule="auto"/>
      </w:pPr>
    </w:p>
    <w:p w:rsidR="009D023B" w:rsidRPr="005F0E8F" w:rsidP="00066A58" w14:paraId="63DB08A0" w14:textId="77777777">
      <w:pPr>
        <w:pStyle w:val="Heading1"/>
        <w:spacing w:line="259" w:lineRule="auto"/>
      </w:pPr>
      <w:bookmarkStart w:id="15" w:name="_Toc256000010"/>
      <w:r w:rsidRPr="005F0E8F">
        <w:t>Endringer siden forrige versjon</w:t>
      </w:r>
      <w:bookmarkEnd w:id="15"/>
    </w:p>
    <w:p w:rsidR="009D023B" w:rsidP="00066A58" w14:paraId="63DB08A1" w14:textId="77777777">
      <w:pPr>
        <w:spacing w:line="259" w:lineRule="auto"/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[]</w:t>
      </w:r>
      <w:r>
        <w:rPr>
          <w:rFonts w:cstheme="minorHAnsi"/>
          <w:color w:val="000080"/>
        </w:rPr>
        <w:fldChar w:fldCharType="end"/>
      </w:r>
    </w:p>
    <w:p w:rsidR="009D023B" w:rsidRPr="00E754D7" w:rsidP="00066A58" w14:paraId="63DB08A2" w14:textId="77777777">
      <w:pPr>
        <w:spacing w:line="259" w:lineRule="auto"/>
        <w:rPr>
          <w:rFonts w:cstheme="minorHAnsi"/>
          <w:color w:val="000080"/>
        </w:rPr>
      </w:pPr>
    </w:p>
    <w:sectPr w:rsidSect="00D03E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63DB08AB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63DB08A9" w14:textId="16D15031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1664121462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65B21" w:rsidRPr="00D65B21" w:rsidP="00D65B21" w14:paraId="37A6461B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D65B2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D65B21" w:rsidRPr="00D65B21" w:rsidP="00D65B21" w14:paraId="3B15994C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65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63DB08AA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1.1.16.7.4-12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63DB08AC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63DB08B1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63DB08AD" w14:textId="08042FE0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209014058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65B21" w:rsidRPr="00D65B21" w:rsidP="00D65B2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D65B2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 xml:space="preserve">Følsomhet </w:t>
                                </w:r>
                                <w:r w:rsidRPr="00D65B2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-text-anchor:bottom;z-index:251660288" filled="f" fillcolor="this" stroked="f">
                    <v:textbox style="mso-fit-shape-to-text:t" inset="20pt,0,0,15pt">
                      <w:txbxContent>
                        <w:p w:rsidR="00D65B21" w:rsidRPr="00D65B21" w:rsidP="00D65B21" w14:paraId="1F5BD87F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65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Følsomhet </w:t>
                          </w:r>
                          <w:r w:rsidRPr="00D65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D80361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63DB08AE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1.1.16.7.4-12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63DB08AF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63DB08B0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3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63DB08B2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63DB08C6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63DB08C3" w14:textId="5AF6581C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270" b="0"/>
                    <wp:wrapNone/>
                    <wp:docPr id="1969676397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65B21" w:rsidRPr="00D65B21" w:rsidP="00D65B21" w14:paraId="0C6E92A7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D65B2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1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2336" filled="f" stroked="f">
                    <v:textbox style="mso-fit-shape-to-text:t" inset="20pt,0,0,15pt">
                      <w:txbxContent>
                        <w:p w:rsidR="00D65B21" w:rsidRPr="00D65B21" w:rsidP="00D65B21" w14:paraId="224AA3C8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65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1.1.16.7.4-12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63DB08C4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63DB08C5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63DB08C7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63DB08A3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63DB08A7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63DB08A4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Tap av eller skade på ansattes (personlige) eiendeler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63DB08A5" w14:textId="77777777">
          <w:pPr>
            <w:pStyle w:val="Header"/>
            <w:jc w:val="left"/>
            <w:rPr>
              <w:sz w:val="12"/>
            </w:rPr>
          </w:pPr>
        </w:p>
        <w:p w:rsidR="00485214" w14:paraId="63DB08A6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63DB08A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63DB08B5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63DB08B3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63DB08B4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Tap av eller skade på ansattes (personlige) eiendeler</w:t>
          </w:r>
          <w:r>
            <w:rPr>
              <w:sz w:val="28"/>
            </w:rPr>
            <w:fldChar w:fldCharType="end"/>
          </w:r>
        </w:p>
      </w:tc>
    </w:tr>
    <w:tr w14:paraId="63DB08B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63DB08B6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Ledelse og styringssystem/Personal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63DB08B7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07.04.2025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07.04.2026</w:t>
          </w:r>
          <w:r>
            <w:rPr>
              <w:color w:val="000080"/>
              <w:sz w:val="16"/>
            </w:rPr>
            <w:fldChar w:fldCharType="end"/>
          </w:r>
        </w:p>
      </w:tc>
    </w:tr>
    <w:tr w14:paraId="63DB08BB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63DB08B9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HF/Fellesdokumenter/Ledelse og styringssystem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63DB08BA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63DB08BE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63DB08BC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Bua, Ingvild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63DB08BD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63DB08C1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63DB08BF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[]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63DB08C0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D80361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63DB08C2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0F47A5D"/>
    <w:multiLevelType w:val="hybridMultilevel"/>
    <w:tmpl w:val="4F409C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76A90"/>
    <w:multiLevelType w:val="multilevel"/>
    <w:tmpl w:val="422E580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B61FC2"/>
    <w:multiLevelType w:val="multilevel"/>
    <w:tmpl w:val="37E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6961CA"/>
    <w:multiLevelType w:val="hybridMultilevel"/>
    <w:tmpl w:val="8CE83E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7512AC"/>
    <w:multiLevelType w:val="multilevel"/>
    <w:tmpl w:val="E572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721232">
    <w:abstractNumId w:val="10"/>
  </w:num>
  <w:num w:numId="2" w16cid:durableId="1316302171">
    <w:abstractNumId w:val="8"/>
  </w:num>
  <w:num w:numId="3" w16cid:durableId="270010558">
    <w:abstractNumId w:val="3"/>
  </w:num>
  <w:num w:numId="4" w16cid:durableId="74791545">
    <w:abstractNumId w:val="2"/>
  </w:num>
  <w:num w:numId="5" w16cid:durableId="1507017705">
    <w:abstractNumId w:val="1"/>
  </w:num>
  <w:num w:numId="6" w16cid:durableId="1452432756">
    <w:abstractNumId w:val="0"/>
  </w:num>
  <w:num w:numId="7" w16cid:durableId="502858084">
    <w:abstractNumId w:val="9"/>
  </w:num>
  <w:num w:numId="8" w16cid:durableId="723019851">
    <w:abstractNumId w:val="7"/>
  </w:num>
  <w:num w:numId="9" w16cid:durableId="1292243480">
    <w:abstractNumId w:val="6"/>
  </w:num>
  <w:num w:numId="10" w16cid:durableId="615260747">
    <w:abstractNumId w:val="5"/>
  </w:num>
  <w:num w:numId="11" w16cid:durableId="1519850211">
    <w:abstractNumId w:val="4"/>
  </w:num>
  <w:num w:numId="12" w16cid:durableId="1028995074">
    <w:abstractNumId w:val="11"/>
  </w:num>
  <w:num w:numId="13" w16cid:durableId="335348811">
    <w:abstractNumId w:val="15"/>
  </w:num>
  <w:num w:numId="14" w16cid:durableId="1636831735">
    <w:abstractNumId w:val="19"/>
  </w:num>
  <w:num w:numId="15" w16cid:durableId="351608190">
    <w:abstractNumId w:val="20"/>
  </w:num>
  <w:num w:numId="16" w16cid:durableId="1152605246">
    <w:abstractNumId w:val="13"/>
  </w:num>
  <w:num w:numId="17" w16cid:durableId="1891190025">
    <w:abstractNumId w:val="13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1285960802">
    <w:abstractNumId w:val="14"/>
  </w:num>
  <w:num w:numId="19" w16cid:durableId="1724056363">
    <w:abstractNumId w:val="18"/>
  </w:num>
  <w:num w:numId="20" w16cid:durableId="1435784693">
    <w:abstractNumId w:val="17"/>
  </w:num>
  <w:num w:numId="21" w16cid:durableId="1598177124">
    <w:abstractNumId w:val="12"/>
  </w:num>
  <w:num w:numId="22" w16cid:durableId="4056184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14120"/>
    <w:rsid w:val="00020754"/>
    <w:rsid w:val="000354A8"/>
    <w:rsid w:val="00042992"/>
    <w:rsid w:val="00050E94"/>
    <w:rsid w:val="0005214E"/>
    <w:rsid w:val="00056D52"/>
    <w:rsid w:val="00066A58"/>
    <w:rsid w:val="00067C31"/>
    <w:rsid w:val="00076677"/>
    <w:rsid w:val="000776E5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7B81"/>
    <w:rsid w:val="00117E18"/>
    <w:rsid w:val="00140619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A69DF"/>
    <w:rsid w:val="001B1D43"/>
    <w:rsid w:val="001B37A6"/>
    <w:rsid w:val="001C094A"/>
    <w:rsid w:val="001C5288"/>
    <w:rsid w:val="001E1DBA"/>
    <w:rsid w:val="001F43D4"/>
    <w:rsid w:val="001F7E88"/>
    <w:rsid w:val="0020110C"/>
    <w:rsid w:val="00203F1E"/>
    <w:rsid w:val="00227AF8"/>
    <w:rsid w:val="00231DC5"/>
    <w:rsid w:val="00241F65"/>
    <w:rsid w:val="00246C9E"/>
    <w:rsid w:val="002744C3"/>
    <w:rsid w:val="00281B8D"/>
    <w:rsid w:val="00284EBB"/>
    <w:rsid w:val="00291CD7"/>
    <w:rsid w:val="002A4A07"/>
    <w:rsid w:val="002A791D"/>
    <w:rsid w:val="002B1F3C"/>
    <w:rsid w:val="002C6DCD"/>
    <w:rsid w:val="002D0738"/>
    <w:rsid w:val="002F5A32"/>
    <w:rsid w:val="00304B15"/>
    <w:rsid w:val="00311019"/>
    <w:rsid w:val="00312D39"/>
    <w:rsid w:val="003403C0"/>
    <w:rsid w:val="00360258"/>
    <w:rsid w:val="00362B96"/>
    <w:rsid w:val="00381C00"/>
    <w:rsid w:val="00387597"/>
    <w:rsid w:val="00390056"/>
    <w:rsid w:val="00393223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C6890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93B1B"/>
    <w:rsid w:val="00697362"/>
    <w:rsid w:val="006B1529"/>
    <w:rsid w:val="006B2158"/>
    <w:rsid w:val="006B269A"/>
    <w:rsid w:val="006C17D9"/>
    <w:rsid w:val="006C735A"/>
    <w:rsid w:val="006D2D97"/>
    <w:rsid w:val="006D3A08"/>
    <w:rsid w:val="006D57BF"/>
    <w:rsid w:val="006E06DD"/>
    <w:rsid w:val="006E2A16"/>
    <w:rsid w:val="006E4AAC"/>
    <w:rsid w:val="006E5645"/>
    <w:rsid w:val="006F6255"/>
    <w:rsid w:val="00707B83"/>
    <w:rsid w:val="00713D7C"/>
    <w:rsid w:val="00727E6C"/>
    <w:rsid w:val="007367F2"/>
    <w:rsid w:val="0078621E"/>
    <w:rsid w:val="00793756"/>
    <w:rsid w:val="00797358"/>
    <w:rsid w:val="007A6C15"/>
    <w:rsid w:val="007C3E55"/>
    <w:rsid w:val="007E4125"/>
    <w:rsid w:val="0080313B"/>
    <w:rsid w:val="00806640"/>
    <w:rsid w:val="008078AB"/>
    <w:rsid w:val="00820775"/>
    <w:rsid w:val="00820B61"/>
    <w:rsid w:val="008361CD"/>
    <w:rsid w:val="0083739B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D4AA7"/>
    <w:rsid w:val="008E4C99"/>
    <w:rsid w:val="008E56A7"/>
    <w:rsid w:val="008F30D5"/>
    <w:rsid w:val="00903623"/>
    <w:rsid w:val="009039EB"/>
    <w:rsid w:val="00905B0B"/>
    <w:rsid w:val="00907122"/>
    <w:rsid w:val="00907500"/>
    <w:rsid w:val="00907ABE"/>
    <w:rsid w:val="0091692D"/>
    <w:rsid w:val="00934CBF"/>
    <w:rsid w:val="00935DE6"/>
    <w:rsid w:val="00940FC5"/>
    <w:rsid w:val="009456D0"/>
    <w:rsid w:val="009506D3"/>
    <w:rsid w:val="00963180"/>
    <w:rsid w:val="00964121"/>
    <w:rsid w:val="00970B24"/>
    <w:rsid w:val="00982D38"/>
    <w:rsid w:val="00997B94"/>
    <w:rsid w:val="009A2EB0"/>
    <w:rsid w:val="009B041D"/>
    <w:rsid w:val="009B19A9"/>
    <w:rsid w:val="009C4431"/>
    <w:rsid w:val="009C6E05"/>
    <w:rsid w:val="009C74B3"/>
    <w:rsid w:val="009D023B"/>
    <w:rsid w:val="009D072D"/>
    <w:rsid w:val="009D4154"/>
    <w:rsid w:val="009D422D"/>
    <w:rsid w:val="009E0D59"/>
    <w:rsid w:val="009E1AE8"/>
    <w:rsid w:val="009F7668"/>
    <w:rsid w:val="00A17D23"/>
    <w:rsid w:val="00A271A9"/>
    <w:rsid w:val="00A3019C"/>
    <w:rsid w:val="00A43AE5"/>
    <w:rsid w:val="00A55D47"/>
    <w:rsid w:val="00A577D4"/>
    <w:rsid w:val="00A63587"/>
    <w:rsid w:val="00A750E4"/>
    <w:rsid w:val="00A75A8B"/>
    <w:rsid w:val="00A8631E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43FD"/>
    <w:rsid w:val="00AF5DDC"/>
    <w:rsid w:val="00AF6094"/>
    <w:rsid w:val="00B02D46"/>
    <w:rsid w:val="00B02D6D"/>
    <w:rsid w:val="00B218AB"/>
    <w:rsid w:val="00B21CB1"/>
    <w:rsid w:val="00B236DD"/>
    <w:rsid w:val="00B24A00"/>
    <w:rsid w:val="00B46418"/>
    <w:rsid w:val="00B55A8A"/>
    <w:rsid w:val="00B66039"/>
    <w:rsid w:val="00B803E3"/>
    <w:rsid w:val="00B900D2"/>
    <w:rsid w:val="00B93E10"/>
    <w:rsid w:val="00B97993"/>
    <w:rsid w:val="00BC3FD8"/>
    <w:rsid w:val="00BC5853"/>
    <w:rsid w:val="00BD6D72"/>
    <w:rsid w:val="00BE48E2"/>
    <w:rsid w:val="00BF6B78"/>
    <w:rsid w:val="00C071DF"/>
    <w:rsid w:val="00C24BA6"/>
    <w:rsid w:val="00C40A3A"/>
    <w:rsid w:val="00C4283A"/>
    <w:rsid w:val="00C450FE"/>
    <w:rsid w:val="00C47D6B"/>
    <w:rsid w:val="00C5222B"/>
    <w:rsid w:val="00C674F8"/>
    <w:rsid w:val="00C72834"/>
    <w:rsid w:val="00C81FA3"/>
    <w:rsid w:val="00C836EE"/>
    <w:rsid w:val="00C84942"/>
    <w:rsid w:val="00C962F9"/>
    <w:rsid w:val="00C97AFA"/>
    <w:rsid w:val="00CA0ECF"/>
    <w:rsid w:val="00CA2891"/>
    <w:rsid w:val="00CB3EB0"/>
    <w:rsid w:val="00CB523D"/>
    <w:rsid w:val="00CC6044"/>
    <w:rsid w:val="00CD6C43"/>
    <w:rsid w:val="00CE26F7"/>
    <w:rsid w:val="00CE5024"/>
    <w:rsid w:val="00CF2E4A"/>
    <w:rsid w:val="00CF59DF"/>
    <w:rsid w:val="00D013CC"/>
    <w:rsid w:val="00D03EED"/>
    <w:rsid w:val="00D13046"/>
    <w:rsid w:val="00D24DC1"/>
    <w:rsid w:val="00D26789"/>
    <w:rsid w:val="00D320CC"/>
    <w:rsid w:val="00D36983"/>
    <w:rsid w:val="00D36A2D"/>
    <w:rsid w:val="00D40E94"/>
    <w:rsid w:val="00D4374F"/>
    <w:rsid w:val="00D53A2C"/>
    <w:rsid w:val="00D65B21"/>
    <w:rsid w:val="00D7283E"/>
    <w:rsid w:val="00D8507D"/>
    <w:rsid w:val="00D948F4"/>
    <w:rsid w:val="00D95FB8"/>
    <w:rsid w:val="00DA0D76"/>
    <w:rsid w:val="00DB372D"/>
    <w:rsid w:val="00DB6204"/>
    <w:rsid w:val="00DD1C72"/>
    <w:rsid w:val="00DD1D2F"/>
    <w:rsid w:val="00DD2FE1"/>
    <w:rsid w:val="00DD7CFF"/>
    <w:rsid w:val="00DE2C1F"/>
    <w:rsid w:val="00DF28C4"/>
    <w:rsid w:val="00DF7BA8"/>
    <w:rsid w:val="00E023CD"/>
    <w:rsid w:val="00E033C9"/>
    <w:rsid w:val="00E04941"/>
    <w:rsid w:val="00E0610C"/>
    <w:rsid w:val="00E268CB"/>
    <w:rsid w:val="00E30F00"/>
    <w:rsid w:val="00E3168F"/>
    <w:rsid w:val="00E33977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01AEF"/>
    <w:rsid w:val="00F166F5"/>
    <w:rsid w:val="00F16CEA"/>
    <w:rsid w:val="00F24469"/>
    <w:rsid w:val="00F43A32"/>
    <w:rsid w:val="00F46524"/>
    <w:rsid w:val="00F53508"/>
    <w:rsid w:val="00F631D7"/>
    <w:rsid w:val="00F712A2"/>
    <w:rsid w:val="00F8392F"/>
    <w:rsid w:val="00F877F8"/>
    <w:rsid w:val="00F958D6"/>
    <w:rsid w:val="00F96CF3"/>
    <w:rsid w:val="00FB090D"/>
    <w:rsid w:val="00FB2EC4"/>
    <w:rsid w:val="00FB3861"/>
    <w:rsid w:val="00FB65FD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[]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DB087A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40D7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9D422D"/>
    <w:pPr>
      <w:numPr>
        <w:ilvl w:val="1"/>
        <w:numId w:val="16"/>
      </w:numPr>
      <w:ind w:left="397" w:hanging="397"/>
      <w:outlineLvl w:val="1"/>
    </w:pPr>
    <w:rPr>
      <w:b/>
      <w:bCs/>
    </w:r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C4431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unhideWhenUsed/>
    <w:rsid w:val="009C4431"/>
    <w:pPr>
      <w:spacing w:after="120" w:line="360" w:lineRule="auto"/>
    </w:pPr>
    <w:rPr>
      <w:rFonts w:ascii="Calibri" w:hAnsi="Calibri" w:eastAsiaTheme="minorHAnsi" w:cs="Calibri"/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rsid w:val="009C4431"/>
    <w:rPr>
      <w:rFonts w:ascii="Calibri" w:hAnsi="Calibri" w:eastAsiaTheme="minorHAnsi" w:cs="Calibri"/>
    </w:rPr>
  </w:style>
  <w:style w:type="paragraph" w:styleId="CommentSubject">
    <w:name w:val="annotation subject"/>
    <w:basedOn w:val="CommentText"/>
    <w:next w:val="CommentText"/>
    <w:link w:val="KommentaremneTegn"/>
    <w:semiHidden/>
    <w:unhideWhenUsed/>
    <w:rsid w:val="00B97993"/>
    <w:pPr>
      <w:spacing w:after="0" w:line="240" w:lineRule="auto"/>
    </w:pPr>
    <w:rPr>
      <w:rFonts w:eastAsia="Times New Roman" w:asciiTheme="minorHAnsi" w:hAnsiTheme="minorHAnsi" w:cs="Times New Roman"/>
      <w:b/>
      <w:bCs/>
    </w:rPr>
  </w:style>
  <w:style w:type="character" w:customStyle="1" w:styleId="KommentaremneTegn">
    <w:name w:val="Kommentaremne Tegn"/>
    <w:basedOn w:val="MerknadstekstTegn"/>
    <w:link w:val="CommentSubject"/>
    <w:semiHidden/>
    <w:rsid w:val="00B97993"/>
    <w:rPr>
      <w:rFonts w:asciiTheme="minorHAnsi" w:eastAsiaTheme="minorHAnsi" w:hAnsiTheme="minorHAns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helse-bergen.no/docs/pub/DOK17482.htm" TargetMode="External" /><Relationship Id="rId6" Type="http://schemas.openxmlformats.org/officeDocument/2006/relationships/hyperlink" Target="https://helsevest.sharepoint.com/sites/HBE-intranett-Lonn-Arbeidstid-Pensjon-Forsikring/SitePages/Forsikring.aspx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0F3454-3636-49E1-8C9B-0BFA4D619C43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284</TotalTime>
  <Pages>3</Pages>
  <Words>610</Words>
  <Characters>4811</Characters>
  <Application>Microsoft Office Word</Application>
  <DocSecurity>0</DocSecurity>
  <Lines>40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Tap av eller skade på ansattes (personlige) eiendeler</vt:lpstr>
      <vt:lpstr>HBHF-mal - stående</vt:lpstr>
    </vt:vector>
  </TitlesOfParts>
  <Company>Datakvalitet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av eller skade på ansattes (personlige) eiendeler</dc:title>
  <dc:subject>000302|[RefNr]|</dc:subject>
  <dc:creator>Handbok</dc:creator>
  <cp:lastModifiedBy>Hauge, Stine</cp:lastModifiedBy>
  <cp:revision>14</cp:revision>
  <cp:lastPrinted>2006-09-07T08:52:00Z</cp:lastPrinted>
  <dcterms:created xsi:type="dcterms:W3CDTF">2021-12-08T08:43:00Z</dcterms:created>
  <dcterms:modified xsi:type="dcterms:W3CDTF">2025-04-03T12:29:00Z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7566e06d,63307a76,7c9503a5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Tap av eller skade på ansattes (personlige) eiendeler</vt:lpwstr>
  </property>
  <property fmtid="{D5CDD505-2E9C-101B-9397-08002B2CF9AE}" pid="7" name="EK_DokType">
    <vt:lpwstr>Retningslinje</vt:lpwstr>
  </property>
  <property fmtid="{D5CDD505-2E9C-101B-9397-08002B2CF9AE}" pid="8" name="EK_DokumentID">
    <vt:lpwstr>D80361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07.04.2025</vt:lpwstr>
  </property>
  <property fmtid="{D5CDD505-2E9C-101B-9397-08002B2CF9AE}" pid="11" name="EK_GjelderTil">
    <vt:lpwstr>07.04.2026</vt:lpwstr>
  </property>
  <property fmtid="{D5CDD505-2E9C-101B-9397-08002B2CF9AE}" pid="12" name="EK_Merknad">
    <vt:lpwstr>[Merknad]</vt:lpwstr>
  </property>
  <property fmtid="{D5CDD505-2E9C-101B-9397-08002B2CF9AE}" pid="13" name="EK_RefNr">
    <vt:lpwstr>1.1.16.7.4-12</vt:lpwstr>
  </property>
  <property fmtid="{D5CDD505-2E9C-101B-9397-08002B2CF9AE}" pid="14" name="EK_S00MT1">
    <vt:lpwstr>Helse Bergen HF/Fellesdokumenter/Ledelse og styringssystem</vt:lpwstr>
  </property>
  <property fmtid="{D5CDD505-2E9C-101B-9397-08002B2CF9AE}" pid="15" name="EK_S01MT3">
    <vt:lpwstr>Ledelse og styringssystem/Personal</vt:lpwstr>
  </property>
  <property fmtid="{D5CDD505-2E9C-101B-9397-08002B2CF9AE}" pid="16" name="EK_Signatur">
    <vt:lpwstr>Bua, Ingvild</vt:lpwstr>
  </property>
  <property fmtid="{D5CDD505-2E9C-101B-9397-08002B2CF9AE}" pid="17" name="EK_UText1">
    <vt:lpwstr>[]</vt:lpwstr>
  </property>
  <property fmtid="{D5CDD505-2E9C-101B-9397-08002B2CF9AE}" pid="18" name="EK_Utgave">
    <vt:lpwstr>1.00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ed875063-d5b0-471c-814b-8f5fd40472ec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2024-11-18T09:25:53Z</vt:lpwstr>
  </property>
  <property fmtid="{D5CDD505-2E9C-101B-9397-08002B2CF9AE}" pid="26" name="MSIP_Label_0c3ffc1c-ef00-4620-9c2f-7d9c1597774b_SiteId">
    <vt:lpwstr>bdcbe535-f3cf-49f5-8a6a-fb6d98dc7837</vt:lpwstr>
  </property>
  <property fmtid="{D5CDD505-2E9C-101B-9397-08002B2CF9AE}" pid="27" name="XD17482">
    <vt:lpwstr>1.1.9-7-01</vt:lpwstr>
  </property>
  <property fmtid="{D5CDD505-2E9C-101B-9397-08002B2CF9AE}" pid="28" name="XDF17482">
    <vt:lpwstr>Hvordan melde arbeidsrelatert skade eller arbeidsrelatert sykdom</vt:lpwstr>
  </property>
  <property fmtid="{D5CDD505-2E9C-101B-9397-08002B2CF9AE}" pid="29" name="XDL17482">
    <vt:lpwstr>1.1.9-7-01 Hvordan melde arbeidsrelatert skade eller arbeidsrelatert sykdom</vt:lpwstr>
  </property>
  <property fmtid="{D5CDD505-2E9C-101B-9397-08002B2CF9AE}" pid="30" name="XDT17482">
    <vt:lpwstr>Hvordan melde arbeidsrelatert skade eller arbeidsrelatert sykdom</vt:lpwstr>
  </property>
</Properties>
</file>