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37670129" w:rsidP="00B71C00" w14:paraId="54A22EB9" w14:textId="3F8565CD">
      <w:pPr>
        <w:pStyle w:val="Heading2"/>
        <w:rPr>
          <w:sz w:val="40"/>
          <w:szCs w:val="40"/>
          <w:lang w:val="nb-N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5014986</wp:posOffset>
            </wp:positionH>
            <wp:positionV relativeFrom="paragraph">
              <wp:posOffset>-140726</wp:posOffset>
            </wp:positionV>
            <wp:extent cx="829945" cy="829945"/>
            <wp:effectExtent l="0" t="0" r="8255" b="8255"/>
            <wp:wrapNone/>
            <wp:docPr id="3074" name="Picture 2" descr="Behandlingshjelpemidler.no – Spesialisthelsetjenester i hjemmet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128E1D56-5B6C-15A8-8FAE-1031A11D804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Behandlingshjelpemidler.no – Spesialisthelsetjenester i hjemmet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128E1D56-5B6C-15A8-8FAE-1031A11D804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829945"/>
                    </a:xfrm>
                    <a:prstGeom prst="ellipse">
                      <a:avLst/>
                    </a:prstGeom>
                    <a:noFill/>
                    <a:effectLst>
                      <a:softEdge rad="31750"/>
                    </a:effectLst>
                    <a:extLst>
                      <a:ext xmlns:a="http://schemas.openxmlformats.org/drawingml/2006/main"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DC7733">
        <w:rPr>
          <w:sz w:val="40"/>
          <w:szCs w:val="40"/>
          <w:lang w:val="nb-NO"/>
        </w:rPr>
        <w:t>Prinsipper ved dosep</w:t>
      </w:r>
      <w:r w:rsidR="00A75151">
        <w:rPr>
          <w:sz w:val="40"/>
          <w:szCs w:val="40"/>
          <w:lang w:val="nb-NO"/>
        </w:rPr>
        <w:t>lanlegging</w:t>
      </w:r>
    </w:p>
    <w:p w:rsidR="00B71C00" w:rsidRPr="00B71C00" w:rsidP="00B71C00" w14:paraId="66B4135F" w14:textId="77777777">
      <w:pPr>
        <w:rPr>
          <w:lang w:val="nb-NO"/>
        </w:rPr>
      </w:pPr>
    </w:p>
    <w:p w:rsidR="53159C1A" w:rsidP="37670129" w14:paraId="5005EA68" w14:textId="638D1899">
      <w:pPr>
        <w:pStyle w:val="Heading2"/>
        <w:rPr>
          <w:lang w:val="nb-NO"/>
        </w:rPr>
      </w:pPr>
      <w:r w:rsidRPr="37670129">
        <w:rPr>
          <w:lang w:val="nb-NO"/>
        </w:rPr>
        <w:t>Læringsmål</w:t>
      </w:r>
    </w:p>
    <w:p w:rsidR="37670129" w:rsidRPr="006A7689" w:rsidP="37670129" w14:paraId="1CA4EDB9" w14:textId="5548E617">
      <w:pPr>
        <w:spacing w:after="0" w:line="240" w:lineRule="auto"/>
        <w:rPr>
          <w:rFonts w:eastAsia="Times New Roman" w:cs="Arial"/>
          <w:lang w:val="nb-NO" w:eastAsia="nb-NO"/>
        </w:rPr>
      </w:pPr>
    </w:p>
    <w:p w:rsidR="00666748" w:rsidRPr="00666748" w:rsidP="00666748" w14:paraId="0FE737BC" w14:textId="53755B73">
      <w:pPr>
        <w:spacing w:after="0" w:line="240" w:lineRule="auto"/>
        <w:rPr>
          <w:rFonts w:eastAsia="Times New Roman" w:cs="Arial"/>
          <w:b/>
          <w:bCs/>
          <w:lang w:val="nb-NO" w:eastAsia="nb-NO"/>
        </w:rPr>
      </w:pPr>
      <w:r>
        <w:rPr>
          <w:rFonts w:eastAsia="Times New Roman" w:cs="Arial"/>
          <w:b/>
          <w:bCs/>
          <w:lang w:val="nb-NO" w:eastAsia="nb-NO"/>
        </w:rPr>
        <w:t>Prinsipper for doseplanlegging med protoner</w:t>
      </w:r>
    </w:p>
    <w:p w:rsidR="0047071C" w:rsidP="00041175" w14:paraId="6A2DF6B6" w14:textId="605CC8E7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lang w:val="nb-NO" w:eastAsia="nb-NO"/>
        </w:rPr>
      </w:pPr>
      <w:r w:rsidRPr="0047071C">
        <w:rPr>
          <w:rFonts w:eastAsia="Times New Roman" w:cs="Arial"/>
          <w:lang w:val="nb-NO" w:eastAsia="nb-NO"/>
        </w:rPr>
        <w:t>Kjenne til ulike prinsipper for praktisk gjennomføring av protonplanlegging (flere felt, usikkerhet, tidsbruk etc</w:t>
      </w:r>
      <w:r>
        <w:rPr>
          <w:rFonts w:eastAsia="Times New Roman" w:cs="Arial"/>
          <w:lang w:val="nb-NO" w:eastAsia="nb-NO"/>
        </w:rPr>
        <w:t>.</w:t>
      </w:r>
      <w:r w:rsidRPr="0047071C">
        <w:rPr>
          <w:rFonts w:eastAsia="Times New Roman" w:cs="Arial"/>
          <w:lang w:val="nb-NO" w:eastAsia="nb-NO"/>
        </w:rPr>
        <w:t>)</w:t>
      </w:r>
      <w:r>
        <w:rPr>
          <w:rFonts w:eastAsia="Times New Roman" w:cs="Arial"/>
          <w:lang w:val="nb-NO" w:eastAsia="nb-NO"/>
        </w:rPr>
        <w:t>.</w:t>
      </w:r>
    </w:p>
    <w:p w:rsidR="0047071C" w:rsidP="00041175" w14:paraId="74C12E26" w14:textId="77777777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lang w:val="nb-NO" w:eastAsia="nb-NO"/>
        </w:rPr>
      </w:pPr>
      <w:r w:rsidRPr="0047071C">
        <w:rPr>
          <w:rFonts w:eastAsia="Times New Roman" w:cs="Arial"/>
          <w:lang w:val="nb-NO" w:eastAsia="nb-NO"/>
        </w:rPr>
        <w:t xml:space="preserve"> Forstå hvorfor man velger ulike feltoppsett og hvilke usikkerheter som kan oppstå i forhold til feltarrangement. </w:t>
      </w:r>
    </w:p>
    <w:p w:rsidR="0047071C" w:rsidP="00041175" w14:paraId="4FDC1508" w14:textId="77777777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lang w:val="nb-NO" w:eastAsia="nb-NO"/>
        </w:rPr>
      </w:pPr>
      <w:r w:rsidRPr="0047071C">
        <w:rPr>
          <w:rFonts w:eastAsia="Times New Roman" w:cs="Arial"/>
          <w:lang w:val="nb-NO" w:eastAsia="nb-NO"/>
        </w:rPr>
        <w:t xml:space="preserve">Forstå hva som påvirker rekkeviddeusikkerhet (oppfylling av luftkavitet, endring i </w:t>
      </w:r>
      <w:r w:rsidRPr="0047071C">
        <w:rPr>
          <w:rFonts w:eastAsia="Times New Roman" w:cs="Arial"/>
          <w:lang w:val="nb-NO" w:eastAsia="nb-NO"/>
        </w:rPr>
        <w:t>setup</w:t>
      </w:r>
      <w:r w:rsidRPr="0047071C">
        <w:rPr>
          <w:rFonts w:eastAsia="Times New Roman" w:cs="Arial"/>
          <w:lang w:val="nb-NO" w:eastAsia="nb-NO"/>
        </w:rPr>
        <w:t xml:space="preserve">, heterogeniteter i vev). </w:t>
      </w:r>
    </w:p>
    <w:p w:rsidR="006A7689" w:rsidP="00041175" w14:paraId="131B4E86" w14:textId="32144D09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lang w:val="nb-NO" w:eastAsia="nb-NO"/>
        </w:rPr>
      </w:pPr>
      <w:r w:rsidRPr="0047071C">
        <w:rPr>
          <w:rFonts w:eastAsia="Times New Roman" w:cs="Arial"/>
          <w:lang w:val="nb-NO" w:eastAsia="nb-NO"/>
        </w:rPr>
        <w:t xml:space="preserve">Forstå hva som gjør en plan ikke gjennomførbar. </w:t>
      </w:r>
    </w:p>
    <w:p w:rsidR="0047071C" w:rsidP="0047071C" w14:paraId="5E707488" w14:textId="77777777">
      <w:pPr>
        <w:spacing w:after="0" w:line="240" w:lineRule="auto"/>
        <w:rPr>
          <w:rFonts w:eastAsia="Times New Roman" w:cs="Arial"/>
          <w:lang w:val="nb-NO" w:eastAsia="nb-NO"/>
        </w:rPr>
      </w:pPr>
    </w:p>
    <w:p w:rsidR="00693528" w:rsidP="0047071C" w14:paraId="2756C5C3" w14:textId="11111F81">
      <w:pPr>
        <w:spacing w:after="0" w:line="240" w:lineRule="auto"/>
        <w:rPr>
          <w:rFonts w:eastAsia="Times New Roman" w:cs="Arial"/>
          <w:b/>
          <w:bCs/>
          <w:lang w:val="nb-NO" w:eastAsia="nb-NO"/>
        </w:rPr>
      </w:pPr>
      <w:r>
        <w:rPr>
          <w:rFonts w:eastAsia="Times New Roman" w:cs="Arial"/>
          <w:b/>
          <w:bCs/>
          <w:lang w:val="nb-NO" w:eastAsia="nb-NO"/>
        </w:rPr>
        <w:t>Betydning av LET/RBE for valg av feltvinkler ved doseplanlegging</w:t>
      </w:r>
    </w:p>
    <w:p w:rsidR="001C638C" w:rsidRPr="001C638C" w:rsidP="001C638C" w14:paraId="6152D1E6" w14:textId="77777777">
      <w:pPr>
        <w:pStyle w:val="ListParagraph"/>
        <w:numPr>
          <w:ilvl w:val="0"/>
          <w:numId w:val="7"/>
        </w:numPr>
        <w:spacing w:after="0" w:line="240" w:lineRule="auto"/>
        <w:rPr>
          <w:lang w:val="nb-NO"/>
        </w:rPr>
      </w:pPr>
      <w:r w:rsidRPr="001C638C">
        <w:rPr>
          <w:rFonts w:eastAsia="Times New Roman" w:cs="Arial"/>
          <w:lang w:val="nb-NO" w:eastAsia="nb-NO"/>
        </w:rPr>
        <w:t xml:space="preserve">Kjenne til at distal ende av et homogent felt (eks. SFUD/passive </w:t>
      </w:r>
      <w:r w:rsidRPr="001C638C">
        <w:rPr>
          <w:rFonts w:eastAsia="Times New Roman" w:cs="Arial"/>
          <w:lang w:val="nb-NO" w:eastAsia="nb-NO"/>
        </w:rPr>
        <w:t>scattering</w:t>
      </w:r>
      <w:r w:rsidRPr="001C638C">
        <w:rPr>
          <w:rFonts w:eastAsia="Times New Roman" w:cs="Arial"/>
          <w:lang w:val="nb-NO" w:eastAsia="nb-NO"/>
        </w:rPr>
        <w:t xml:space="preserve">) vil ha en høyere dose enn doseplansystemet viser. </w:t>
      </w:r>
    </w:p>
    <w:p w:rsidR="001C638C" w:rsidRPr="001C638C" w:rsidP="001C638C" w14:paraId="5068FCB3" w14:textId="10FB6724">
      <w:pPr>
        <w:pStyle w:val="ListParagraph"/>
        <w:numPr>
          <w:ilvl w:val="0"/>
          <w:numId w:val="7"/>
        </w:numPr>
        <w:spacing w:after="0" w:line="240" w:lineRule="auto"/>
        <w:rPr>
          <w:lang w:val="nb-NO"/>
        </w:rPr>
      </w:pPr>
      <w:r w:rsidRPr="001C638C">
        <w:rPr>
          <w:rFonts w:eastAsia="Times New Roman" w:cs="Arial"/>
          <w:lang w:val="nb-NO" w:eastAsia="nb-NO"/>
        </w:rPr>
        <w:t xml:space="preserve">Vite at doseplansystemet bruker en faktor 1,1 for beregning av protondose fra fysisk </w:t>
      </w:r>
      <w:r w:rsidR="00983D48">
        <w:rPr>
          <w:rFonts w:eastAsia="Times New Roman" w:cs="Arial"/>
          <w:lang w:val="nb-NO" w:eastAsia="nb-NO"/>
        </w:rPr>
        <w:t>dos</w:t>
      </w:r>
      <w:r w:rsidRPr="001C638C">
        <w:rPr>
          <w:rFonts w:eastAsia="Times New Roman" w:cs="Arial"/>
          <w:lang w:val="nb-NO" w:eastAsia="nb-NO"/>
        </w:rPr>
        <w:t xml:space="preserve">e til RBE dose. </w:t>
      </w:r>
    </w:p>
    <w:p w:rsidR="00983D48" w:rsidRPr="00983D48" w:rsidP="00D91190" w14:paraId="5932A826" w14:textId="77777777">
      <w:pPr>
        <w:pStyle w:val="ListParagraph"/>
        <w:numPr>
          <w:ilvl w:val="0"/>
          <w:numId w:val="7"/>
        </w:numPr>
        <w:spacing w:after="0" w:line="240" w:lineRule="auto"/>
        <w:rPr>
          <w:lang w:val="nb-NO"/>
        </w:rPr>
      </w:pPr>
      <w:r w:rsidRPr="001C638C">
        <w:rPr>
          <w:rFonts w:eastAsia="Times New Roman" w:cs="Arial"/>
          <w:lang w:val="nb-NO" w:eastAsia="nb-NO"/>
        </w:rPr>
        <w:t xml:space="preserve">Ha forståelse for forholdet mellom LET og RBE. </w:t>
      </w:r>
    </w:p>
    <w:p w:rsidR="00983D48" w:rsidRPr="00983D48" w:rsidP="00D91190" w14:paraId="7BE6E95B" w14:textId="77777777">
      <w:pPr>
        <w:pStyle w:val="ListParagraph"/>
        <w:numPr>
          <w:ilvl w:val="0"/>
          <w:numId w:val="7"/>
        </w:numPr>
        <w:spacing w:after="0" w:line="240" w:lineRule="auto"/>
        <w:rPr>
          <w:lang w:val="nb-NO"/>
        </w:rPr>
      </w:pPr>
      <w:r w:rsidRPr="001C638C">
        <w:rPr>
          <w:rFonts w:eastAsia="Times New Roman" w:cs="Arial"/>
          <w:lang w:val="nb-NO" w:eastAsia="nb-NO"/>
        </w:rPr>
        <w:t xml:space="preserve">Ha forståelse for at den økte dosen distalt i et homogent felt kan påvirke OAR direkte bak tumor. </w:t>
      </w:r>
    </w:p>
    <w:p w:rsidR="00983D48" w:rsidRPr="00983D48" w:rsidP="00D91190" w14:paraId="7FACF680" w14:textId="77777777">
      <w:pPr>
        <w:pStyle w:val="ListParagraph"/>
        <w:numPr>
          <w:ilvl w:val="0"/>
          <w:numId w:val="7"/>
        </w:numPr>
        <w:spacing w:after="0" w:line="240" w:lineRule="auto"/>
        <w:rPr>
          <w:lang w:val="nb-NO"/>
        </w:rPr>
      </w:pPr>
      <w:r w:rsidRPr="001C638C">
        <w:rPr>
          <w:rFonts w:eastAsia="Times New Roman" w:cs="Arial"/>
          <w:lang w:val="nb-NO" w:eastAsia="nb-NO"/>
        </w:rPr>
        <w:t xml:space="preserve">Kjenne til og forstå ulike modeller for RBE dose. </w:t>
      </w:r>
    </w:p>
    <w:p w:rsidR="00983D48" w:rsidRPr="00983D48" w:rsidP="00D91190" w14:paraId="3CB2B45F" w14:textId="77777777">
      <w:pPr>
        <w:pStyle w:val="ListParagraph"/>
        <w:numPr>
          <w:ilvl w:val="0"/>
          <w:numId w:val="7"/>
        </w:numPr>
        <w:spacing w:after="0" w:line="240" w:lineRule="auto"/>
        <w:rPr>
          <w:lang w:val="nb-NO"/>
        </w:rPr>
      </w:pPr>
      <w:r w:rsidRPr="001C638C">
        <w:rPr>
          <w:rFonts w:eastAsia="Times New Roman" w:cs="Arial"/>
          <w:lang w:val="nb-NO" w:eastAsia="nb-NO"/>
        </w:rPr>
        <w:t>Ha fo</w:t>
      </w:r>
      <w:r>
        <w:rPr>
          <w:rFonts w:eastAsia="Times New Roman" w:cs="Arial"/>
          <w:lang w:val="nb-NO" w:eastAsia="nb-NO"/>
        </w:rPr>
        <w:t>r</w:t>
      </w:r>
      <w:r w:rsidRPr="001C638C">
        <w:rPr>
          <w:rFonts w:eastAsia="Times New Roman" w:cs="Arial"/>
          <w:lang w:val="nb-NO" w:eastAsia="nb-NO"/>
        </w:rPr>
        <w:t xml:space="preserve">ståelse for at ved IMPT (modulerte felt) kan høye LET/RBE befinne seg andre steder enn direkte i bakkant av felt, for eksempel sentralt i felt (avhengig av dose og spotvekt). </w:t>
      </w:r>
    </w:p>
    <w:p w:rsidR="001C638C" w:rsidRPr="001C638C" w:rsidP="00D91190" w14:paraId="789C4A1F" w14:textId="391A3010">
      <w:pPr>
        <w:pStyle w:val="ListParagraph"/>
        <w:numPr>
          <w:ilvl w:val="0"/>
          <w:numId w:val="7"/>
        </w:numPr>
        <w:spacing w:after="0" w:line="240" w:lineRule="auto"/>
        <w:rPr>
          <w:lang w:val="nb-NO"/>
        </w:rPr>
      </w:pPr>
      <w:r w:rsidRPr="001C638C">
        <w:rPr>
          <w:rFonts w:eastAsia="Times New Roman" w:cs="Arial"/>
          <w:lang w:val="nb-NO" w:eastAsia="nb-NO"/>
        </w:rPr>
        <w:t xml:space="preserve">Forståelse for at flere felt og spredning av felt påvirker LET/RBE. </w:t>
      </w:r>
    </w:p>
    <w:p w:rsidR="00983D48" w:rsidP="00516119" w14:paraId="03BC4AEA" w14:textId="77777777">
      <w:pPr>
        <w:rPr>
          <w:lang w:val="nb-NO"/>
        </w:rPr>
      </w:pPr>
    </w:p>
    <w:p w:rsidR="00516119" w:rsidP="00983D48" w14:paraId="1A0E9915" w14:textId="6929CD77">
      <w:pPr>
        <w:pStyle w:val="Heading2"/>
        <w:rPr>
          <w:lang w:val="nb-NO"/>
        </w:rPr>
      </w:pPr>
      <w:r w:rsidRPr="001C638C">
        <w:rPr>
          <w:lang w:val="nb-NO"/>
        </w:rPr>
        <w:t>Anbefalt litteratur</w:t>
      </w:r>
    </w:p>
    <w:p w:rsidR="00983D48" w:rsidRPr="00983D48" w:rsidP="00983D48" w14:paraId="490B0CBD" w14:textId="0E334500">
      <w:pPr>
        <w:rPr>
          <w:lang w:val="nb-NO"/>
        </w:rPr>
      </w:pPr>
    </w:p>
    <w:sectPr>
      <w:footerReference w:type="even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3064D" w14:paraId="4530D794" w14:textId="6D5915E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387475" cy="352425"/>
              <wp:effectExtent l="0" t="0" r="3175" b="0"/>
              <wp:wrapNone/>
              <wp:docPr id="2" name="Tekstboks 2" descr="Følsomhet Intern (gul)">
                <a:extLst xmlns:a="http://schemas.openxmlformats.org/drawingml/2006/main">
                  <a:ext xmlns:a="http://schemas.openxmlformats.org/drawingml/2006/main"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8747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3064D" w:rsidRPr="0013064D" w:rsidP="0013064D" w14:textId="5D8AAE4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3064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2" o:spid="_x0000_s2049" type="#_x0000_t202" alt="Følsomhet Intern (gul)" style="width:109.25pt;height:27.7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1312" filled="f" stroked="f">
              <v:textbox style="mso-fit-shape-to-text:t" inset="20pt,0,0,15pt">
                <w:txbxContent>
                  <w:p w:rsidR="0013064D" w:rsidRPr="0013064D" w:rsidP="0013064D" w14:paraId="23AA7657" w14:textId="5D8AAE4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3064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3064D" w14:paraId="723E0589" w14:textId="4F5176F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387475" cy="352425"/>
              <wp:effectExtent l="0" t="0" r="3175" b="0"/>
              <wp:wrapNone/>
              <wp:docPr id="3" name="Tekstboks 3" descr="Følsomhet Intern (gul)">
                <a:extLst xmlns:a="http://schemas.openxmlformats.org/drawingml/2006/main">
                  <a:ext xmlns:a="http://schemas.openxmlformats.org/drawingml/2006/main"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8747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3064D" w:rsidRPr="0013064D" w:rsidP="0013064D" w14:textId="546E1C2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3064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3" o:spid="_x0000_s2050" type="#_x0000_t202" alt="Følsomhet Intern (gul)" style="width:109.25pt;height:27.7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3360" filled="f" stroked="f">
              <v:textbox style="mso-fit-shape-to-text:t" inset="20pt,0,0,15pt">
                <w:txbxContent>
                  <w:p w:rsidR="0013064D" w:rsidRPr="0013064D" w:rsidP="0013064D" w14:paraId="4D125C5C" w14:textId="546E1C2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3064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3064D" w14:paraId="3F2910F9" w14:textId="423A59D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387475" cy="352425"/>
              <wp:effectExtent l="0" t="0" r="3175" b="0"/>
              <wp:wrapNone/>
              <wp:docPr id="1" name="Tekstboks 1" descr="Følsomhet Intern (gul)">
                <a:extLst xmlns:a="http://schemas.openxmlformats.org/drawingml/2006/main">
                  <a:ext xmlns:a="http://schemas.openxmlformats.org/drawingml/2006/main"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8747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3064D" w:rsidRPr="0013064D" w:rsidP="0013064D" w14:textId="0E78785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3064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1" o:spid="_x0000_s2051" type="#_x0000_t202" alt="Følsomhet Intern (gul)" style="width:109.25pt;height:27.7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59264" filled="f" stroked="f">
              <v:textbox style="mso-fit-shape-to-text:t" inset="20pt,0,0,15pt">
                <w:txbxContent>
                  <w:p w:rsidR="0013064D" w:rsidRPr="0013064D" w:rsidP="0013064D" w14:paraId="42E60C73" w14:textId="0E78785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3064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B42270C"/>
    <w:multiLevelType w:val="hybridMultilevel"/>
    <w:tmpl w:val="48AA1B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E34548"/>
    <w:multiLevelType w:val="hybridMultilevel"/>
    <w:tmpl w:val="DB887856"/>
    <w:lvl w:ilvl="0">
      <w:start w:val="0"/>
      <w:numFmt w:val="bullet"/>
      <w:lvlText w:val="•"/>
      <w:lvlJc w:val="left"/>
      <w:pPr>
        <w:ind w:left="720" w:hanging="360"/>
      </w:pPr>
      <w:rPr>
        <w:rFonts w:ascii="Aptos" w:eastAsia="Times New Roman" w:hAnsi="Aptos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B5268A"/>
    <w:multiLevelType w:val="hybridMultilevel"/>
    <w:tmpl w:val="FFAAC0C4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bCs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5654F4"/>
    <w:multiLevelType w:val="hybridMultilevel"/>
    <w:tmpl w:val="B46E8F4E"/>
    <w:lvl w:ilvl="0">
      <w:start w:val="2"/>
      <w:numFmt w:val="bullet"/>
      <w:lvlText w:val=""/>
      <w:lvlJc w:val="left"/>
      <w:pPr>
        <w:ind w:left="720" w:hanging="360"/>
      </w:pPr>
      <w:rPr>
        <w:rFonts w:ascii="Symbol" w:hAnsi="Symbol" w:eastAsiaTheme="minorEastAsia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715D52"/>
    <w:multiLevelType w:val="hybridMultilevel"/>
    <w:tmpl w:val="AC5833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746E1D"/>
    <w:multiLevelType w:val="hybridMultilevel"/>
    <w:tmpl w:val="80885464"/>
    <w:lvl w:ilvl="0">
      <w:start w:val="14"/>
      <w:numFmt w:val="bullet"/>
      <w:lvlText w:val=""/>
      <w:lvlJc w:val="left"/>
      <w:pPr>
        <w:ind w:left="720" w:hanging="360"/>
      </w:pPr>
      <w:rPr>
        <w:rFonts w:ascii="Symbol" w:hAnsi="Symbol" w:eastAsiaTheme="minorEastAsia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3306B1"/>
    <w:multiLevelType w:val="hybridMultilevel"/>
    <w:tmpl w:val="C9509A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518090">
    <w:abstractNumId w:val="3"/>
  </w:num>
  <w:num w:numId="2" w16cid:durableId="708116573">
    <w:abstractNumId w:val="5"/>
  </w:num>
  <w:num w:numId="3" w16cid:durableId="1700819672">
    <w:abstractNumId w:val="0"/>
  </w:num>
  <w:num w:numId="4" w16cid:durableId="1417824556">
    <w:abstractNumId w:val="4"/>
  </w:num>
  <w:num w:numId="5" w16cid:durableId="1567378712">
    <w:abstractNumId w:val="6"/>
  </w:num>
  <w:num w:numId="6" w16cid:durableId="374351720">
    <w:abstractNumId w:val="1"/>
  </w:num>
  <w:num w:numId="7" w16cid:durableId="3630259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AF481F"/>
    <w:rsid w:val="0003132E"/>
    <w:rsid w:val="00041175"/>
    <w:rsid w:val="0009468C"/>
    <w:rsid w:val="000C658C"/>
    <w:rsid w:val="001018CB"/>
    <w:rsid w:val="00102C90"/>
    <w:rsid w:val="0013064D"/>
    <w:rsid w:val="00135980"/>
    <w:rsid w:val="00155136"/>
    <w:rsid w:val="00197B5C"/>
    <w:rsid w:val="001A3442"/>
    <w:rsid w:val="001C638C"/>
    <w:rsid w:val="00252B04"/>
    <w:rsid w:val="0027058B"/>
    <w:rsid w:val="002D78F8"/>
    <w:rsid w:val="002D7AD0"/>
    <w:rsid w:val="003067D8"/>
    <w:rsid w:val="00312D23"/>
    <w:rsid w:val="00397980"/>
    <w:rsid w:val="003C3A69"/>
    <w:rsid w:val="003C3F70"/>
    <w:rsid w:val="003F37A7"/>
    <w:rsid w:val="00412C2E"/>
    <w:rsid w:val="00416143"/>
    <w:rsid w:val="00421A65"/>
    <w:rsid w:val="00463060"/>
    <w:rsid w:val="0047071C"/>
    <w:rsid w:val="004F32D3"/>
    <w:rsid w:val="004F6ABF"/>
    <w:rsid w:val="004F7CF6"/>
    <w:rsid w:val="00516119"/>
    <w:rsid w:val="00516D7F"/>
    <w:rsid w:val="0052354C"/>
    <w:rsid w:val="0053121A"/>
    <w:rsid w:val="005D1575"/>
    <w:rsid w:val="005D58CE"/>
    <w:rsid w:val="00666748"/>
    <w:rsid w:val="00693528"/>
    <w:rsid w:val="006A7689"/>
    <w:rsid w:val="006E2476"/>
    <w:rsid w:val="006F3797"/>
    <w:rsid w:val="007227C6"/>
    <w:rsid w:val="00723F68"/>
    <w:rsid w:val="00727B84"/>
    <w:rsid w:val="007679C7"/>
    <w:rsid w:val="007D151A"/>
    <w:rsid w:val="007D30DB"/>
    <w:rsid w:val="00861D97"/>
    <w:rsid w:val="00865303"/>
    <w:rsid w:val="00866F04"/>
    <w:rsid w:val="008D292C"/>
    <w:rsid w:val="008D32B7"/>
    <w:rsid w:val="008E4763"/>
    <w:rsid w:val="00920C87"/>
    <w:rsid w:val="00967C25"/>
    <w:rsid w:val="00983D48"/>
    <w:rsid w:val="009C05B1"/>
    <w:rsid w:val="009C5614"/>
    <w:rsid w:val="00A12750"/>
    <w:rsid w:val="00A519A1"/>
    <w:rsid w:val="00A66486"/>
    <w:rsid w:val="00A75151"/>
    <w:rsid w:val="00AA3FA9"/>
    <w:rsid w:val="00AB14D9"/>
    <w:rsid w:val="00AB66C4"/>
    <w:rsid w:val="00AD59C9"/>
    <w:rsid w:val="00AE1666"/>
    <w:rsid w:val="00B04778"/>
    <w:rsid w:val="00B631B9"/>
    <w:rsid w:val="00B63B69"/>
    <w:rsid w:val="00B70EC0"/>
    <w:rsid w:val="00B71C00"/>
    <w:rsid w:val="00BC0291"/>
    <w:rsid w:val="00BD21A4"/>
    <w:rsid w:val="00C81FD8"/>
    <w:rsid w:val="00CA233E"/>
    <w:rsid w:val="00CA32F0"/>
    <w:rsid w:val="00CA4077"/>
    <w:rsid w:val="00D2233C"/>
    <w:rsid w:val="00D72637"/>
    <w:rsid w:val="00D74648"/>
    <w:rsid w:val="00D91190"/>
    <w:rsid w:val="00DC7733"/>
    <w:rsid w:val="00DD0A85"/>
    <w:rsid w:val="00DE4843"/>
    <w:rsid w:val="00E248B3"/>
    <w:rsid w:val="00E27402"/>
    <w:rsid w:val="00F00A06"/>
    <w:rsid w:val="00F14E8B"/>
    <w:rsid w:val="00F26162"/>
    <w:rsid w:val="00F3137E"/>
    <w:rsid w:val="00F46977"/>
    <w:rsid w:val="00F74651"/>
    <w:rsid w:val="00FA0B11"/>
    <w:rsid w:val="00FA133E"/>
    <w:rsid w:val="00FD067F"/>
    <w:rsid w:val="0B15E720"/>
    <w:rsid w:val="0E71F29B"/>
    <w:rsid w:val="118F51CD"/>
    <w:rsid w:val="13E693E5"/>
    <w:rsid w:val="1A84028C"/>
    <w:rsid w:val="1C91EA6D"/>
    <w:rsid w:val="27358DBB"/>
    <w:rsid w:val="37670129"/>
    <w:rsid w:val="438EB5D3"/>
    <w:rsid w:val="4CD96C99"/>
    <w:rsid w:val="53159C1A"/>
    <w:rsid w:val="555D8F22"/>
    <w:rsid w:val="5D0DE9B5"/>
    <w:rsid w:val="609A851B"/>
    <w:rsid w:val="7364597E"/>
    <w:rsid w:val="7CA73F15"/>
    <w:rsid w:val="7FAF481F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FAF481F"/>
  <w15:chartTrackingRefBased/>
  <w15:docId w15:val="{4A40C4D6-986A-4B1E-BFB7-01D984338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Overskrift2Tegn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Overskrift3Tegn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Overskrift4Tegn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Overskrift5Tegn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Overskrift6Tegn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Overskrift7Tegn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Overskrift8Tegn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Overskrift9Tegn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verskrift1Tegn">
    <w:name w:val="Overskrift 1 Tegn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telTegn">
    <w:name w:val="Tittel Tegn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telTegn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ndertittelTegn">
    <w:name w:val="Undertittel Tegn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UndertittelTegn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SitatTegn">
    <w:name w:val="Sitat Tegn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SitatTegn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terktsitatTegn">
    <w:name w:val="Sterkt sitat Tegn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SterktsitatTegn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BunntekstTegn"/>
    <w:uiPriority w:val="99"/>
    <w:unhideWhenUsed/>
    <w:rsid w:val="001306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13064D"/>
  </w:style>
  <w:style w:type="paragraph" w:styleId="Header">
    <w:name w:val="header"/>
    <w:basedOn w:val="Normal"/>
    <w:link w:val="TopptekstTegn"/>
    <w:uiPriority w:val="99"/>
    <w:unhideWhenUsed/>
    <w:rsid w:val="00B631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B631B9"/>
  </w:style>
  <w:style w:type="paragraph" w:styleId="ListParagraph">
    <w:name w:val="List Paragraph"/>
    <w:basedOn w:val="Normal"/>
    <w:uiPriority w:val="34"/>
    <w:qFormat/>
    <w:rsid w:val="007D30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a8f10e-f55e-43a9-adb1-f4c299087a53" xsi:nil="true"/>
    <lcf76f155ced4ddcb4097134ff3c332f xmlns="9caf67bb-8ca0-469e-98d4-fb78fa240cd5">
      <Terms xmlns="http://schemas.microsoft.com/office/infopath/2007/PartnerControls"/>
    </lcf76f155ced4ddcb4097134ff3c332f>
    <Hyperkobling xmlns="9caf67bb-8ca0-469e-98d4-fb78fa240cd5">
      <Url xsi:nil="true"/>
      <Description xsi:nil="true"/>
    </Hyperkobling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7F5BC6CE43843B22741A1A6FC7067" ma:contentTypeVersion="16" ma:contentTypeDescription="Opprett et nytt dokument." ma:contentTypeScope="" ma:versionID="a569a5e88a330b32a001511f1781cc33">
  <xsd:schema xmlns:xsd="http://www.w3.org/2001/XMLSchema" xmlns:xs="http://www.w3.org/2001/XMLSchema" xmlns:p="http://schemas.microsoft.com/office/2006/metadata/properties" xmlns:ns2="9caf67bb-8ca0-469e-98d4-fb78fa240cd5" xmlns:ns3="b2a8f10e-f55e-43a9-adb1-f4c299087a53" targetNamespace="http://schemas.microsoft.com/office/2006/metadata/properties" ma:root="true" ma:fieldsID="39a53f9d9b4e33a0cd5d5c0f0ff67d44" ns2:_="" ns3:_="">
    <xsd:import namespace="9caf67bb-8ca0-469e-98d4-fb78fa240cd5"/>
    <xsd:import namespace="b2a8f10e-f55e-43a9-adb1-f4c299087a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2:Hyperkobl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f67bb-8ca0-469e-98d4-fb78fa240c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emerkelapper" ma:readOnly="false" ma:fieldId="{5cf76f15-5ced-4ddc-b409-7134ff3c332f}" ma:taxonomyMulti="true" ma:sspId="36a61b50-ac2f-48d5-8ac7-e75171fb65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Hyperkobling" ma:index="23" nillable="true" ma:displayName="Hyperkobling" ma:format="Hyperlink" ma:internalName="Hyperkobling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8f10e-f55e-43a9-adb1-f4c299087a5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d9a33ad-a5da-47c6-bd32-ff64bae440bb}" ma:internalName="TaxCatchAll" ma:showField="CatchAllData" ma:web="b2a8f10e-f55e-43a9-adb1-f4c299087a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85E356-0F88-4DA5-A181-9F0F7D6CE26F}">
  <ds:schemaRefs>
    <ds:schemaRef ds:uri="b2a8f10e-f55e-43a9-adb1-f4c299087a53"/>
    <ds:schemaRef ds:uri="http://schemas.microsoft.com/office/2006/documentManagement/types"/>
    <ds:schemaRef ds:uri="http://purl.org/dc/terms/"/>
    <ds:schemaRef ds:uri="http://schemas.microsoft.com/office/2006/metadata/properties"/>
    <ds:schemaRef ds:uri="9caf67bb-8ca0-469e-98d4-fb78fa240cd5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6ABED42-A2C0-4C7E-B52D-11FE32F5CE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87DFDB-8ED7-4988-84FC-9B83F5120B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af67bb-8ca0-469e-98d4-fb78fa240cd5"/>
    <ds:schemaRef ds:uri="b2a8f10e-f55e-43a9-adb1-f4c299087a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199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Prinsipper ved doseplanlegging - læringsmål og litteratur</dc:title>
  <dc:creator>Utne, Amalie</dc:creator>
  <cp:lastModifiedBy>Utne, Amalie</cp:lastModifiedBy>
  <cp:revision>81</cp:revision>
  <dcterms:created xsi:type="dcterms:W3CDTF">2024-06-28T19:23:00Z</dcterms:created>
  <dcterms:modified xsi:type="dcterms:W3CDTF">2024-07-03T10:41:00Z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#000000,10,Calibri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Text">
    <vt:lpwstr>Følsomhet Intern (gul)</vt:lpwstr>
  </property>
  <property fmtid="{D5CDD505-2E9C-101B-9397-08002B2CF9AE}" pid="5" name="ContentTypeId">
    <vt:lpwstr>0x010100D987F5BC6CE43843B22741A1A6FC7067</vt:lpwstr>
  </property>
  <property fmtid="{D5CDD505-2E9C-101B-9397-08002B2CF9AE}" pid="6" name="MediaServiceImageTags">
    <vt:lpwstr/>
  </property>
  <property fmtid="{D5CDD505-2E9C-101B-9397-08002B2CF9AE}" pid="7" name="MSIP_Label_0c3ffc1c-ef00-4620-9c2f-7d9c1597774b_ActionId">
    <vt:lpwstr>e61b8f72-6ff4-4cb1-a1b6-d9414b4d508b</vt:lpwstr>
  </property>
  <property fmtid="{D5CDD505-2E9C-101B-9397-08002B2CF9AE}" pid="8" name="MSIP_Label_0c3ffc1c-ef00-4620-9c2f-7d9c1597774b_ContentBits">
    <vt:lpwstr>2</vt:lpwstr>
  </property>
  <property fmtid="{D5CDD505-2E9C-101B-9397-08002B2CF9AE}" pid="9" name="MSIP_Label_0c3ffc1c-ef00-4620-9c2f-7d9c1597774b_Enabled">
    <vt:lpwstr>true</vt:lpwstr>
  </property>
  <property fmtid="{D5CDD505-2E9C-101B-9397-08002B2CF9AE}" pid="10" name="MSIP_Label_0c3ffc1c-ef00-4620-9c2f-7d9c1597774b_Method">
    <vt:lpwstr>Standard</vt:lpwstr>
  </property>
  <property fmtid="{D5CDD505-2E9C-101B-9397-08002B2CF9AE}" pid="11" name="MSIP_Label_0c3ffc1c-ef00-4620-9c2f-7d9c1597774b_Name">
    <vt:lpwstr>Intern</vt:lpwstr>
  </property>
  <property fmtid="{D5CDD505-2E9C-101B-9397-08002B2CF9AE}" pid="12" name="MSIP_Label_0c3ffc1c-ef00-4620-9c2f-7d9c1597774b_SetDate">
    <vt:lpwstr>2024-06-28T10:23:14Z</vt:lpwstr>
  </property>
  <property fmtid="{D5CDD505-2E9C-101B-9397-08002B2CF9AE}" pid="13" name="MSIP_Label_0c3ffc1c-ef00-4620-9c2f-7d9c1597774b_SiteId">
    <vt:lpwstr>bdcbe535-f3cf-49f5-8a6a-fb6d98dc7837</vt:lpwstr>
  </property>
</Properties>
</file>