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id w:val="549597462"/>
        <w:docPartObj>
          <w:docPartGallery w:val="Table of Contents"/>
          <w:docPartUnique/>
        </w:docPartObj>
      </w:sdtPr>
      <w:sdtContent>
        <w:p w:rsidR="00F0742A" w:rsidRPr="00F0742A" w:rsidP="00F0742A" w14:paraId="65DDACFA" w14:textId="77777777">
          <w:pPr>
            <w:keepNext/>
            <w:keepLines/>
            <w:spacing w:line="259" w:lineRule="auto"/>
            <w:rPr>
              <w:rFonts w:eastAsiaTheme="majorEastAsia" w:cstheme="majorBidi"/>
              <w:sz w:val="20"/>
              <w:szCs w:val="32"/>
            </w:rPr>
          </w:pPr>
          <w:r w:rsidRPr="00F0742A">
            <w:rPr>
              <w:rFonts w:eastAsiaTheme="majorEastAsia" w:cstheme="majorBidi"/>
              <w:sz w:val="20"/>
              <w:szCs w:val="32"/>
            </w:rPr>
            <w:t>Innhold</w:t>
          </w:r>
        </w:p>
        <w:p>
          <w:pPr>
            <w:pStyle w:val="TOC1"/>
            <w:tabs>
              <w:tab w:val="left" w:pos="480"/>
              <w:tab w:val="right" w:leader="dot" w:pos="9061"/>
            </w:tabs>
            <w:rPr>
              <w:rFonts w:asciiTheme="minorHAnsi" w:hAnsiTheme="minorHAnsi"/>
              <w:noProof/>
              <w:sz w:val="22"/>
            </w:rPr>
          </w:pPr>
          <w:r w:rsidRPr="00F0742A">
            <w:fldChar w:fldCharType="begin"/>
          </w:r>
          <w:r w:rsidRPr="00F0742A">
            <w:instrText>TOC \o "1-3" \z \u \h</w:instrText>
          </w:r>
          <w:r w:rsidRPr="00F0742A">
            <w:fldChar w:fldCharType="separate"/>
          </w:r>
          <w:hyperlink w:anchor="_Toc256000000" w:history="1">
            <w:r>
              <w:rPr>
                <w:rStyle w:val="Hyperlink"/>
                <w:rFonts w:ascii="Symbol" w:hAnsi="Symbol" w:cstheme="minorHAnsi"/>
              </w:rPr>
              <w:sym w:font="Symbol" w:char="F0B7"/>
            </w:r>
            <w:r>
              <w:rPr>
                <w:rFonts w:asciiTheme="minorHAnsi" w:hAnsiTheme="minorHAnsi" w:cstheme="minorHAnsi"/>
                <w:noProof/>
                <w:sz w:val="22"/>
              </w:rPr>
              <w:tab/>
            </w:r>
            <w:r w:rsidRPr="00F0742A">
              <w:rPr>
                <w:rStyle w:val="Hyperlink"/>
                <w:b/>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Fonts w:ascii="Symbol" w:hAnsi="Symbol" w:cstheme="minorHAnsi"/>
              </w:rPr>
              <w:sym w:font="Symbol" w:char="F0B7"/>
            </w:r>
            <w:r>
              <w:rPr>
                <w:rFonts w:asciiTheme="minorHAnsi" w:hAnsiTheme="minorHAnsi" w:cstheme="minorHAnsi"/>
                <w:noProof/>
                <w:sz w:val="22"/>
              </w:rPr>
              <w:tab/>
            </w:r>
            <w:r w:rsidRPr="00F0742A">
              <w:rPr>
                <w:rStyle w:val="Hyperlink"/>
                <w:b/>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Fonts w:ascii="Symbol" w:hAnsi="Symbol" w:cstheme="minorHAnsi"/>
              </w:rPr>
              <w:sym w:font="Symbol" w:char="F0B7"/>
            </w:r>
            <w:r>
              <w:rPr>
                <w:rFonts w:asciiTheme="minorHAnsi" w:hAnsiTheme="minorHAnsi" w:cstheme="minorHAnsi"/>
                <w:noProof/>
                <w:sz w:val="22"/>
              </w:rPr>
              <w:tab/>
            </w:r>
            <w:r w:rsidRPr="00F0742A">
              <w:rPr>
                <w:rStyle w:val="Hyperlink"/>
                <w:b/>
              </w:rPr>
              <w:t>Gjennomføring</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Fonts w:ascii="Symbol" w:hAnsi="Symbol" w:cstheme="minorHAnsi"/>
              </w:rPr>
              <w:sym w:font="Symbol" w:char="F0B7"/>
            </w:r>
            <w:r>
              <w:rPr>
                <w:rFonts w:asciiTheme="minorHAnsi" w:hAnsiTheme="minorHAnsi" w:cstheme="minorHAnsi"/>
                <w:noProof/>
                <w:sz w:val="22"/>
              </w:rPr>
              <w:tab/>
            </w:r>
            <w:r w:rsidRPr="00F0742A">
              <w:rPr>
                <w:rStyle w:val="Hyperlink"/>
                <w:b/>
              </w:rPr>
              <w:t>Referanser</w:t>
            </w:r>
            <w:r>
              <w:tab/>
            </w:r>
            <w:r>
              <w:fldChar w:fldCharType="begin"/>
            </w:r>
            <w:r>
              <w:instrText xml:space="preserve"> PAGEREF _Toc256000003 \h </w:instrText>
            </w:r>
            <w:r>
              <w:fldChar w:fldCharType="separate"/>
            </w:r>
            <w:r>
              <w:t>2</w:t>
            </w:r>
            <w:r>
              <w:fldChar w:fldCharType="end"/>
            </w:r>
          </w:hyperlink>
        </w:p>
        <w:p w:rsidR="00F0742A" w:rsidRPr="00F0742A" w:rsidP="00F0742A">
          <w:pPr>
            <w:tabs>
              <w:tab w:val="left" w:pos="480"/>
              <w:tab w:val="right" w:leader="dot" w:pos="9060"/>
            </w:tabs>
            <w:spacing w:after="100"/>
            <w:rPr>
              <w:noProof/>
              <w:color w:val="1F497D" w:themeColor="text2"/>
              <w:u w:val="single"/>
            </w:rPr>
          </w:pPr>
          <w:r w:rsidRPr="00F0742A">
            <w:fldChar w:fldCharType="end"/>
          </w:r>
        </w:p>
      </w:sdtContent>
    </w:sdt>
    <w:p w:rsidR="00F0742A" w:rsidRPr="00F0742A" w:rsidP="00F0742A" w14:paraId="46237C58" w14:textId="77777777">
      <w:pPr>
        <w:spacing w:line="259" w:lineRule="auto"/>
      </w:pPr>
    </w:p>
    <w:p w:rsidR="00F0742A" w:rsidRPr="00F0742A" w:rsidP="00F0742A" w14:paraId="5A662372" w14:textId="77777777">
      <w:pPr>
        <w:numPr>
          <w:ilvl w:val="0"/>
          <w:numId w:val="15"/>
        </w:numPr>
        <w:spacing w:line="259" w:lineRule="auto"/>
        <w:ind w:left="431" w:hanging="431"/>
        <w:outlineLvl w:val="0"/>
        <w:rPr>
          <w:b/>
          <w:sz w:val="28"/>
        </w:rPr>
      </w:pPr>
      <w:bookmarkStart w:id="1" w:name="_Toc256000000"/>
      <w:r w:rsidRPr="00F0742A">
        <w:rPr>
          <w:b/>
          <w:sz w:val="28"/>
        </w:rPr>
        <w:t>Hensikt</w:t>
      </w:r>
      <w:bookmarkEnd w:id="1"/>
    </w:p>
    <w:p w:rsidR="00F0742A" w:rsidRPr="00F0742A" w:rsidP="00F0742A" w14:paraId="1B6AA056" w14:textId="77777777">
      <w:pPr>
        <w:rPr>
          <w:rFonts w:ascii="Helvetica" w:hAnsi="Helvetica" w:cs="Helvetica"/>
          <w:color w:val="333333"/>
          <w:sz w:val="23"/>
          <w:szCs w:val="23"/>
          <w:shd w:val="clear" w:color="auto" w:fill="FFFFFF"/>
        </w:rPr>
      </w:pPr>
      <w:r w:rsidRPr="00F0742A">
        <w:t xml:space="preserve">Denne instruksen inneholder oppgaver tilhørende A-vakt (ansvarsvakt) ved Barne- og ungdomsklinikken </w:t>
      </w:r>
      <w:r w:rsidRPr="00F0742A">
        <w:rPr>
          <w:i/>
          <w:iCs/>
        </w:rPr>
        <w:t>Medisin B</w:t>
      </w:r>
      <w:r w:rsidRPr="00F0742A">
        <w:t xml:space="preserve">, og er et tillegg til felles A-vakts instruks på BUK: </w:t>
      </w:r>
      <w:bookmarkStart w:id="2" w:name="_Hlk167787551"/>
      <w:hyperlink r:id="rId5" w:history="1">
        <w:r w:rsidRPr="00F0742A">
          <w:rPr>
            <w:rFonts w:ascii="Helvetica" w:hAnsi="Helvetica" w:cs="Helvetica"/>
            <w:color w:val="1F497D" w:themeColor="text2"/>
            <w:sz w:val="23"/>
            <w:szCs w:val="23"/>
            <w:u w:val="single"/>
            <w:shd w:val="clear" w:color="auto" w:fill="FFFFFF"/>
          </w:rPr>
          <w:t>https://handbok.helse-be</w:t>
        </w:r>
        <w:r w:rsidRPr="00F0742A">
          <w:rPr>
            <w:rFonts w:ascii="Helvetica" w:hAnsi="Helvetica" w:cs="Helvetica"/>
            <w:color w:val="1F497D" w:themeColor="text2"/>
            <w:sz w:val="23"/>
            <w:szCs w:val="23"/>
            <w:u w:val="single"/>
            <w:shd w:val="clear" w:color="auto" w:fill="FFFFFF"/>
          </w:rPr>
          <w:t>rgen.no/docs/pub/dok13021.htm</w:t>
        </w:r>
      </w:hyperlink>
      <w:bookmarkEnd w:id="2"/>
    </w:p>
    <w:p w:rsidR="00F0742A" w:rsidRPr="00F0742A" w:rsidP="00F0742A" w14:paraId="6495C780" w14:textId="77777777">
      <w:pPr>
        <w:spacing w:line="259" w:lineRule="auto"/>
        <w:rPr>
          <w:rFonts w:cstheme="minorHAnsi"/>
          <w:color w:val="808080" w:themeColor="background1" w:themeShade="80"/>
        </w:rPr>
      </w:pPr>
    </w:p>
    <w:p w:rsidR="00F0742A" w:rsidRPr="00F0742A" w:rsidP="00F0742A" w14:paraId="6113658B" w14:textId="77777777">
      <w:pPr>
        <w:numPr>
          <w:ilvl w:val="0"/>
          <w:numId w:val="15"/>
        </w:numPr>
        <w:spacing w:line="259" w:lineRule="auto"/>
        <w:ind w:left="431" w:hanging="431"/>
        <w:outlineLvl w:val="0"/>
        <w:rPr>
          <w:b/>
          <w:sz w:val="28"/>
        </w:rPr>
      </w:pPr>
      <w:bookmarkStart w:id="3" w:name="_Toc256000001"/>
      <w:r w:rsidRPr="00F0742A">
        <w:rPr>
          <w:b/>
          <w:sz w:val="28"/>
        </w:rPr>
        <w:t>Målgruppe og avgrensning</w:t>
      </w:r>
      <w:bookmarkEnd w:id="3"/>
    </w:p>
    <w:p w:rsidR="00F0742A" w:rsidRPr="00F0742A" w:rsidP="00F0742A" w14:paraId="402B82DA" w14:textId="77777777">
      <w:r w:rsidRPr="00F0742A">
        <w:t xml:space="preserve">Sykepleiere som har tildelt funksjon som ansvarsvakt (A-vakt). </w:t>
      </w:r>
    </w:p>
    <w:p w:rsidR="00F0742A" w:rsidRPr="00F0742A" w:rsidP="00F0742A" w14:paraId="6047BA9D" w14:textId="77777777">
      <w:pPr>
        <w:spacing w:line="259" w:lineRule="auto"/>
        <w:rPr>
          <w:rFonts w:cstheme="minorHAnsi"/>
        </w:rPr>
      </w:pPr>
    </w:p>
    <w:p w:rsidR="00F0742A" w:rsidRPr="00F0742A" w:rsidP="00F0742A" w14:paraId="3ACEF592" w14:textId="77777777">
      <w:pPr>
        <w:numPr>
          <w:ilvl w:val="0"/>
          <w:numId w:val="15"/>
        </w:numPr>
        <w:spacing w:line="259" w:lineRule="auto"/>
        <w:ind w:left="431" w:hanging="431"/>
        <w:outlineLvl w:val="0"/>
        <w:rPr>
          <w:b/>
          <w:sz w:val="28"/>
        </w:rPr>
      </w:pPr>
      <w:bookmarkStart w:id="4" w:name="_Toc256000002"/>
      <w:r w:rsidRPr="00F0742A">
        <w:rPr>
          <w:b/>
          <w:sz w:val="28"/>
        </w:rPr>
        <w:t>Gjennomføring</w:t>
      </w:r>
      <w:bookmarkEnd w:id="4"/>
      <w:r w:rsidRPr="00F0742A">
        <w:rPr>
          <w:b/>
          <w:sz w:val="28"/>
        </w:rPr>
        <w:t xml:space="preserve"> </w:t>
      </w:r>
    </w:p>
    <w:p w:rsidR="00F0742A" w:rsidRPr="00F0742A" w:rsidP="00F0742A" w14:paraId="30AFC864" w14:textId="77777777">
      <w:pPr>
        <w:spacing w:line="259" w:lineRule="auto"/>
        <w:rPr>
          <w:rFonts w:eastAsiaTheme="minorEastAsia" w:cstheme="minorBidi"/>
          <w:szCs w:val="24"/>
        </w:rPr>
      </w:pPr>
      <w:r w:rsidRPr="00F0742A">
        <w:rPr>
          <w:rFonts w:eastAsiaTheme="minorEastAsia" w:cstheme="minorBidi"/>
          <w:b/>
          <w:bCs/>
          <w:i/>
          <w:iCs/>
          <w:szCs w:val="24"/>
        </w:rPr>
        <w:t>Generelt:</w:t>
      </w:r>
      <w:r w:rsidRPr="00F0742A">
        <w:rPr>
          <w:rFonts w:eastAsiaTheme="minorEastAsia" w:cstheme="minorBidi"/>
          <w:szCs w:val="24"/>
        </w:rPr>
        <w:t xml:space="preserve"> Henvendelser fra sykehuset, pårørende og pasienter skal primært gå til merkantil ressurs på dagtid. På aften- nattevakt og helg/helligdager går henvendelser til A-vakt eller koordinator og til disse tidene bærer A-vakt både A-vakt telefon og koordinatorte</w:t>
      </w:r>
      <w:r w:rsidRPr="00F0742A">
        <w:rPr>
          <w:rFonts w:eastAsiaTheme="minorEastAsia" w:cstheme="minorBidi"/>
          <w:szCs w:val="24"/>
        </w:rPr>
        <w:t>lefon.</w:t>
      </w:r>
    </w:p>
    <w:p w:rsidR="00F0742A" w:rsidRPr="00F0742A" w:rsidP="00F0742A" w14:paraId="62A782D0" w14:textId="77777777">
      <w:pPr>
        <w:spacing w:line="259" w:lineRule="auto"/>
        <w:rPr>
          <w:rFonts w:eastAsiaTheme="minorEastAsia" w:cstheme="minorBidi"/>
          <w:szCs w:val="24"/>
        </w:rPr>
      </w:pPr>
    </w:p>
    <w:p w:rsidR="00F0742A" w:rsidRPr="00F0742A" w:rsidP="00F0742A" w14:paraId="4F524146" w14:textId="77777777">
      <w:pPr>
        <w:spacing w:line="259" w:lineRule="auto"/>
        <w:rPr>
          <w:rFonts w:eastAsiaTheme="minorEastAsia" w:cstheme="minorBidi"/>
          <w:szCs w:val="24"/>
        </w:rPr>
      </w:pPr>
      <w:r w:rsidRPr="00F0742A">
        <w:rPr>
          <w:rFonts w:eastAsiaTheme="minorEastAsia" w:cstheme="minorBidi"/>
          <w:szCs w:val="24"/>
        </w:rPr>
        <w:t xml:space="preserve">I tillegg til oppgaver som står i felles nivå-2 rutine: </w:t>
      </w:r>
      <w:bookmarkStart w:id="5" w:name="_Hlk167797567"/>
      <w:hyperlink r:id="rId5" w:history="1">
        <w:r w:rsidRPr="00F0742A">
          <w:rPr>
            <w:rFonts w:ascii="Helvetica" w:hAnsi="Helvetica" w:cs="Helvetica"/>
            <w:color w:val="1F497D" w:themeColor="text2"/>
            <w:sz w:val="23"/>
            <w:szCs w:val="23"/>
            <w:u w:val="single"/>
            <w:shd w:val="clear" w:color="auto" w:fill="FFFFFF"/>
          </w:rPr>
          <w:t>https://handbok.helse-bergen.no/docs/pub/dok13021.htm</w:t>
        </w:r>
      </w:hyperlink>
      <w:bookmarkEnd w:id="5"/>
      <w:r w:rsidRPr="00F0742A">
        <w:rPr>
          <w:rFonts w:eastAsiaTheme="minorEastAsia" w:cstheme="minorBidi"/>
          <w:szCs w:val="24"/>
        </w:rPr>
        <w:t xml:space="preserve"> skal A-vakt ved Medisin B:</w:t>
      </w:r>
    </w:p>
    <w:p w:rsidR="00F0742A" w:rsidRPr="00F0742A" w:rsidP="00F0742A" w14:paraId="219F00DC" w14:textId="333190F5">
      <w:pPr>
        <w:numPr>
          <w:ilvl w:val="0"/>
          <w:numId w:val="19"/>
        </w:numPr>
        <w:spacing w:line="259" w:lineRule="auto"/>
        <w:contextualSpacing/>
        <w:rPr>
          <w:rFonts w:eastAsiaTheme="minorEastAsia" w:cstheme="minorBidi"/>
          <w:szCs w:val="24"/>
        </w:rPr>
      </w:pPr>
      <w:r w:rsidRPr="00F0742A">
        <w:rPr>
          <w:rFonts w:eastAsiaTheme="minorEastAsia" w:cstheme="minorBidi"/>
          <w:szCs w:val="24"/>
        </w:rPr>
        <w:t>IMATIS:</w:t>
      </w:r>
      <w:r w:rsidRPr="00F0742A">
        <w:rPr>
          <w:rFonts w:eastAsiaTheme="minorEastAsia" w:cstheme="minorBidi"/>
          <w:szCs w:val="24"/>
        </w:rPr>
        <w:t xml:space="preserve"> A-vakt må på starten av vakten melde seg inn som rollefunksjon: HBE BUK Med B Ansvarsvakt</w:t>
      </w:r>
      <w:r>
        <w:rPr>
          <w:rFonts w:eastAsiaTheme="minorEastAsia" w:cstheme="minorBidi"/>
          <w:szCs w:val="24"/>
        </w:rPr>
        <w:t>. Oppgaver er også:</w:t>
      </w:r>
    </w:p>
    <w:p w:rsidR="00F0742A" w:rsidRPr="00F0742A" w:rsidP="00F0742A" w14:paraId="6BF0B702" w14:textId="77777777">
      <w:pPr>
        <w:numPr>
          <w:ilvl w:val="1"/>
          <w:numId w:val="21"/>
        </w:numPr>
        <w:spacing w:line="259" w:lineRule="auto"/>
        <w:contextualSpacing/>
        <w:rPr>
          <w:rFonts w:eastAsiaTheme="minorEastAsia" w:cstheme="minorBidi"/>
          <w:szCs w:val="24"/>
        </w:rPr>
      </w:pPr>
      <w:r w:rsidRPr="00F0742A">
        <w:rPr>
          <w:rFonts w:eastAsiaTheme="minorEastAsia" w:cstheme="minorBidi"/>
          <w:szCs w:val="24"/>
        </w:rPr>
        <w:t xml:space="preserve">Kontrollere at all personale på vakt har meldt seg inn i </w:t>
      </w:r>
      <w:r w:rsidRPr="00F0742A">
        <w:rPr>
          <w:rFonts w:eastAsiaTheme="minorEastAsia" w:cstheme="minorBidi"/>
          <w:szCs w:val="24"/>
        </w:rPr>
        <w:t>Imatis</w:t>
      </w:r>
      <w:r w:rsidRPr="00F0742A">
        <w:rPr>
          <w:rFonts w:eastAsiaTheme="minorEastAsia" w:cstheme="minorBidi"/>
          <w:szCs w:val="24"/>
        </w:rPr>
        <w:t xml:space="preserve"> og at ansvarlig personell er tildelt pasient</w:t>
      </w:r>
    </w:p>
    <w:p w:rsidR="00F0742A" w:rsidRPr="00F0742A" w:rsidP="00F0742A" w14:paraId="0CA9C5AF" w14:textId="77777777">
      <w:pPr>
        <w:numPr>
          <w:ilvl w:val="1"/>
          <w:numId w:val="21"/>
        </w:numPr>
        <w:spacing w:line="259" w:lineRule="auto"/>
        <w:contextualSpacing/>
        <w:rPr>
          <w:rFonts w:eastAsiaTheme="minorEastAsia" w:cstheme="minorBidi"/>
          <w:szCs w:val="24"/>
        </w:rPr>
      </w:pPr>
      <w:r w:rsidRPr="00F0742A">
        <w:rPr>
          <w:rFonts w:eastAsiaTheme="minorEastAsia" w:cstheme="minorBidi"/>
          <w:szCs w:val="24"/>
        </w:rPr>
        <w:t xml:space="preserve">Oppdatere antall personer som skal spise i buffeten og </w:t>
      </w:r>
      <w:r w:rsidRPr="00F0742A">
        <w:rPr>
          <w:rFonts w:eastAsiaTheme="minorEastAsia" w:cstheme="minorBidi"/>
          <w:szCs w:val="24"/>
        </w:rPr>
        <w:t>evt</w:t>
      </w:r>
      <w:r w:rsidRPr="00F0742A">
        <w:rPr>
          <w:rFonts w:eastAsiaTheme="minorEastAsia" w:cstheme="minorBidi"/>
          <w:szCs w:val="24"/>
        </w:rPr>
        <w:t xml:space="preserve"> dietter</w:t>
      </w:r>
    </w:p>
    <w:p w:rsidR="00F0742A" w:rsidRPr="00F0742A" w:rsidP="00F0742A" w14:paraId="68118B16" w14:textId="77777777">
      <w:pPr>
        <w:numPr>
          <w:ilvl w:val="1"/>
          <w:numId w:val="21"/>
        </w:numPr>
        <w:spacing w:line="259" w:lineRule="auto"/>
        <w:contextualSpacing/>
        <w:rPr>
          <w:rFonts w:eastAsiaTheme="minorEastAsia" w:cstheme="minorBidi"/>
          <w:szCs w:val="24"/>
        </w:rPr>
      </w:pPr>
      <w:r w:rsidRPr="00F0742A">
        <w:rPr>
          <w:rFonts w:eastAsiaTheme="minorEastAsia" w:cstheme="minorBidi"/>
          <w:szCs w:val="24"/>
        </w:rPr>
        <w:t>Sjekke at isolasjonsregime er oppdatert</w:t>
      </w:r>
    </w:p>
    <w:p w:rsidR="00F0742A" w:rsidRPr="00F0742A" w:rsidP="00F0742A" w14:paraId="0411B3E5" w14:textId="77777777">
      <w:pPr>
        <w:numPr>
          <w:ilvl w:val="1"/>
          <w:numId w:val="21"/>
        </w:numPr>
        <w:spacing w:line="259" w:lineRule="auto"/>
        <w:contextualSpacing/>
        <w:rPr>
          <w:rFonts w:eastAsiaTheme="minorEastAsia" w:cstheme="minorBidi"/>
          <w:szCs w:val="24"/>
        </w:rPr>
      </w:pPr>
      <w:r w:rsidRPr="00F0742A">
        <w:rPr>
          <w:rFonts w:eastAsiaTheme="minorEastAsia" w:cstheme="minorBidi"/>
          <w:szCs w:val="24"/>
        </w:rPr>
        <w:t>Planlegge pasienter til innleggelse samme dag inn på pasienttavlen, se fremgangsmåte ved pasient/</w:t>
      </w:r>
      <w:r w:rsidRPr="00F0742A">
        <w:rPr>
          <w:rFonts w:eastAsiaTheme="minorEastAsia" w:cstheme="minorBidi"/>
          <w:szCs w:val="24"/>
        </w:rPr>
        <w:t>Imatis</w:t>
      </w:r>
      <w:r w:rsidRPr="00F0742A">
        <w:rPr>
          <w:rFonts w:eastAsiaTheme="minorEastAsia" w:cstheme="minorBidi"/>
          <w:szCs w:val="24"/>
        </w:rPr>
        <w:t xml:space="preserve">-tavlen. </w:t>
      </w:r>
    </w:p>
    <w:p w:rsidR="00F0742A" w:rsidRPr="00F0742A" w:rsidP="00F0742A" w14:paraId="362F170F"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DIPS: Oppdatere sengepostliste i DIP</w:t>
      </w:r>
      <w:r w:rsidRPr="00F0742A">
        <w:rPr>
          <w:rFonts w:eastAsiaTheme="minorEastAsia" w:cstheme="minorBidi"/>
          <w:szCs w:val="24"/>
        </w:rPr>
        <w:t>S, samt sørge for at pasienter til innleggelse står på listen og at utskrevne pasienter fjernes.</w:t>
      </w:r>
    </w:p>
    <w:p w:rsidR="00F0742A" w:rsidRPr="00F0742A" w:rsidP="00F0742A" w14:paraId="47945D23"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 xml:space="preserve">MEONA: Logge seg på </w:t>
      </w:r>
      <w:r w:rsidRPr="00F0742A">
        <w:rPr>
          <w:rFonts w:eastAsiaTheme="minorEastAsia" w:cstheme="minorBidi"/>
          <w:szCs w:val="24"/>
        </w:rPr>
        <w:t>Meona</w:t>
      </w:r>
      <w:r w:rsidRPr="00F0742A">
        <w:rPr>
          <w:rFonts w:eastAsiaTheme="minorEastAsia" w:cstheme="minorBidi"/>
          <w:szCs w:val="24"/>
        </w:rPr>
        <w:t xml:space="preserve">-nød PC. Se til at pasienter til innleggelse har kurve, samt at kurver på utskrevne pasienter fjernes. </w:t>
      </w:r>
    </w:p>
    <w:p w:rsidR="00F0742A" w:rsidRPr="00F0742A" w:rsidP="00F0742A" w14:paraId="21C5D485"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CYTODOSE: Logge seg på i Cytod</w:t>
      </w:r>
      <w:r w:rsidRPr="00F0742A">
        <w:rPr>
          <w:rFonts w:eastAsiaTheme="minorEastAsia" w:cstheme="minorBidi"/>
          <w:szCs w:val="24"/>
        </w:rPr>
        <w:t xml:space="preserve">ose og sjekke at kurer registres som «hentet» og som «administrert» av ansvarlig sykepleier. På kurer som er ankommet, men som likevel ikke skal administreres sendes epost til Dr. Gunnes og </w:t>
      </w:r>
      <w:r w:rsidRPr="00F0742A">
        <w:rPr>
          <w:rFonts w:eastAsiaTheme="minorEastAsia" w:cstheme="minorBidi"/>
          <w:szCs w:val="24"/>
        </w:rPr>
        <w:t>Klafkowski</w:t>
      </w:r>
      <w:r w:rsidRPr="00F0742A">
        <w:rPr>
          <w:rFonts w:eastAsiaTheme="minorEastAsia" w:cstheme="minorBidi"/>
          <w:szCs w:val="24"/>
        </w:rPr>
        <w:t xml:space="preserve"> med: initialer, fødselsår, dato, virkestoff, dose og pr</w:t>
      </w:r>
      <w:r w:rsidRPr="00F0742A">
        <w:rPr>
          <w:rFonts w:eastAsiaTheme="minorEastAsia" w:cstheme="minorBidi"/>
          <w:szCs w:val="24"/>
        </w:rPr>
        <w:t xml:space="preserve">oduksjonsnummer. Deretter registreres kuren som «administrert». </w:t>
      </w:r>
    </w:p>
    <w:p w:rsidR="00F0742A" w:rsidRPr="00F0742A" w:rsidP="00F0742A" w14:paraId="3D76ACC3"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 xml:space="preserve">Legemiddelhåndtering: Ansvarsvakt skal tilstrebe å være tilgjengelig for å utføre dobbeltkontroll etter gjeldende retningslinjer: </w:t>
      </w:r>
      <w:hyperlink r:id="rId6">
        <w:r w:rsidRPr="00F0742A">
          <w:rPr>
            <w:rFonts w:eastAsiaTheme="minorEastAsia" w:cstheme="minorBidi"/>
            <w:color w:val="0000FF"/>
            <w:szCs w:val="24"/>
            <w:u w:val="single"/>
          </w:rPr>
          <w:t>Egenkontroll og dobbeltkontroll av legemidler (helse-bergen.no)</w:t>
        </w:r>
      </w:hyperlink>
    </w:p>
    <w:p w:rsidR="00F0742A" w:rsidRPr="00F0742A" w:rsidP="00F0742A" w14:paraId="0CCE8265" w14:textId="77777777">
      <w:pPr>
        <w:spacing w:line="259" w:lineRule="auto"/>
        <w:ind w:left="720"/>
        <w:contextualSpacing/>
        <w:rPr>
          <w:rFonts w:eastAsiaTheme="minorEastAsia" w:cstheme="minorBidi"/>
          <w:szCs w:val="24"/>
        </w:rPr>
      </w:pPr>
    </w:p>
    <w:p w:rsidR="00F0742A" w:rsidRPr="00F0742A" w:rsidP="00F0742A" w14:paraId="696D1017" w14:textId="77777777">
      <w:pPr>
        <w:spacing w:line="259" w:lineRule="auto"/>
        <w:ind w:left="720"/>
        <w:contextualSpacing/>
        <w:rPr>
          <w:rFonts w:eastAsiaTheme="minorEastAsia" w:cstheme="minorBidi"/>
          <w:szCs w:val="24"/>
        </w:rPr>
      </w:pPr>
    </w:p>
    <w:p w:rsidR="00F0742A" w:rsidRPr="00F0742A" w:rsidP="00F0742A" w14:paraId="180F336D"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Medisinrom:</w:t>
      </w:r>
    </w:p>
    <w:p w:rsidR="00F0742A" w:rsidRPr="00F0742A" w:rsidP="00F0742A" w14:paraId="1A3493BF" w14:textId="77777777">
      <w:pPr>
        <w:numPr>
          <w:ilvl w:val="1"/>
          <w:numId w:val="19"/>
        </w:numPr>
        <w:spacing w:line="259" w:lineRule="auto"/>
        <w:contextualSpacing/>
        <w:rPr>
          <w:rFonts w:eastAsiaTheme="minorEastAsia" w:cstheme="minorBidi"/>
          <w:szCs w:val="24"/>
        </w:rPr>
      </w:pPr>
      <w:r w:rsidRPr="00F0742A">
        <w:rPr>
          <w:rFonts w:eastAsiaTheme="minorEastAsia" w:cstheme="minorBidi"/>
          <w:szCs w:val="24"/>
        </w:rPr>
        <w:t>Gjennomgang av beholdning på medisinrom og bestille legemidler</w:t>
      </w:r>
      <w:r w:rsidRPr="00F0742A">
        <w:rPr>
          <w:rFonts w:eastAsiaTheme="minorEastAsia" w:cstheme="minorBidi"/>
          <w:i/>
          <w:iCs/>
          <w:szCs w:val="24"/>
        </w:rPr>
        <w:t xml:space="preserve"> utenom basisliste</w:t>
      </w:r>
      <w:r w:rsidRPr="00F0742A">
        <w:rPr>
          <w:rFonts w:eastAsiaTheme="minorEastAsia" w:cstheme="minorBidi"/>
          <w:szCs w:val="24"/>
        </w:rPr>
        <w:t xml:space="preserve"> i </w:t>
      </w:r>
      <w:r w:rsidRPr="00F0742A">
        <w:rPr>
          <w:rFonts w:eastAsiaTheme="minorEastAsia" w:cstheme="minorBidi"/>
          <w:szCs w:val="24"/>
        </w:rPr>
        <w:t>Meona</w:t>
      </w:r>
      <w:r w:rsidRPr="00F0742A">
        <w:rPr>
          <w:rFonts w:eastAsiaTheme="minorEastAsia" w:cstheme="minorBidi"/>
          <w:szCs w:val="24"/>
        </w:rPr>
        <w:t xml:space="preserve">. Skal sendes før </w:t>
      </w:r>
      <w:r w:rsidRPr="00F0742A">
        <w:rPr>
          <w:rFonts w:eastAsiaTheme="minorEastAsia" w:cstheme="minorBidi"/>
          <w:szCs w:val="24"/>
        </w:rPr>
        <w:t>kl</w:t>
      </w:r>
      <w:r w:rsidRPr="00F0742A">
        <w:rPr>
          <w:rFonts w:eastAsiaTheme="minorEastAsia" w:cstheme="minorBidi"/>
          <w:szCs w:val="24"/>
        </w:rPr>
        <w:t xml:space="preserve"> 09</w:t>
      </w:r>
    </w:p>
    <w:p w:rsidR="00F0742A" w:rsidRPr="00F0742A" w:rsidP="00F0742A" w14:paraId="6E14D43C" w14:textId="77777777">
      <w:pPr>
        <w:numPr>
          <w:ilvl w:val="1"/>
          <w:numId w:val="19"/>
        </w:numPr>
        <w:spacing w:line="259" w:lineRule="auto"/>
        <w:contextualSpacing/>
        <w:rPr>
          <w:rFonts w:eastAsiaTheme="minorEastAsia" w:cstheme="minorBidi"/>
          <w:szCs w:val="24"/>
        </w:rPr>
      </w:pPr>
      <w:r w:rsidRPr="00F0742A">
        <w:rPr>
          <w:rFonts w:eastAsiaTheme="minorEastAsia" w:cstheme="minorBidi"/>
          <w:szCs w:val="24"/>
        </w:rPr>
        <w:t>Fylle på forbruksmat</w:t>
      </w:r>
      <w:r w:rsidRPr="00F0742A">
        <w:rPr>
          <w:rFonts w:eastAsiaTheme="minorEastAsia" w:cstheme="minorBidi"/>
          <w:szCs w:val="24"/>
        </w:rPr>
        <w:t>eriell</w:t>
      </w:r>
    </w:p>
    <w:p w:rsidR="00F0742A" w:rsidRPr="00F0742A" w:rsidP="00F0742A" w14:paraId="301EF770" w14:textId="77777777">
      <w:pPr>
        <w:numPr>
          <w:ilvl w:val="1"/>
          <w:numId w:val="19"/>
        </w:numPr>
        <w:spacing w:line="259" w:lineRule="auto"/>
        <w:contextualSpacing/>
        <w:rPr>
          <w:rFonts w:eastAsiaTheme="minorEastAsia" w:cstheme="minorBidi"/>
          <w:szCs w:val="24"/>
        </w:rPr>
      </w:pPr>
      <w:r w:rsidRPr="00F0742A">
        <w:rPr>
          <w:rFonts w:eastAsiaTheme="minorEastAsia" w:cstheme="minorBidi"/>
          <w:szCs w:val="24"/>
        </w:rPr>
        <w:t>Rydde og vaske over benkeplater</w:t>
      </w:r>
    </w:p>
    <w:p w:rsidR="00F0742A" w:rsidP="00F0742A" w14:paraId="2F073E0F" w14:textId="77777777">
      <w:pPr>
        <w:numPr>
          <w:ilvl w:val="1"/>
          <w:numId w:val="19"/>
        </w:numPr>
        <w:spacing w:line="259" w:lineRule="auto"/>
        <w:contextualSpacing/>
        <w:rPr>
          <w:rFonts w:eastAsiaTheme="minorEastAsia" w:cstheme="minorBidi"/>
          <w:szCs w:val="24"/>
        </w:rPr>
      </w:pPr>
      <w:r w:rsidRPr="00F0742A">
        <w:rPr>
          <w:rFonts w:eastAsiaTheme="minorEastAsia" w:cstheme="minorBidi"/>
          <w:szCs w:val="24"/>
        </w:rPr>
        <w:t xml:space="preserve">Sjekke at det til enhver tid er 2 stk. hetteglass </w:t>
      </w:r>
      <w:r w:rsidRPr="00F0742A">
        <w:rPr>
          <w:rFonts w:eastAsiaTheme="minorEastAsia" w:cstheme="minorBidi"/>
          <w:szCs w:val="24"/>
        </w:rPr>
        <w:t>Voraxax</w:t>
      </w:r>
      <w:r w:rsidRPr="00F0742A">
        <w:rPr>
          <w:rFonts w:eastAsiaTheme="minorEastAsia" w:cstheme="minorBidi"/>
          <w:szCs w:val="24"/>
        </w:rPr>
        <w:t xml:space="preserve"> i egen boks øverst i kjøleskapet- og at disse er holdbare </w:t>
      </w:r>
    </w:p>
    <w:p w:rsidR="009842F5" w:rsidRPr="00F0742A" w:rsidP="009842F5" w14:paraId="0F80DEE3" w14:textId="77777777">
      <w:pPr>
        <w:spacing w:line="259" w:lineRule="auto"/>
        <w:ind w:left="1440"/>
        <w:contextualSpacing/>
        <w:rPr>
          <w:rFonts w:eastAsiaTheme="minorEastAsia" w:cstheme="minorBidi"/>
          <w:szCs w:val="24"/>
        </w:rPr>
      </w:pPr>
    </w:p>
    <w:p w:rsidR="00F0742A" w:rsidRPr="00F0742A" w:rsidP="00F0742A" w14:paraId="43E48C08" w14:textId="77777777">
      <w:pPr>
        <w:numPr>
          <w:ilvl w:val="0"/>
          <w:numId w:val="19"/>
        </w:numPr>
        <w:spacing w:line="259" w:lineRule="auto"/>
        <w:contextualSpacing/>
        <w:rPr>
          <w:rFonts w:eastAsiaTheme="minorEastAsia" w:cstheme="minorBidi"/>
          <w:szCs w:val="24"/>
        </w:rPr>
      </w:pPr>
      <w:r w:rsidRPr="00F0742A">
        <w:rPr>
          <w:rFonts w:eastAsiaTheme="minorEastAsia" w:cstheme="minorBidi"/>
          <w:szCs w:val="24"/>
        </w:rPr>
        <w:t xml:space="preserve">Behandlingsrom: Utføre oppgave </w:t>
      </w:r>
      <w:r w:rsidRPr="00F0742A">
        <w:rPr>
          <w:rFonts w:eastAsiaTheme="minorEastAsia" w:cstheme="minorBidi"/>
          <w:szCs w:val="24"/>
        </w:rPr>
        <w:t>ihht</w:t>
      </w:r>
      <w:r w:rsidRPr="00F0742A">
        <w:rPr>
          <w:rFonts w:eastAsiaTheme="minorEastAsia" w:cstheme="minorBidi"/>
          <w:szCs w:val="24"/>
        </w:rPr>
        <w:t xml:space="preserve"> «sjekkliste behandlingsrom»: </w:t>
      </w:r>
      <w:hyperlink r:id="rId7" w:history="1">
        <w:r w:rsidRPr="00F0742A">
          <w:rPr>
            <w:rFonts w:eastAsiaTheme="minorEastAsia" w:cstheme="minorBidi"/>
            <w:color w:val="1F497D" w:themeColor="text2"/>
            <w:szCs w:val="24"/>
            <w:u w:val="single"/>
            <w:shd w:val="clear" w:color="auto" w:fill="FFFFFF"/>
          </w:rPr>
          <w:t>https://handbok.helse-bergen.no/docs/pub/dok64570.htm</w:t>
        </w:r>
      </w:hyperlink>
      <w:r w:rsidRPr="00F0742A">
        <w:rPr>
          <w:rFonts w:eastAsiaTheme="minorEastAsia" w:cstheme="minorBidi"/>
          <w:color w:val="333333"/>
          <w:szCs w:val="24"/>
          <w:shd w:val="clear" w:color="auto" w:fill="FFFFFF"/>
        </w:rPr>
        <w:t xml:space="preserve"> </w:t>
      </w:r>
    </w:p>
    <w:p w:rsidR="00F0742A" w:rsidRPr="00F0742A" w:rsidP="00F0742A" w14:paraId="31DCECCB" w14:textId="77777777">
      <w:pPr>
        <w:numPr>
          <w:ilvl w:val="0"/>
          <w:numId w:val="19"/>
        </w:numPr>
        <w:spacing w:line="259" w:lineRule="auto"/>
        <w:contextualSpacing/>
        <w:rPr>
          <w:rFonts w:eastAsiaTheme="minorEastAsia" w:cstheme="minorBidi"/>
          <w:szCs w:val="24"/>
        </w:rPr>
      </w:pPr>
      <w:r w:rsidRPr="00F0742A">
        <w:rPr>
          <w:rFonts w:eastAsiaTheme="minorEastAsia" w:cstheme="minorBidi"/>
          <w:color w:val="333333"/>
          <w:szCs w:val="24"/>
          <w:shd w:val="clear" w:color="auto" w:fill="FFFFFF"/>
        </w:rPr>
        <w:t xml:space="preserve">Påse at behandlingsrom, medisinrom, vaktrom, pauserom, skyllerom, lager og melkekjøkkenet holdes ryddig. Oppgavene fordeles ut på </w:t>
      </w:r>
      <w:r w:rsidRPr="00F0742A">
        <w:rPr>
          <w:rFonts w:eastAsiaTheme="minorEastAsia" w:cstheme="minorBidi"/>
          <w:color w:val="333333"/>
          <w:szCs w:val="24"/>
          <w:shd w:val="clear" w:color="auto" w:fill="FFFFFF"/>
        </w:rPr>
        <w:t>pleiegruppen ved vaktstart.</w:t>
      </w:r>
    </w:p>
    <w:p w:rsidR="00F0742A" w:rsidP="00F0742A" w14:paraId="0374F214" w14:textId="701BCB45">
      <w:pPr>
        <w:numPr>
          <w:ilvl w:val="0"/>
          <w:numId w:val="19"/>
        </w:numPr>
        <w:spacing w:line="259" w:lineRule="auto"/>
        <w:contextualSpacing/>
        <w:rPr>
          <w:rFonts w:eastAsiaTheme="minorEastAsia" w:cstheme="minorBidi"/>
          <w:color w:val="333333"/>
          <w:szCs w:val="24"/>
        </w:rPr>
      </w:pPr>
      <w:r w:rsidRPr="00F0742A">
        <w:rPr>
          <w:rFonts w:eastAsiaTheme="minorEastAsia" w:cstheme="minorBidi"/>
          <w:color w:val="333333"/>
          <w:szCs w:val="24"/>
        </w:rPr>
        <w:t xml:space="preserve">I samråd med seksjonsleder, ass. Seksjonsleder og </w:t>
      </w:r>
      <w:r w:rsidRPr="00F0742A">
        <w:rPr>
          <w:rFonts w:eastAsiaTheme="minorEastAsia" w:cstheme="minorBidi"/>
          <w:color w:val="333333"/>
          <w:szCs w:val="24"/>
        </w:rPr>
        <w:t>evt</w:t>
      </w:r>
      <w:r w:rsidRPr="00F0742A">
        <w:rPr>
          <w:rFonts w:eastAsiaTheme="minorEastAsia" w:cstheme="minorBidi"/>
          <w:color w:val="333333"/>
          <w:szCs w:val="24"/>
        </w:rPr>
        <w:t xml:space="preserve"> vakthavende lege vurdere driftsnivå ut ifra prioriteringssirkel</w:t>
      </w:r>
      <w:r>
        <w:rPr>
          <w:rFonts w:eastAsiaTheme="minorEastAsia" w:cstheme="minorBidi"/>
          <w:color w:val="333333"/>
          <w:szCs w:val="24"/>
        </w:rPr>
        <w:t xml:space="preserve">, </w:t>
      </w:r>
      <w:r>
        <w:rPr>
          <w:rFonts w:eastAsiaTheme="minorEastAsia" w:cstheme="minorBidi"/>
          <w:color w:val="333333"/>
          <w:szCs w:val="24"/>
        </w:rPr>
        <w:t>link</w:t>
      </w:r>
      <w:r>
        <w:rPr>
          <w:rFonts w:eastAsiaTheme="minorEastAsia" w:cstheme="minorBidi"/>
          <w:color w:val="333333"/>
          <w:szCs w:val="24"/>
        </w:rPr>
        <w:t xml:space="preserve"> kommer.</w:t>
      </w:r>
    </w:p>
    <w:p w:rsidR="009842F5" w:rsidRPr="00F0742A" w:rsidP="00F0742A" w14:paraId="1FB975BC" w14:textId="6DFA0459">
      <w:pPr>
        <w:numPr>
          <w:ilvl w:val="0"/>
          <w:numId w:val="19"/>
        </w:numPr>
        <w:spacing w:line="259" w:lineRule="auto"/>
        <w:contextualSpacing/>
        <w:rPr>
          <w:rFonts w:eastAsiaTheme="minorEastAsia" w:cstheme="minorBidi"/>
          <w:color w:val="333333"/>
          <w:szCs w:val="24"/>
        </w:rPr>
      </w:pPr>
      <w:r>
        <w:rPr>
          <w:rFonts w:eastAsiaTheme="minorEastAsia" w:cstheme="minorBidi"/>
          <w:color w:val="333333"/>
          <w:szCs w:val="24"/>
        </w:rPr>
        <w:t xml:space="preserve">Renhold: Skrive opp utreiserom på «gul tavle» på «stort skyllerom». Husk å merke med «smittevask» ved </w:t>
      </w:r>
      <w:r>
        <w:rPr>
          <w:rFonts w:eastAsiaTheme="minorEastAsia" w:cstheme="minorBidi"/>
          <w:color w:val="333333"/>
          <w:szCs w:val="24"/>
        </w:rPr>
        <w:t>evt</w:t>
      </w:r>
      <w:r>
        <w:rPr>
          <w:rFonts w:eastAsiaTheme="minorEastAsia" w:cstheme="minorBidi"/>
          <w:color w:val="333333"/>
          <w:szCs w:val="24"/>
        </w:rPr>
        <w:t xml:space="preserve"> smitte. Renholdspersonalet fjerner rommet fra tavlen når vask er gjennomført. Ved rom som haster å få vasket, må renholdspersonalet ringes til, se nummeroppslag på vaktrom. </w:t>
      </w:r>
    </w:p>
    <w:p w:rsidR="00F0742A" w:rsidRPr="00F0742A" w:rsidP="00F0742A" w14:paraId="3877A3EF" w14:textId="77777777">
      <w:pPr>
        <w:numPr>
          <w:ilvl w:val="0"/>
          <w:numId w:val="19"/>
        </w:numPr>
        <w:spacing w:line="259" w:lineRule="auto"/>
        <w:contextualSpacing/>
        <w:rPr>
          <w:rFonts w:eastAsiaTheme="minorEastAsia" w:cstheme="minorBidi"/>
          <w:color w:val="333333"/>
          <w:szCs w:val="24"/>
        </w:rPr>
      </w:pPr>
      <w:r w:rsidRPr="00F0742A">
        <w:rPr>
          <w:rFonts w:eastAsiaTheme="minorEastAsia" w:cstheme="minorBidi"/>
          <w:color w:val="333333"/>
          <w:szCs w:val="24"/>
        </w:rPr>
        <w:t xml:space="preserve">Samle medarbeidere på dagvakt </w:t>
      </w:r>
      <w:r w:rsidRPr="00F0742A">
        <w:rPr>
          <w:rFonts w:eastAsiaTheme="minorEastAsia" w:cstheme="minorBidi"/>
          <w:color w:val="333333"/>
          <w:szCs w:val="24"/>
        </w:rPr>
        <w:t>kl</w:t>
      </w:r>
      <w:r w:rsidRPr="00F0742A">
        <w:rPr>
          <w:rFonts w:eastAsiaTheme="minorEastAsia" w:cstheme="minorBidi"/>
          <w:color w:val="333333"/>
          <w:szCs w:val="24"/>
        </w:rPr>
        <w:t xml:space="preserve"> 10:00 og på aftenvakt </w:t>
      </w:r>
      <w:r w:rsidRPr="00F0742A">
        <w:rPr>
          <w:rFonts w:eastAsiaTheme="minorEastAsia" w:cstheme="minorBidi"/>
          <w:color w:val="333333"/>
          <w:szCs w:val="24"/>
        </w:rPr>
        <w:t>kl</w:t>
      </w:r>
      <w:r w:rsidRPr="00F0742A">
        <w:rPr>
          <w:rFonts w:eastAsiaTheme="minorEastAsia" w:cstheme="minorBidi"/>
          <w:color w:val="333333"/>
          <w:szCs w:val="24"/>
        </w:rPr>
        <w:t xml:space="preserve"> 16:30 for en gjennomgang av arbeidsmen</w:t>
      </w:r>
      <w:r w:rsidRPr="00F0742A">
        <w:rPr>
          <w:rFonts w:eastAsiaTheme="minorEastAsia" w:cstheme="minorBidi"/>
          <w:color w:val="333333"/>
          <w:szCs w:val="24"/>
        </w:rPr>
        <w:t xml:space="preserve">gde og </w:t>
      </w:r>
      <w:r w:rsidRPr="00F0742A">
        <w:rPr>
          <w:rFonts w:eastAsiaTheme="minorEastAsia" w:cstheme="minorBidi"/>
          <w:color w:val="333333"/>
          <w:szCs w:val="24"/>
        </w:rPr>
        <w:t>evt</w:t>
      </w:r>
      <w:r w:rsidRPr="00F0742A">
        <w:rPr>
          <w:rFonts w:eastAsiaTheme="minorEastAsia" w:cstheme="minorBidi"/>
          <w:color w:val="333333"/>
          <w:szCs w:val="24"/>
        </w:rPr>
        <w:t xml:space="preserve"> omfordele ressurser og pasienter/oppgaver.</w:t>
      </w:r>
    </w:p>
    <w:p w:rsidR="00F0742A" w:rsidRPr="00F0742A" w:rsidP="00F0742A" w14:paraId="60D8EA47" w14:textId="77777777">
      <w:pPr>
        <w:numPr>
          <w:ilvl w:val="0"/>
          <w:numId w:val="19"/>
        </w:numPr>
        <w:spacing w:line="259" w:lineRule="auto"/>
        <w:contextualSpacing/>
        <w:rPr>
          <w:rFonts w:eastAsiaTheme="minorEastAsia" w:cstheme="minorBidi"/>
          <w:szCs w:val="24"/>
        </w:rPr>
      </w:pPr>
      <w:r w:rsidRPr="00F0742A">
        <w:rPr>
          <w:rFonts w:eastAsiaTheme="minorEastAsia" w:cstheme="minorBidi"/>
          <w:color w:val="333333"/>
          <w:szCs w:val="24"/>
          <w:shd w:val="clear" w:color="auto" w:fill="FFFFFF"/>
        </w:rPr>
        <w:t>Påse at medarbeidere får avviklet pauser i løpet av vakten</w:t>
      </w:r>
    </w:p>
    <w:p w:rsidR="00F0742A" w:rsidRPr="009842F5" w:rsidP="00F0742A" w14:paraId="7CA0998E" w14:textId="77777777">
      <w:pPr>
        <w:numPr>
          <w:ilvl w:val="0"/>
          <w:numId w:val="19"/>
        </w:numPr>
        <w:spacing w:line="259" w:lineRule="auto"/>
        <w:contextualSpacing/>
        <w:rPr>
          <w:rFonts w:eastAsiaTheme="minorEastAsia" w:cstheme="minorBidi"/>
          <w:szCs w:val="24"/>
        </w:rPr>
      </w:pPr>
      <w:r w:rsidRPr="00F0742A">
        <w:rPr>
          <w:rFonts w:eastAsiaTheme="minorEastAsia" w:cstheme="minorBidi"/>
          <w:color w:val="333333"/>
          <w:szCs w:val="24"/>
          <w:shd w:val="clear" w:color="auto" w:fill="FFFFFF"/>
        </w:rPr>
        <w:t>Veilede kollegaer i arbeidet</w:t>
      </w:r>
    </w:p>
    <w:p w:rsidR="009842F5" w:rsidRPr="00F0742A" w:rsidP="009842F5" w14:paraId="226E76FD" w14:textId="77777777">
      <w:pPr>
        <w:spacing w:line="259" w:lineRule="auto"/>
        <w:ind w:left="720"/>
        <w:contextualSpacing/>
        <w:rPr>
          <w:rFonts w:eastAsiaTheme="minorEastAsia" w:cstheme="minorBidi"/>
          <w:szCs w:val="24"/>
        </w:rPr>
      </w:pPr>
    </w:p>
    <w:p w:rsidR="00F0742A" w:rsidRPr="00F0742A" w:rsidP="00F0742A" w14:paraId="382FCEC7" w14:textId="77777777">
      <w:pPr>
        <w:spacing w:line="259" w:lineRule="auto"/>
        <w:rPr>
          <w:rFonts w:eastAsiaTheme="minorEastAsia" w:cstheme="minorBidi"/>
          <w:szCs w:val="24"/>
        </w:rPr>
      </w:pPr>
      <w:r w:rsidRPr="00F0742A">
        <w:rPr>
          <w:rFonts w:eastAsiaTheme="minorEastAsia" w:cstheme="minorBidi"/>
          <w:szCs w:val="24"/>
        </w:rPr>
        <w:t xml:space="preserve"> </w:t>
      </w:r>
    </w:p>
    <w:p w:rsidR="00F0742A" w:rsidRPr="00F0742A" w:rsidP="00F0742A" w14:paraId="1D1C7B3E" w14:textId="77777777">
      <w:pPr>
        <w:spacing w:line="259" w:lineRule="auto"/>
        <w:rPr>
          <w:rFonts w:eastAsiaTheme="minorEastAsia" w:cstheme="minorBidi"/>
          <w:szCs w:val="24"/>
        </w:rPr>
      </w:pPr>
    </w:p>
    <w:p w:rsidR="00F0742A" w:rsidRPr="00F0742A" w:rsidP="00F0742A" w14:paraId="68B0AFEB" w14:textId="77777777">
      <w:pPr>
        <w:spacing w:line="259" w:lineRule="auto"/>
        <w:rPr>
          <w:rFonts w:eastAsiaTheme="minorEastAsia" w:cstheme="minorBidi"/>
          <w:szCs w:val="24"/>
        </w:rPr>
      </w:pPr>
      <w:r w:rsidRPr="00F0742A">
        <w:rPr>
          <w:rFonts w:eastAsiaTheme="minorEastAsia" w:cstheme="minorBidi"/>
          <w:szCs w:val="24"/>
        </w:rPr>
        <w:t>All kontakt med seksjonsledelsen på ubekvem arbeidstid skal gå via A-vakt.</w:t>
      </w:r>
    </w:p>
    <w:p w:rsidR="00F0742A" w:rsidRPr="00F0742A" w:rsidP="00F0742A" w14:paraId="5D59C5A0" w14:textId="77777777">
      <w:pPr>
        <w:spacing w:line="259" w:lineRule="auto"/>
        <w:rPr>
          <w:rFonts w:cstheme="minorHAnsi"/>
        </w:rPr>
      </w:pPr>
    </w:p>
    <w:p w:rsidR="00F0742A" w:rsidRPr="00F0742A" w:rsidP="00F0742A" w14:paraId="57FF839C" w14:textId="77777777">
      <w:pPr>
        <w:spacing w:line="259" w:lineRule="auto"/>
        <w:rPr>
          <w:rFonts w:cstheme="minorHAnsi"/>
        </w:rPr>
      </w:pPr>
    </w:p>
    <w:p w:rsidR="00F0742A" w:rsidRPr="00F0742A" w:rsidP="00F0742A" w14:paraId="0068D483" w14:textId="77777777">
      <w:pPr>
        <w:numPr>
          <w:ilvl w:val="0"/>
          <w:numId w:val="15"/>
        </w:numPr>
        <w:spacing w:line="259" w:lineRule="auto"/>
        <w:ind w:left="431" w:hanging="431"/>
        <w:outlineLvl w:val="0"/>
        <w:rPr>
          <w:b/>
          <w:sz w:val="28"/>
        </w:rPr>
      </w:pPr>
      <w:bookmarkStart w:id="6" w:name="_Toc256000003"/>
      <w:r w:rsidRPr="00F0742A">
        <w:rPr>
          <w:b/>
          <w:sz w:val="28"/>
        </w:rPr>
        <w:t>Referanser</w:t>
      </w:r>
      <w:bookmarkEnd w:id="6"/>
      <w:r w:rsidRPr="00F0742A">
        <w:rPr>
          <w:b/>
          <w:sz w:val="28"/>
        </w:rPr>
        <w:t xml:space="preserve"> </w:t>
      </w:r>
    </w:p>
    <w:p w:rsidR="00F0742A" w:rsidRPr="00F0742A" w:rsidP="00F0742A" w14:paraId="50AD5B17" w14:textId="77777777">
      <w:pPr>
        <w:spacing w:line="259" w:lineRule="auto"/>
        <w:rPr>
          <w:rFonts w:cstheme="minorHAnsi"/>
        </w:rPr>
      </w:pPr>
    </w:p>
    <w:p w:rsidR="00F0742A" w:rsidRPr="00F0742A" w:rsidP="00F0742A" w14:paraId="258C4F5C" w14:textId="77777777">
      <w:pPr>
        <w:spacing w:line="259" w:lineRule="auto"/>
        <w:rPr>
          <w:rFonts w:cstheme="minorHAnsi"/>
        </w:rPr>
      </w:pPr>
      <w:r w:rsidRPr="00F0742A">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0742A">
            <w:pPr>
              <w:numPr>
                <w:ilvl w:val="0"/>
                <w:numId w:val="0"/>
              </w:numPr>
              <w:spacing w:line="259" w:lineRule="auto"/>
              <w:rPr>
                <w:b w:val="0"/>
                <w:color w:val="0000FF"/>
                <w:u w:val="single"/>
              </w:rPr>
            </w:pPr>
            <w:bookmarkStart w:id="7" w:name="EK_Referanse"/>
            <w:r>
              <w:rPr>
                <w:b w:val="0"/>
                <w:color w:val="0000FF"/>
                <w:u w:val="single"/>
              </w:rPr>
              <w:t xml:space="preserve"> </w:t>
            </w:r>
          </w:p>
        </w:tc>
        <w:tc>
          <w:tcPr>
            <w:tcBorders>
              <w:top w:val="nil"/>
              <w:left w:val="nil"/>
              <w:bottom w:val="nil"/>
              <w:right w:val="nil"/>
            </w:tcBorders>
          </w:tcPr>
          <w:p w:rsidP="00F0742A">
            <w:pPr>
              <w:numPr>
                <w:ilvl w:val="0"/>
                <w:numId w:val="0"/>
              </w:numPr>
              <w:spacing w:line="259" w:lineRule="auto"/>
              <w:rPr>
                <w:b w:val="0"/>
                <w:color w:val="0000FF"/>
                <w:u w:val="single"/>
              </w:rPr>
            </w:pPr>
            <w:r>
              <w:rPr>
                <w:b w:val="0"/>
                <w:color w:val="0000FF"/>
                <w:u w:val="single"/>
              </w:rPr>
              <w:t xml:space="preserve"> </w:t>
            </w:r>
          </w:p>
        </w:tc>
      </w:tr>
    </w:tbl>
    <w:p w:rsidR="00F0742A" w:rsidRPr="00F0742A" w:rsidP="00F0742A" w14:paraId="51D31B26" w14:textId="66E26C50">
      <w:pPr>
        <w:spacing w:line="259" w:lineRule="auto"/>
        <w:rPr>
          <w:rFonts w:cstheme="minorHAnsi"/>
        </w:rPr>
      </w:pPr>
      <w:bookmarkEnd w:id="7"/>
      <w:r>
        <w:t xml:space="preserve">  </w:t>
      </w:r>
      <w:hyperlink r:id="rId7" w:history="1">
        <w:r w:rsidRPr="00F0742A">
          <w:rPr>
            <w:rStyle w:val="Hyperlink"/>
            <w:rFonts w:eastAsiaTheme="minorEastAsia" w:cstheme="minorBidi"/>
            <w:szCs w:val="24"/>
            <w:shd w:val="clear" w:color="auto" w:fill="FFFFFF"/>
          </w:rPr>
          <w:t>https://handbok.helse-bergen.no/docs/pub/dok64570.htm</w:t>
        </w:r>
      </w:hyperlink>
    </w:p>
    <w:p w:rsidR="00F0742A" w:rsidRPr="00F0742A" w:rsidP="00F0742A" w14:paraId="2AC555ED" w14:textId="13591DE4">
      <w:pPr>
        <w:spacing w:line="259" w:lineRule="auto"/>
        <w:rPr>
          <w:rFonts w:cstheme="minorHAnsi"/>
        </w:rPr>
      </w:pPr>
      <w:r>
        <w:t xml:space="preserve">  </w:t>
      </w:r>
      <w:hyperlink r:id="rId5" w:history="1">
        <w:r w:rsidRPr="00F0742A">
          <w:rPr>
            <w:rStyle w:val="Hyperlink"/>
            <w:rFonts w:ascii="Helvetica" w:hAnsi="Helvetica" w:cs="Helvetica"/>
            <w:sz w:val="23"/>
            <w:szCs w:val="23"/>
            <w:shd w:val="clear" w:color="auto" w:fill="FFFFFF"/>
          </w:rPr>
          <w:t>https://handbok.helse-bergen.no/docs/pub/dok13021.htm</w:t>
        </w:r>
      </w:hyperlink>
    </w:p>
    <w:p w:rsidR="00510BDF" w:rsidRPr="00F0742A" w:rsidP="00F0742A" w14:paraId="54952E23" w14:textId="77777777"/>
    <w:sectPr w:rsidSect="00D03E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54952E37"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54952E35" w14:textId="2BD0DFF4">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3F5BBB" w:rsidRPr="003F5BBB" w:rsidP="003F5BBB"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3F5BBB" w:rsidRPr="003F5BBB" w:rsidP="003F5BBB" w14:paraId="132E5FC9"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54952E36"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5.3.8-04</w:t>
          </w:r>
          <w:r>
            <w:rPr>
              <w:color w:val="000080"/>
              <w:sz w:val="16"/>
            </w:rPr>
            <w:fldChar w:fldCharType="end"/>
          </w:r>
        </w:p>
      </w:tc>
    </w:tr>
  </w:tbl>
  <w:p w:rsidR="00485214" w14:paraId="54952E38"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54952E3D"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54952E39" w14:textId="2AF9D6DF">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4"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3F5BBB" w:rsidRPr="003F5BBB" w:rsidP="003F5BBB"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3F5BBB" w:rsidRPr="003F5BBB" w:rsidP="003F5BBB" w14:paraId="36509B49"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D78945</w:t>
          </w:r>
          <w:r>
            <w:rPr>
              <w:color w:val="000080"/>
              <w:sz w:val="16"/>
            </w:rPr>
            <w:fldChar w:fldCharType="end"/>
          </w:r>
        </w:p>
      </w:tc>
      <w:tc>
        <w:tcPr>
          <w:tcW w:w="2268" w:type="dxa"/>
          <w:tcBorders>
            <w:right w:val="single" w:sz="4" w:space="0" w:color="auto"/>
          </w:tcBorders>
        </w:tcPr>
        <w:p w:rsidR="009B041D" w:rsidRPr="009B041D" w:rsidP="007E4125" w14:paraId="54952E3A"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5.3.8-04</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54952E3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54952E3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B24A00" w14:paraId="54952E3E"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54952E52"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4952E4F" w14:textId="0E965992">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3F5BBB" w:rsidRPr="003F5BBB" w:rsidP="003F5BBB"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3F5BBB" w:rsidRPr="003F5BBB" w:rsidP="003F5BBB" w14:paraId="284AE5E9" w14:textId="77777777">
                          <w:pPr>
                            <w:rPr>
                              <w:rFonts w:ascii="Calibri" w:eastAsia="Calibri" w:hAnsi="Calibri" w:cs="Calibri"/>
                              <w:noProof/>
                              <w:color w:val="000000"/>
                              <w:sz w:val="20"/>
                            </w:rPr>
                          </w:pPr>
                          <w:r w:rsidRPr="003F5BBB">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5.3.8-04</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54952E50"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4952E51"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P="00B24A00" w14:paraId="54952E53"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54952E2F"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4952E33"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54952E3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Ansvarsvakt (A-vakt) BUK Medisin B. Barn &lt;18år</w:t>
          </w:r>
          <w:r>
            <w:rPr>
              <w:sz w:val="28"/>
            </w:rPr>
            <w:fldChar w:fldCharType="end"/>
          </w:r>
        </w:p>
      </w:tc>
      <w:tc>
        <w:tcPr>
          <w:tcW w:w="992" w:type="dxa"/>
          <w:tcBorders>
            <w:bottom w:val="single" w:sz="4" w:space="0" w:color="auto"/>
            <w:right w:val="single" w:sz="4" w:space="0" w:color="auto"/>
          </w:tcBorders>
        </w:tcPr>
        <w:p w:rsidR="00485214" w14:paraId="54952E31" w14:textId="77777777">
          <w:pPr>
            <w:pStyle w:val="Header"/>
            <w:jc w:val="left"/>
            <w:rPr>
              <w:sz w:val="12"/>
            </w:rPr>
          </w:pPr>
        </w:p>
        <w:p w:rsidR="00485214" w14:paraId="54952E32"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bl>
  <w:p w:rsidR="00485214" w14:paraId="54952E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54952E41"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4952E3F"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54952E4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Ansvarsvakt (A-vakt) BUK Medisin B. Barn &lt;18år</w:t>
          </w:r>
          <w:r>
            <w:rPr>
              <w:sz w:val="28"/>
            </w:rPr>
            <w:fldChar w:fldCharType="end"/>
          </w:r>
        </w:p>
      </w:tc>
    </w:tr>
    <w:tr w14:paraId="54952E44"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54952E42"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FD5284" w:rsidRPr="005F0E8F" w:rsidP="00540375" w14:paraId="54952E43"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13.06.2024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13.06.2026</w:t>
          </w:r>
          <w:r>
            <w:rPr>
              <w:color w:val="000080"/>
              <w:sz w:val="16"/>
            </w:rPr>
            <w:fldChar w:fldCharType="end"/>
          </w:r>
        </w:p>
      </w:tc>
    </w:tr>
    <w:tr w14:paraId="54952E47"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54952E45"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HF/Barne- og ungdomsklinikken</w:t>
          </w:r>
          <w:r>
            <w:rPr>
              <w:sz w:val="16"/>
            </w:rPr>
            <w:fldChar w:fldCharType="end"/>
          </w:r>
        </w:p>
      </w:tc>
      <w:tc>
        <w:tcPr>
          <w:tcW w:w="2879" w:type="dxa"/>
          <w:vAlign w:val="bottom"/>
        </w:tcPr>
        <w:p w:rsidR="005F0E8F" w14:paraId="54952E46"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r w14:paraId="54952E4A"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4952E48"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Ivarhus, Ida Kari</w:t>
          </w:r>
          <w:r>
            <w:rPr>
              <w:color w:val="000080"/>
              <w:sz w:val="16"/>
            </w:rPr>
            <w:fldChar w:fldCharType="end"/>
          </w:r>
          <w:r>
            <w:rPr>
              <w:color w:val="000080"/>
              <w:sz w:val="16"/>
            </w:rPr>
            <w:t xml:space="preserve"> </w:t>
          </w:r>
        </w:p>
      </w:tc>
      <w:tc>
        <w:tcPr>
          <w:tcW w:w="2879" w:type="dxa"/>
        </w:tcPr>
        <w:p w:rsidR="00FD5284" w:rsidP="00FD5284" w14:paraId="54952E49"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54952E4D"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4952E4B"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Regine Austgulen Lindtner</w:t>
          </w:r>
          <w:r>
            <w:rPr>
              <w:color w:val="000080"/>
              <w:sz w:val="16"/>
            </w:rPr>
            <w:fldChar w:fldCharType="end"/>
          </w:r>
          <w:r>
            <w:rPr>
              <w:color w:val="000080"/>
              <w:sz w:val="16"/>
            </w:rPr>
            <w:t xml:space="preserve"> </w:t>
          </w:r>
        </w:p>
      </w:tc>
      <w:tc>
        <w:tcPr>
          <w:tcW w:w="2879" w:type="dxa"/>
        </w:tcPr>
        <w:p w:rsidR="00FD5284" w14:paraId="54952E4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D78945</w:t>
          </w:r>
          <w:r>
            <w:rPr>
              <w:color w:val="000080"/>
              <w:sz w:val="16"/>
            </w:rPr>
            <w:fldChar w:fldCharType="end"/>
          </w:r>
        </w:p>
      </w:tc>
    </w:tr>
  </w:tbl>
  <w:p w:rsidR="00485214" w14:paraId="54952E4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FC1D6B"/>
    <w:multiLevelType w:val="hybridMultilevel"/>
    <w:tmpl w:val="21FE7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AE42B60"/>
    <w:multiLevelType w:val="hybridMultilevel"/>
    <w:tmpl w:val="98488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7F2B84"/>
    <w:multiLevelType w:val="hybridMultilevel"/>
    <w:tmpl w:val="46BAD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8">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773869">
    <w:abstractNumId w:val="10"/>
  </w:num>
  <w:num w:numId="2" w16cid:durableId="348024200">
    <w:abstractNumId w:val="8"/>
  </w:num>
  <w:num w:numId="3" w16cid:durableId="1851680280">
    <w:abstractNumId w:val="3"/>
  </w:num>
  <w:num w:numId="4" w16cid:durableId="251668364">
    <w:abstractNumId w:val="2"/>
  </w:num>
  <w:num w:numId="5" w16cid:durableId="1397246636">
    <w:abstractNumId w:val="1"/>
  </w:num>
  <w:num w:numId="6" w16cid:durableId="815535052">
    <w:abstractNumId w:val="0"/>
  </w:num>
  <w:num w:numId="7" w16cid:durableId="328943233">
    <w:abstractNumId w:val="9"/>
  </w:num>
  <w:num w:numId="8" w16cid:durableId="684524936">
    <w:abstractNumId w:val="7"/>
  </w:num>
  <w:num w:numId="9" w16cid:durableId="1875464248">
    <w:abstractNumId w:val="6"/>
  </w:num>
  <w:num w:numId="10" w16cid:durableId="1313677062">
    <w:abstractNumId w:val="5"/>
  </w:num>
  <w:num w:numId="11" w16cid:durableId="1179271584">
    <w:abstractNumId w:val="4"/>
  </w:num>
  <w:num w:numId="12" w16cid:durableId="1645160876">
    <w:abstractNumId w:val="11"/>
  </w:num>
  <w:num w:numId="13" w16cid:durableId="2051998419">
    <w:abstractNumId w:val="17"/>
  </w:num>
  <w:num w:numId="14" w16cid:durableId="1255167027">
    <w:abstractNumId w:val="18"/>
  </w:num>
  <w:num w:numId="15" w16cid:durableId="1900509908">
    <w:abstractNumId w:val="19"/>
  </w:num>
  <w:num w:numId="16" w16cid:durableId="1695770135">
    <w:abstractNumId w:val="13"/>
  </w:num>
  <w:num w:numId="17" w16cid:durableId="1797026273">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762918442">
    <w:abstractNumId w:val="16"/>
  </w:num>
  <w:num w:numId="19" w16cid:durableId="1902447334">
    <w:abstractNumId w:val="15"/>
  </w:num>
  <w:num w:numId="20" w16cid:durableId="425464376">
    <w:abstractNumId w:val="14"/>
  </w:num>
  <w:num w:numId="21" w16cid:durableId="1470824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33DE"/>
    <w:rsid w:val="000C6A9B"/>
    <w:rsid w:val="000C73DF"/>
    <w:rsid w:val="000C763E"/>
    <w:rsid w:val="000D3C29"/>
    <w:rsid w:val="000D5FFE"/>
    <w:rsid w:val="000D63E4"/>
    <w:rsid w:val="000F32C5"/>
    <w:rsid w:val="000F40ED"/>
    <w:rsid w:val="000F5FC0"/>
    <w:rsid w:val="00101002"/>
    <w:rsid w:val="00115094"/>
    <w:rsid w:val="00117E18"/>
    <w:rsid w:val="0012699B"/>
    <w:rsid w:val="00140619"/>
    <w:rsid w:val="00144BC1"/>
    <w:rsid w:val="00150F73"/>
    <w:rsid w:val="00151E16"/>
    <w:rsid w:val="00155765"/>
    <w:rsid w:val="00157C37"/>
    <w:rsid w:val="00161FD5"/>
    <w:rsid w:val="00176BA5"/>
    <w:rsid w:val="00187793"/>
    <w:rsid w:val="0019138B"/>
    <w:rsid w:val="0019290E"/>
    <w:rsid w:val="001A1236"/>
    <w:rsid w:val="001A4CED"/>
    <w:rsid w:val="001B1D43"/>
    <w:rsid w:val="001B37A6"/>
    <w:rsid w:val="001C094A"/>
    <w:rsid w:val="001E0601"/>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0572"/>
    <w:rsid w:val="002B1F3C"/>
    <w:rsid w:val="002B65D8"/>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3F5BBB"/>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C71F8"/>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44ED"/>
    <w:rsid w:val="00617242"/>
    <w:rsid w:val="006232C3"/>
    <w:rsid w:val="006257B2"/>
    <w:rsid w:val="006479E1"/>
    <w:rsid w:val="00650773"/>
    <w:rsid w:val="00652242"/>
    <w:rsid w:val="0067105D"/>
    <w:rsid w:val="006720B2"/>
    <w:rsid w:val="00693B1B"/>
    <w:rsid w:val="00693BE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B0E27"/>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D3546"/>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842F5"/>
    <w:rsid w:val="009A2EB0"/>
    <w:rsid w:val="009B041D"/>
    <w:rsid w:val="009B19A9"/>
    <w:rsid w:val="009C6E05"/>
    <w:rsid w:val="009D023B"/>
    <w:rsid w:val="009D072D"/>
    <w:rsid w:val="009D4154"/>
    <w:rsid w:val="009E0D59"/>
    <w:rsid w:val="009E1AE8"/>
    <w:rsid w:val="009F4B46"/>
    <w:rsid w:val="009F7668"/>
    <w:rsid w:val="00A17D23"/>
    <w:rsid w:val="00A22A38"/>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167A"/>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25F73"/>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CF3814"/>
    <w:rsid w:val="00D013CC"/>
    <w:rsid w:val="00D03EED"/>
    <w:rsid w:val="00D13046"/>
    <w:rsid w:val="00D26789"/>
    <w:rsid w:val="00D31B4C"/>
    <w:rsid w:val="00D320CC"/>
    <w:rsid w:val="00D36983"/>
    <w:rsid w:val="00D36A2D"/>
    <w:rsid w:val="00D40E94"/>
    <w:rsid w:val="00D4374F"/>
    <w:rsid w:val="00D47BD1"/>
    <w:rsid w:val="00D53A2C"/>
    <w:rsid w:val="00D7283E"/>
    <w:rsid w:val="00D8507D"/>
    <w:rsid w:val="00D925C3"/>
    <w:rsid w:val="00D948F4"/>
    <w:rsid w:val="00D95FB8"/>
    <w:rsid w:val="00DA0D76"/>
    <w:rsid w:val="00DB372D"/>
    <w:rsid w:val="00DD1C72"/>
    <w:rsid w:val="00DD2FE1"/>
    <w:rsid w:val="00DD7CFF"/>
    <w:rsid w:val="00DE2C1F"/>
    <w:rsid w:val="00DF7BA8"/>
    <w:rsid w:val="00E023CD"/>
    <w:rsid w:val="00E033C9"/>
    <w:rsid w:val="00E04941"/>
    <w:rsid w:val="00E221CA"/>
    <w:rsid w:val="00E268CB"/>
    <w:rsid w:val="00E30F00"/>
    <w:rsid w:val="00E3168F"/>
    <w:rsid w:val="00E33977"/>
    <w:rsid w:val="00E35C67"/>
    <w:rsid w:val="00E36B5C"/>
    <w:rsid w:val="00E40863"/>
    <w:rsid w:val="00E4664C"/>
    <w:rsid w:val="00E5442A"/>
    <w:rsid w:val="00E65C74"/>
    <w:rsid w:val="00E67083"/>
    <w:rsid w:val="00E75068"/>
    <w:rsid w:val="00E754D7"/>
    <w:rsid w:val="00E774C2"/>
    <w:rsid w:val="00E8039E"/>
    <w:rsid w:val="00E80759"/>
    <w:rsid w:val="00E8424E"/>
    <w:rsid w:val="00E86FAE"/>
    <w:rsid w:val="00E8758E"/>
    <w:rsid w:val="00E90D68"/>
    <w:rsid w:val="00E90EB5"/>
    <w:rsid w:val="00E96F17"/>
    <w:rsid w:val="00EA5771"/>
    <w:rsid w:val="00EB193A"/>
    <w:rsid w:val="00EB3357"/>
    <w:rsid w:val="00EB3728"/>
    <w:rsid w:val="00EB79E9"/>
    <w:rsid w:val="00EC1A89"/>
    <w:rsid w:val="00ED248C"/>
    <w:rsid w:val="00EE0410"/>
    <w:rsid w:val="00EE3B2D"/>
    <w:rsid w:val="00EF5BB3"/>
    <w:rsid w:val="00F0742A"/>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4952E06"/>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B0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pub/dok13021.htm" TargetMode="External" /><Relationship Id="rId6" Type="http://schemas.openxmlformats.org/officeDocument/2006/relationships/hyperlink" Target="https://handbok.helse-bergen.no/docs/pub/DOK53095.pdf" TargetMode="External" /><Relationship Id="rId7" Type="http://schemas.openxmlformats.org/officeDocument/2006/relationships/hyperlink" Target="https://handbok.helse-bergen.no/docs/pub/dok64570.htm"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317</TotalTime>
  <Pages>2</Pages>
  <Words>473</Words>
  <Characters>3760</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Ansvarsvakt (A-vakt) BUK Medisin B. Barn &lt;18år</vt:lpstr>
      <vt:lpstr>HBHF-mal - stående</vt:lpstr>
    </vt:vector>
  </TitlesOfParts>
  <Company>Datakvalitet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Ansvarsvakt (A-vakt) BUK Medisin B. Barn &lt;18år</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Lindtner, Regine Austgulen</cp:lastModifiedBy>
  <cp:revision>10</cp:revision>
  <cp:lastPrinted>2006-09-07T08:52:00Z</cp:lastPrinted>
  <dcterms:created xsi:type="dcterms:W3CDTF">2021-12-08T08:43:00Z</dcterms:created>
  <dcterms:modified xsi:type="dcterms:W3CDTF">2024-06-13T09:52:00Z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Ansvarsvakt (A-vakt) BUK Medisin B. Barn &lt;18år</vt:lpwstr>
  </property>
  <property fmtid="{D5CDD505-2E9C-101B-9397-08002B2CF9AE}" pid="7" name="EK_DokType">
    <vt:lpwstr>Retningslinje</vt:lpwstr>
  </property>
  <property fmtid="{D5CDD505-2E9C-101B-9397-08002B2CF9AE}" pid="8" name="EK_DokumentID">
    <vt:lpwstr>D78945</vt:lpwstr>
  </property>
  <property fmtid="{D5CDD505-2E9C-101B-9397-08002B2CF9AE}" pid="9" name="EK_EKPrintMerke">
    <vt:lpwstr>Uoffisiell utskrift er kun gyldig på utskriftsdato</vt:lpwstr>
  </property>
  <property fmtid="{D5CDD505-2E9C-101B-9397-08002B2CF9AE}" pid="10" name="EK_GjelderFra">
    <vt:lpwstr>13.06.2024</vt:lpwstr>
  </property>
  <property fmtid="{D5CDD505-2E9C-101B-9397-08002B2CF9AE}" pid="11" name="EK_GjelderTil">
    <vt:lpwstr>13.06.2026</vt:lpwstr>
  </property>
  <property fmtid="{D5CDD505-2E9C-101B-9397-08002B2CF9AE}" pid="12" name="EK_Merknad">
    <vt:lpwstr>[Merknad]</vt:lpwstr>
  </property>
  <property fmtid="{D5CDD505-2E9C-101B-9397-08002B2CF9AE}" pid="13" name="EK_RefNr">
    <vt:lpwstr>5.3.8-04</vt:lpwstr>
  </property>
  <property fmtid="{D5CDD505-2E9C-101B-9397-08002B2CF9AE}" pid="14" name="EK_S00MT1">
    <vt:lpwstr>Helse Bergen HF/Barne- og ungdomsklinikken</vt:lpwstr>
  </property>
  <property fmtid="{D5CDD505-2E9C-101B-9397-08002B2CF9AE}" pid="15" name="EK_S01MT3">
    <vt:lpwstr>[]</vt:lpwstr>
  </property>
  <property fmtid="{D5CDD505-2E9C-101B-9397-08002B2CF9AE}" pid="16" name="EK_Signatur">
    <vt:lpwstr>Ivarhus, Ida Kari</vt:lpwstr>
  </property>
  <property fmtid="{D5CDD505-2E9C-101B-9397-08002B2CF9AE}" pid="17" name="EK_UText1">
    <vt:lpwstr>Regine Austgulen Lindtner</vt:lpwstr>
  </property>
  <property fmtid="{D5CDD505-2E9C-101B-9397-08002B2CF9AE}" pid="18" name="EK_Utgave">
    <vt:lpwstr>2.00</vt:lpwstr>
  </property>
  <property fmtid="{D5CDD505-2E9C-101B-9397-08002B2CF9AE}" pid="19" name="EK_Watermark">
    <vt:lpwstr>Vannmerke</vt:lpwstr>
  </property>
  <property fmtid="{D5CDD505-2E9C-101B-9397-08002B2CF9AE}" pid="20" name="MSIP_Label_0c3ffc1c-ef00-4620-9c2f-7d9c1597774b_ActionId">
    <vt:lpwstr>c5b76214-ec6b-463b-92c7-923ff309e88e</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2024-06-04T06:46:53Z</vt:lpwstr>
  </property>
  <property fmtid="{D5CDD505-2E9C-101B-9397-08002B2CF9AE}" pid="26" name="MSIP_Label_0c3ffc1c-ef00-4620-9c2f-7d9c1597774b_SiteId">
    <vt:lpwstr>bdcbe535-f3cf-49f5-8a6a-fb6d98dc7837</vt:lpwstr>
  </property>
</Properties>
</file>