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EC626A" w:rsidRPr="00CF7D0E" w:rsidP="00EC626A" w14:paraId="5B78DAA7" w14:textId="77777777">
      <w:pPr>
        <w:pStyle w:val="Heading1"/>
      </w:pPr>
      <w:bookmarkStart w:id="0" w:name="_Ref150970340"/>
      <w:r>
        <w:t>Hensikt og omfang</w:t>
      </w:r>
      <w:bookmarkEnd w:id="0"/>
    </w:p>
    <w:p w:rsidR="00EC626A" w:rsidP="00EC626A" w14:paraId="46693161" w14:textId="77777777">
      <w:r w:rsidRPr="00CF7D0E">
        <w:t xml:space="preserve">Retningslinjen skal være til hjelp for stråleterapeuter, doseplanleggere, fysikere og leger som er involvert i planlegging av </w:t>
      </w:r>
      <w:r>
        <w:t>protonterapi</w:t>
      </w:r>
      <w:r w:rsidRPr="00CF7D0E">
        <w:t xml:space="preserve">. </w:t>
      </w:r>
      <w:r w:rsidRPr="009629A5">
        <w:rPr>
          <w:iCs/>
        </w:rPr>
        <w:t xml:space="preserve">Majoriteten av krav og anbefalinger </w:t>
      </w:r>
      <w:r w:rsidRPr="00871219">
        <w:rPr>
          <w:iCs/>
        </w:rPr>
        <w:t>i dette dokumentet er tentative. Det kreves uttesting og diskusjoner for å etablere endelige anbefalinger.</w:t>
      </w:r>
    </w:p>
    <w:p w:rsidR="00EC626A" w:rsidRPr="00871219" w:rsidP="00EC626A" w14:paraId="4C98219E" w14:textId="77777777">
      <w:r w:rsidRPr="00871219">
        <w:rPr>
          <w:rFonts w:ascii="Calibri" w:hAnsi="Calibri" w:cs="Calibri"/>
        </w:rPr>
        <w:t>Computertomografi (CT) er den primære bildemodaliteten nødvendig for doseplanlegging</w:t>
      </w:r>
      <w:r>
        <w:rPr>
          <w:rFonts w:ascii="Calibri" w:hAnsi="Calibri" w:cs="Calibri"/>
        </w:rPr>
        <w:t xml:space="preserve">. PET og MR kan gi ytterligere informasjon ved inntegning av målvolumet. Vi vil her beskrive de nødvendige stegene ved avbildning av pasienter tiltenkt protonbehandling: fiksering, kontrastbruk, pustestyring-/registrering som tilrettelegger for god </w:t>
      </w:r>
      <w:r>
        <w:rPr>
          <w:rFonts w:ascii="Calibri" w:hAnsi="Calibri" w:cs="Calibri"/>
        </w:rPr>
        <w:t>reproduserbarhet</w:t>
      </w:r>
      <w:r>
        <w:rPr>
          <w:rFonts w:ascii="Calibri" w:hAnsi="Calibri" w:cs="Calibri"/>
        </w:rPr>
        <w:t xml:space="preserve"> gjennom flere ukers strålebehandling. CT og MR protokoller ved Haukeland og Oslo Universitetssykehus sammenstilles for de mest relevante diagnosene, og noen generelle anbefalinger gis.</w:t>
      </w:r>
    </w:p>
    <w:p w:rsidR="00EC626A" w:rsidP="00EC626A" w14:paraId="034E79E7" w14:textId="77777777">
      <w:pPr>
        <w:autoSpaceDE w:val="0"/>
        <w:autoSpaceDN w:val="0"/>
        <w:adjustRightInd w:val="0"/>
        <w:rPr>
          <w:rFonts w:ascii="Calibri" w:hAnsi="Calibri" w:cs="Calibri"/>
        </w:rPr>
      </w:pPr>
      <w:r>
        <w:rPr>
          <w:rFonts w:ascii="Calibri" w:hAnsi="Calibri" w:cs="Calibri"/>
        </w:rPr>
        <w:t>Dose anbefales beregnet på single-</w:t>
      </w:r>
      <w:r>
        <w:rPr>
          <w:rFonts w:ascii="Calibri" w:hAnsi="Calibri" w:cs="Calibri"/>
        </w:rPr>
        <w:t>energy</w:t>
      </w:r>
      <w:r>
        <w:rPr>
          <w:rFonts w:ascii="Calibri" w:hAnsi="Calibri" w:cs="Calibri"/>
        </w:rPr>
        <w:t xml:space="preserve"> CT (SECT) ved hjelp av </w:t>
      </w:r>
      <w:r>
        <w:rPr>
          <w:rFonts w:ascii="Calibri" w:hAnsi="Calibri" w:cs="Calibri"/>
        </w:rPr>
        <w:t>Hounsfield</w:t>
      </w:r>
      <w:r>
        <w:rPr>
          <w:rFonts w:ascii="Calibri" w:hAnsi="Calibri" w:cs="Calibri"/>
        </w:rPr>
        <w:t xml:space="preserve"> (HU) oppslagstabeller (HLUT). Bruk av dual </w:t>
      </w:r>
      <w:r>
        <w:rPr>
          <w:rFonts w:ascii="Calibri" w:hAnsi="Calibri" w:cs="Calibri"/>
        </w:rPr>
        <w:t>energy</w:t>
      </w:r>
      <w:r>
        <w:rPr>
          <w:rFonts w:ascii="Calibri" w:hAnsi="Calibri" w:cs="Calibri"/>
        </w:rPr>
        <w:t xml:space="preserve"> CT (DECT) for å finne stopping </w:t>
      </w:r>
      <w:r>
        <w:rPr>
          <w:rFonts w:ascii="Calibri" w:hAnsi="Calibri" w:cs="Calibri"/>
        </w:rPr>
        <w:t>power</w:t>
      </w:r>
      <w:r>
        <w:rPr>
          <w:rFonts w:ascii="Calibri" w:hAnsi="Calibri" w:cs="Calibri"/>
        </w:rPr>
        <w:t xml:space="preserve"> ratio (SPR) direkte og redusere tetthetsusikkerheter kan vurderes, men er lite brukt ved andre protonsentre. DECT kan også gi bedre bildekvalitet og redusere metallartefakter.</w:t>
      </w:r>
    </w:p>
    <w:p w:rsidR="00EC626A" w:rsidP="00EC626A" w14:paraId="74A73BAD" w14:textId="77777777">
      <w:pPr>
        <w:autoSpaceDE w:val="0"/>
        <w:autoSpaceDN w:val="0"/>
        <w:adjustRightInd w:val="0"/>
        <w:rPr>
          <w:rFonts w:ascii="Calibri" w:hAnsi="Calibri" w:cs="Calibri"/>
        </w:rPr>
      </w:pPr>
      <w:r>
        <w:rPr>
          <w:rFonts w:ascii="Calibri" w:hAnsi="Calibri" w:cs="Calibri"/>
        </w:rPr>
        <w:t xml:space="preserve">Kvalitetskontroll ved de ulike bildemodalitetene anbefales videreført fra gjeldende prosedyrer og skal utføres av fysikere med spesialkompetanse. Det kommenteres likevel på stråleterapiens spesielle behov for noen ekstra kvalitetskontroller. </w:t>
      </w:r>
    </w:p>
    <w:p w:rsidR="00EC626A" w:rsidP="00EC626A" w14:paraId="4EA954DC" w14:textId="77777777">
      <w:pPr>
        <w:autoSpaceDE w:val="0"/>
        <w:autoSpaceDN w:val="0"/>
        <w:adjustRightInd w:val="0"/>
        <w:rPr>
          <w:rFonts w:ascii="Calibri" w:hAnsi="Calibri" w:cs="Calibri"/>
        </w:rPr>
      </w:pPr>
      <w:r>
        <w:rPr>
          <w:rFonts w:ascii="Calibri" w:hAnsi="Calibri" w:cs="Calibri"/>
        </w:rPr>
        <w:t xml:space="preserve">Det beskrives forberedelser og krav fra studier. Tiltak ved nedetid på CT beskrives kort.  </w:t>
      </w:r>
    </w:p>
    <w:p w:rsidR="00EC626A" w:rsidP="00EC626A" w14:paraId="30C85D9E" w14:textId="77777777">
      <w:pPr>
        <w:autoSpaceDE w:val="0"/>
        <w:autoSpaceDN w:val="0"/>
        <w:adjustRightInd w:val="0"/>
        <w:rPr>
          <w:rFonts w:ascii="Calibri" w:hAnsi="Calibri" w:cs="Calibri"/>
        </w:rPr>
      </w:pPr>
    </w:p>
    <w:p w:rsidR="00EC626A" w:rsidRPr="00CF7D0E" w:rsidP="00EC626A" w14:paraId="512953D0" w14:textId="77777777">
      <w:pPr>
        <w:pStyle w:val="Heading1"/>
      </w:pPr>
      <w:r>
        <w:t>Ansvar</w:t>
      </w:r>
    </w:p>
    <w:p w:rsidR="00EC626A" w:rsidP="00EC626A" w14:paraId="39812EE0" w14:textId="77777777">
      <w:r>
        <w:t xml:space="preserve">Denne retningslinjen er utviklet av en gruppe bestående av sentrale fagpersoner innenfor strålebehandling og diagnostikk ved Oslo Universitetssykehus og Haukeland Universitetssykehus. Retningslinjen skal avstemmes med </w:t>
      </w:r>
      <w:r w:rsidRPr="007A0934">
        <w:t>stråleterapimiljøer på St. Olavs hospital og Universitetssykehuset Nord-Norge</w:t>
      </w:r>
      <w:r>
        <w:t>.</w:t>
      </w:r>
    </w:p>
    <w:p w:rsidR="00EC626A" w:rsidP="00EC626A" w14:paraId="7E903AA6" w14:textId="77777777"/>
    <w:p w:rsidR="00EC626A" w:rsidP="00EC626A" w14:paraId="2BF018D3" w14:textId="77777777">
      <w:pPr>
        <w:pStyle w:val="Heading1"/>
      </w:pPr>
      <w:r>
        <w:t>CT</w:t>
      </w:r>
    </w:p>
    <w:p w:rsidR="00EC626A" w:rsidP="00EC626A" w14:paraId="34F51B23" w14:textId="77777777">
      <w:r>
        <w:t>Et CT-skann i behandlingsposisjon fungerer som en referansemodell av pasienten for stråleterapi. Det brukes både til doseplanlegging og inntegning av tumor og normalvev. Skanneren måler attenuasjon av røntgenstråling gjennom pasienten, og det er ikke en en-til-en fysisk sammenheng mellom attenuasjonen og vevets evne til å bremse partikler. Kalibrering fra CT-tall til SPR vil bidra med usikkerheter inn i doseberegningen, og ved mange sentre brukes en rekkeviddeusikkerhet på 3.5 %</w:t>
      </w:r>
      <w:sdt>
        <w:sdtPr>
          <w:id w:val="556905472"/>
          <w:citation/>
        </w:sdtPr>
        <w:sdtContent>
          <w:r>
            <w:fldChar w:fldCharType="begin"/>
          </w:r>
          <w:r>
            <w:instrText xml:space="preserve"> CITATION Goi85 \l 1044  \m Vic18</w:instrText>
          </w:r>
          <w:r>
            <w:fldChar w:fldCharType="separate"/>
          </w:r>
          <w:r>
            <w:rPr>
              <w:noProof/>
            </w:rPr>
            <w:t xml:space="preserve"> </w:t>
          </w:r>
          <w:r w:rsidRPr="00180E81">
            <w:rPr>
              <w:noProof/>
            </w:rPr>
            <w:t>[1, 2]</w:t>
          </w:r>
          <w:r>
            <w:fldChar w:fldCharType="end"/>
          </w:r>
        </w:sdtContent>
      </w:sdt>
      <w:r>
        <w:t xml:space="preserve">. </w:t>
      </w:r>
    </w:p>
    <w:p w:rsidR="00EC626A" w:rsidP="00EC626A" w14:paraId="3A1EE84E" w14:textId="77777777">
      <w:r>
        <w:t xml:space="preserve">Det er viktig å ta i bruk ny teknologi som kan øke bildekvaliteten, uten å påvirke dosen gitt til pasienten. Det er nå standard å bruke automatisk eksponeringskontroll, algoritme for reduksjon av beam </w:t>
      </w:r>
      <w:r>
        <w:t>hardening</w:t>
      </w:r>
      <w:r>
        <w:t xml:space="preserve">-effekter for bein, iterativ metode for rekonstruksjon av bildet, metall-artefakt reduksjonsalgoritmer og DECT. </w:t>
      </w:r>
    </w:p>
    <w:p w:rsidR="00EC626A" w:rsidP="00EC626A" w14:paraId="4EC2C2F7" w14:textId="77777777">
      <w:r>
        <w:t xml:space="preserve">CT er en kilde til stråledose, og det skal derfor jobbes systematisk med å redusere dosen for alle protokoller. Dette gjelder spesielt ved barneprotokoller. Ekstra bildeopptak må alltid være berettiget </w:t>
      </w:r>
      <w:sdt>
        <w:sdtPr>
          <w:id w:val="-2000880714"/>
          <w:citation/>
        </w:sdtPr>
        <w:sdtContent>
          <w:r>
            <w:fldChar w:fldCharType="begin"/>
          </w:r>
          <w:r>
            <w:instrText xml:space="preserve">CITATION Dir05 \l 1044 </w:instrText>
          </w:r>
          <w:r>
            <w:fldChar w:fldCharType="separate"/>
          </w:r>
          <w:r w:rsidRPr="00180E81">
            <w:rPr>
              <w:noProof/>
            </w:rPr>
            <w:t>[3]</w:t>
          </w:r>
          <w:r>
            <w:fldChar w:fldCharType="end"/>
          </w:r>
        </w:sdtContent>
      </w:sdt>
      <w:r>
        <w:t xml:space="preserve">. </w:t>
      </w:r>
    </w:p>
    <w:p w:rsidR="00EC626A" w:rsidRPr="0014376E" w:rsidP="00EC626A" w14:paraId="38D30426" w14:textId="77777777"/>
    <w:p w:rsidR="00EC626A" w:rsidP="00EC626A" w14:paraId="20BE5446" w14:textId="77777777">
      <w:pPr>
        <w:pStyle w:val="Heading2"/>
      </w:pPr>
      <w:r>
        <w:t>Kalibreringskurver i protonterapi</w:t>
      </w:r>
    </w:p>
    <w:p w:rsidR="00EC626A" w:rsidRPr="00150352" w:rsidP="00EC626A" w14:paraId="40B3D367" w14:textId="77777777">
      <w:pPr>
        <w:rPr>
          <w:rFonts w:ascii="Segoe UI" w:hAnsi="Segoe UI" w:cs="Segoe UI"/>
          <w:sz w:val="18"/>
          <w:szCs w:val="18"/>
        </w:rPr>
      </w:pPr>
      <w:r w:rsidRPr="00150352">
        <w:t>Siden SPR ikke kan oppnås direkte fra et CT-skann</w:t>
      </w:r>
      <w:r>
        <w:t>,</w:t>
      </w:r>
      <w:r w:rsidRPr="00150352">
        <w:t xml:space="preserve"> må vi etablere kalibreringskurver for de kliniske protokollene som skal brukes. </w:t>
      </w:r>
      <w:r>
        <w:t>CT-tall</w:t>
      </w:r>
      <w:r w:rsidRPr="00150352">
        <w:t xml:space="preserve"> er avhengig av forskjellige parametere, som </w:t>
      </w:r>
      <w:r>
        <w:t>CT-</w:t>
      </w:r>
      <w:r w:rsidRPr="00150352">
        <w:t xml:space="preserve">skanner, CT-energi, CT-kollimering, rekonstruksjonsalgoritme og fantomstørrelse/type brukt under kalibreringsprosessen. </w:t>
      </w:r>
      <w:r>
        <w:t>Forskjellige kliniske protokoller kan bruke ulike parametere på skanneren, og dermed gi ulike CT-tall for samme fantom. Ved stor variasjon av CT-tall er det derfor viktig å anvende egne kalibreringskurver. Det må likevel bemerkes at hvis variasjonen er liten kan det benyttes samme kalibreringskurve over flere protokoller.</w:t>
      </w:r>
    </w:p>
    <w:p w:rsidR="00EC626A" w:rsidP="00EC626A" w14:paraId="4DC1E551" w14:textId="77777777">
      <w:r>
        <w:t xml:space="preserve">Et veldig viktig arbeid som skal gjøres er derfor å få en oversikt og definere hvilke protokoller og parametere man skal anvende klinisk på CT-en før man starter kalibreringsprosessen. Videre bør kalibreringsfantomet (både hode og kroppsfantom) skannes med alle protokoller hvor variasjonen i CT-tall undersøkes. Det bør tilstrebes å anvende færrest mulig kalibreringskurver for å redusere kompleksiteten ved doseplanlegging. Vi anbefaler å undersøke om den </w:t>
      </w:r>
      <w:r>
        <w:t>dosimetriske</w:t>
      </w:r>
      <w:r>
        <w:t xml:space="preserve"> forskjellen er liten nok til at man kan bruke én kalibreringskurve per kilovolt-energinivåer (kV) og CT-skanner.  </w:t>
      </w:r>
    </w:p>
    <w:p w:rsidR="00EC626A" w:rsidP="00EC626A" w14:paraId="22873888" w14:textId="77777777">
      <w:r>
        <w:t>Selve genereringen av kalibreringskurver kan gjøres på forskjellige måter:</w:t>
      </w:r>
    </w:p>
    <w:p w:rsidR="00EC626A" w:rsidP="00EC626A" w14:paraId="389086A8" w14:textId="77777777">
      <w:pPr>
        <w:pStyle w:val="ListParagraph"/>
        <w:numPr>
          <w:ilvl w:val="0"/>
          <w:numId w:val="7"/>
        </w:numPr>
        <w:spacing w:after="200" w:line="276" w:lineRule="auto"/>
      </w:pPr>
      <w:r>
        <w:t xml:space="preserve">Empirisk: Man måler HU-verdier i fantom med vevsekvivalente innsatser med kjent </w:t>
      </w:r>
      <w:r>
        <w:t>materialtetthet</w:t>
      </w:r>
      <w:r>
        <w:t xml:space="preserve"> eller SPR.</w:t>
      </w:r>
    </w:p>
    <w:p w:rsidR="00EC626A" w:rsidP="00EC626A" w14:paraId="1B8ABF4A" w14:textId="77777777">
      <w:pPr>
        <w:pStyle w:val="ListParagraph"/>
        <w:numPr>
          <w:ilvl w:val="0"/>
          <w:numId w:val="7"/>
        </w:numPr>
        <w:spacing w:after="200" w:line="276" w:lineRule="auto"/>
      </w:pPr>
      <w:r>
        <w:t>Stokiometrisk</w:t>
      </w:r>
      <w:r>
        <w:t xml:space="preserve">: Man beregner syntetiske HU-verdier som korresponderer til materialsammensetningen og tettheten til ekte vevsprøver. Beregningen av disse syntetiske HU-verdiene gjøres ved å bruke en metode fra Schneider (1996) som anvender målte HU-verdier fra innsatser med kjent materialkomposisjon til å karakterisere røntgenspekteret til CT-skanneren man har tilgjengelig </w:t>
      </w:r>
      <w:sdt>
        <w:sdtPr>
          <w:id w:val="-333463575"/>
          <w:citation/>
        </w:sdtPr>
        <w:sdtContent>
          <w:r>
            <w:fldChar w:fldCharType="begin"/>
          </w:r>
          <w:r>
            <w:instrText xml:space="preserve"> CITATION USc96 \l 1044 </w:instrText>
          </w:r>
          <w:r>
            <w:fldChar w:fldCharType="separate"/>
          </w:r>
          <w:r w:rsidRPr="00180E81">
            <w:rPr>
              <w:noProof/>
            </w:rPr>
            <w:t>[4]</w:t>
          </w:r>
          <w:r>
            <w:fldChar w:fldCharType="end"/>
          </w:r>
        </w:sdtContent>
      </w:sdt>
      <w:r>
        <w:t>.</w:t>
      </w:r>
    </w:p>
    <w:p w:rsidR="00EC626A" w:rsidP="00EC626A" w14:paraId="34D92EB5" w14:textId="77777777">
      <w:pPr>
        <w:pStyle w:val="ListParagraph"/>
        <w:numPr>
          <w:ilvl w:val="0"/>
          <w:numId w:val="7"/>
        </w:numPr>
        <w:spacing w:after="200" w:line="276" w:lineRule="auto"/>
      </w:pPr>
      <w:r>
        <w:t xml:space="preserve">Hybrid: En kombinasjon av empirisk og </w:t>
      </w:r>
      <w:r>
        <w:t>stokiometrisk</w:t>
      </w:r>
      <w:r>
        <w:t xml:space="preserve"> metode. Beskrevet i konsensusguiden fra ESTRO og EPTN </w:t>
      </w:r>
      <w:sdt>
        <w:sdtPr>
          <w:id w:val="-2111882189"/>
          <w:citation/>
        </w:sdtPr>
        <w:sdtContent>
          <w:r>
            <w:fldChar w:fldCharType="begin"/>
          </w:r>
          <w:r>
            <w:instrText xml:space="preserve">CITATION Peters23 \l 1044 </w:instrText>
          </w:r>
          <w:r>
            <w:fldChar w:fldCharType="separate"/>
          </w:r>
          <w:r w:rsidRPr="00180E81">
            <w:rPr>
              <w:noProof/>
            </w:rPr>
            <w:t>[5]</w:t>
          </w:r>
          <w:r>
            <w:fldChar w:fldCharType="end"/>
          </w:r>
        </w:sdtContent>
      </w:sdt>
      <w:r>
        <w:t>.</w:t>
      </w:r>
    </w:p>
    <w:p w:rsidR="00EC626A" w:rsidP="00EC626A" w14:paraId="0AE1B1C5" w14:textId="77777777">
      <w:pPr>
        <w:pStyle w:val="Heading3"/>
        <w:numPr>
          <w:ilvl w:val="2"/>
          <w:numId w:val="2"/>
        </w:numPr>
        <w:tabs>
          <w:tab w:val="num" w:pos="703"/>
        </w:tabs>
        <w:ind w:left="567" w:hanging="567"/>
      </w:pPr>
      <w:r>
        <w:t>Kalibreringsprosessen</w:t>
      </w:r>
    </w:p>
    <w:p w:rsidR="00EC626A" w:rsidP="00EC626A" w14:paraId="0F6D8825" w14:textId="77777777">
      <w:pPr>
        <w:pStyle w:val="NoSpacing"/>
      </w:pPr>
      <w:r>
        <w:t xml:space="preserve">Det har blitt funnet store forskjeller i kalibreringsprosessen mellom protonsentre </w:t>
      </w:r>
      <w:sdt>
        <w:sdtPr>
          <w:id w:val="183791670"/>
          <w:citation/>
        </w:sdtPr>
        <w:sdtContent>
          <w:r>
            <w:fldChar w:fldCharType="begin"/>
          </w:r>
          <w:r>
            <w:instrText xml:space="preserve">CITATION Vic18 \l 1044 </w:instrText>
          </w:r>
          <w:r>
            <w:fldChar w:fldCharType="separate"/>
          </w:r>
          <w:r w:rsidRPr="00180E81">
            <w:rPr>
              <w:noProof/>
            </w:rPr>
            <w:t>[2]</w:t>
          </w:r>
          <w:r>
            <w:fldChar w:fldCharType="end"/>
          </w:r>
        </w:sdtContent>
      </w:sdt>
      <w:r>
        <w:t xml:space="preserve">. Dette har derfor ført til en konsensusguide fra ESTRO og EPTN </w:t>
      </w:r>
      <w:sdt>
        <w:sdtPr>
          <w:id w:val="1426468141"/>
          <w:citation/>
        </w:sdtPr>
        <w:sdtContent>
          <w:r>
            <w:fldChar w:fldCharType="begin"/>
          </w:r>
          <w:r>
            <w:instrText xml:space="preserve">CITATION Peters23 \l 1044 </w:instrText>
          </w:r>
          <w:r>
            <w:fldChar w:fldCharType="separate"/>
          </w:r>
          <w:r w:rsidRPr="00180E81">
            <w:rPr>
              <w:noProof/>
            </w:rPr>
            <w:t>[5]</w:t>
          </w:r>
          <w:r>
            <w:fldChar w:fldCharType="end"/>
          </w:r>
        </w:sdtContent>
      </w:sdt>
      <w:r>
        <w:t>. Denne gir en detaljert beskrivelse av kalibreringsprosessen, og vi anbefaler at denne følges. En kort o</w:t>
      </w:r>
      <w:r w:rsidRPr="009B295A">
        <w:t>versikt over prosessen</w:t>
      </w:r>
      <w:r>
        <w:t xml:space="preserve"> er gjengitt under</w:t>
      </w:r>
      <w:r w:rsidRPr="009B295A">
        <w:t>:</w:t>
      </w:r>
      <w:r>
        <w:t xml:space="preserve"> </w:t>
      </w:r>
    </w:p>
    <w:p w:rsidR="00EC626A" w:rsidP="00EC626A" w14:paraId="780CA20B" w14:textId="77777777">
      <w:pPr>
        <w:pStyle w:val="NoSpacing"/>
      </w:pPr>
    </w:p>
    <w:p w:rsidR="00EC626A" w:rsidP="00EC626A" w14:paraId="17B17F74" w14:textId="77777777">
      <w:pPr>
        <w:pStyle w:val="NoSpacing"/>
        <w:numPr>
          <w:ilvl w:val="0"/>
          <w:numId w:val="3"/>
        </w:numPr>
      </w:pPr>
      <w:r>
        <w:t>Bestem CT-protokollene som skal anvendes i klinikken</w:t>
      </w:r>
    </w:p>
    <w:p w:rsidR="00EC626A" w:rsidP="00EC626A" w14:paraId="0F733792" w14:textId="77777777">
      <w:pPr>
        <w:pStyle w:val="NoSpacing"/>
        <w:numPr>
          <w:ilvl w:val="0"/>
          <w:numId w:val="3"/>
        </w:numPr>
      </w:pPr>
      <w:r w:rsidRPr="007C67EC">
        <w:t xml:space="preserve">Velg </w:t>
      </w:r>
      <w:r>
        <w:t xml:space="preserve">et </w:t>
      </w:r>
      <w:r w:rsidRPr="007C67EC">
        <w:t>CT</w:t>
      </w:r>
      <w:r>
        <w:t>-</w:t>
      </w:r>
      <w:r w:rsidRPr="007C67EC">
        <w:t xml:space="preserve">fantom med innsatser </w:t>
      </w:r>
      <w:r>
        <w:t>i</w:t>
      </w:r>
      <w:r w:rsidRPr="007C67EC">
        <w:t xml:space="preserve"> </w:t>
      </w:r>
      <w:r>
        <w:t>vevsekvivalente materialer:</w:t>
      </w:r>
    </w:p>
    <w:p w:rsidR="00EC626A" w:rsidRPr="00981504" w:rsidP="00EC626A" w14:paraId="522798E1" w14:textId="77777777">
      <w:pPr>
        <w:pStyle w:val="NoSpacing"/>
        <w:numPr>
          <w:ilvl w:val="1"/>
          <w:numId w:val="3"/>
        </w:numPr>
        <w:rPr>
          <w:lang w:val="en-US"/>
        </w:rPr>
      </w:pPr>
      <w:r w:rsidRPr="00981504">
        <w:rPr>
          <w:rFonts w:ascii="Calibri" w:hAnsi="Calibri" w:cs="Calibri"/>
          <w:lang w:val="en-US"/>
        </w:rPr>
        <w:t>Gammex</w:t>
      </w:r>
      <w:r w:rsidRPr="00981504">
        <w:rPr>
          <w:rFonts w:ascii="Calibri" w:hAnsi="Calibri" w:cs="Calibri"/>
          <w:lang w:val="en-US"/>
        </w:rPr>
        <w:t xml:space="preserve"> Advanced Electron Density (AED) phantom</w:t>
      </w:r>
    </w:p>
    <w:p w:rsidR="00EC626A" w:rsidP="00EC626A" w14:paraId="5420DC75" w14:textId="77777777">
      <w:pPr>
        <w:pStyle w:val="NoSpacing"/>
        <w:numPr>
          <w:ilvl w:val="1"/>
          <w:numId w:val="3"/>
        </w:numPr>
        <w:rPr>
          <w:lang w:val="en-US"/>
        </w:rPr>
      </w:pPr>
      <w:r w:rsidRPr="00A43549">
        <w:rPr>
          <w:lang w:val="en-US"/>
        </w:rPr>
        <w:t>CIRS</w:t>
      </w:r>
      <w:r>
        <w:rPr>
          <w:lang w:val="en-US"/>
        </w:rPr>
        <w:t xml:space="preserve"> </w:t>
      </w:r>
      <w:r w:rsidRPr="00A43549">
        <w:rPr>
          <w:lang w:val="en-US"/>
        </w:rPr>
        <w:t>EPTN phantom</w:t>
      </w:r>
    </w:p>
    <w:p w:rsidR="00EC626A" w:rsidRPr="00981504" w:rsidP="00EC626A" w14:paraId="0BB663DA" w14:textId="77777777">
      <w:pPr>
        <w:pStyle w:val="NoSpacing"/>
        <w:numPr>
          <w:ilvl w:val="1"/>
          <w:numId w:val="3"/>
        </w:numPr>
        <w:rPr>
          <w:lang w:val="en-US"/>
        </w:rPr>
      </w:pPr>
      <w:r w:rsidRPr="00981504">
        <w:rPr>
          <w:rFonts w:ascii="Calibri" w:hAnsi="Calibri" w:cs="Calibri"/>
          <w:lang w:val="en-US"/>
        </w:rPr>
        <w:t>CIRS Electron density phantom Model 062M</w:t>
      </w:r>
    </w:p>
    <w:p w:rsidR="00EC626A" w:rsidP="00EC626A" w14:paraId="6F215286" w14:textId="77777777">
      <w:pPr>
        <w:pStyle w:val="NoSpacing"/>
        <w:numPr>
          <w:ilvl w:val="0"/>
          <w:numId w:val="3"/>
        </w:numPr>
      </w:pPr>
      <w:r>
        <w:t>Skann</w:t>
      </w:r>
      <w:r w:rsidRPr="00110E6B">
        <w:t xml:space="preserve"> fantomet med CT</w:t>
      </w:r>
      <w:r>
        <w:t>-</w:t>
      </w:r>
      <w:r w:rsidRPr="00110E6B">
        <w:t>s</w:t>
      </w:r>
      <w:r>
        <w:t>k</w:t>
      </w:r>
      <w:r w:rsidRPr="00110E6B">
        <w:t>anneren og protokollene som skal brukes kl</w:t>
      </w:r>
      <w:r>
        <w:t xml:space="preserve">inisk. </w:t>
      </w:r>
      <w:r w:rsidRPr="00FA7400">
        <w:t xml:space="preserve">Man trenger bilder både til å lage og </w:t>
      </w:r>
      <w:r>
        <w:t xml:space="preserve">å </w:t>
      </w:r>
      <w:r w:rsidRPr="00FA7400">
        <w:t xml:space="preserve">validere </w:t>
      </w:r>
      <w:r>
        <w:t>kalibreringskurvene</w:t>
      </w:r>
    </w:p>
    <w:p w:rsidR="00EC626A" w:rsidP="00EC626A" w14:paraId="6C67BE96" w14:textId="77777777">
      <w:pPr>
        <w:pStyle w:val="NoSpacing"/>
        <w:numPr>
          <w:ilvl w:val="0"/>
          <w:numId w:val="3"/>
        </w:numPr>
      </w:pPr>
      <w:r w:rsidRPr="00983B02">
        <w:t xml:space="preserve">Finn </w:t>
      </w:r>
      <w:r>
        <w:t>HU-verdien</w:t>
      </w:r>
      <w:r w:rsidRPr="00983B02">
        <w:t xml:space="preserve"> for h</w:t>
      </w:r>
      <w:r>
        <w:t>ver innsats og estimer HU-verdien for tabulerte vevsverdier</w:t>
      </w:r>
    </w:p>
    <w:p w:rsidR="00EC626A" w:rsidRPr="00983B02" w:rsidP="00EC626A" w14:paraId="63076D83" w14:textId="77777777">
      <w:pPr>
        <w:pStyle w:val="NoSpacing"/>
        <w:numPr>
          <w:ilvl w:val="1"/>
          <w:numId w:val="3"/>
        </w:numPr>
      </w:pPr>
      <w:r>
        <w:t xml:space="preserve">Evaluer i hvilken grad HU-verdier for samme innsats varierer med bl.a. protokoll, rekonstruksjonsalgoritme og fantomstørrelse. Det er fordelaktig med færrest mulig kalibreringskurver, noe som derfor bør tilstrebes </w:t>
      </w:r>
    </w:p>
    <w:p w:rsidR="00EC626A" w:rsidRPr="00CF36AD" w:rsidP="00EC626A" w14:paraId="2F011F85" w14:textId="77777777">
      <w:pPr>
        <w:pStyle w:val="NoSpacing"/>
        <w:numPr>
          <w:ilvl w:val="0"/>
          <w:numId w:val="3"/>
        </w:numPr>
      </w:pPr>
      <w:r w:rsidRPr="00CF36AD">
        <w:t xml:space="preserve">Mål </w:t>
      </w:r>
      <w:r>
        <w:t xml:space="preserve">(ev. </w:t>
      </w:r>
      <w:r>
        <w:t>beregn</w:t>
      </w:r>
      <w:r>
        <w:t>)</w:t>
      </w:r>
      <w:r w:rsidRPr="00CF36AD">
        <w:t xml:space="preserve"> SPR for innsatsene</w:t>
      </w:r>
      <w:r>
        <w:t xml:space="preserve"> </w:t>
      </w:r>
      <w:r w:rsidRPr="00CF36AD">
        <w:t xml:space="preserve">og </w:t>
      </w:r>
      <w:r w:rsidRPr="00CF36AD">
        <w:t>bere</w:t>
      </w:r>
      <w:r>
        <w:t>gn</w:t>
      </w:r>
      <w:r>
        <w:t xml:space="preserve"> SPR for tabulerte vevsverdier</w:t>
      </w:r>
    </w:p>
    <w:p w:rsidR="00EC626A" w:rsidRPr="00A76332" w:rsidP="00EC626A" w14:paraId="5922FE7E" w14:textId="77777777">
      <w:pPr>
        <w:pStyle w:val="NoSpacing"/>
        <w:numPr>
          <w:ilvl w:val="0"/>
          <w:numId w:val="3"/>
        </w:numPr>
      </w:pPr>
      <w:r w:rsidRPr="002E1747">
        <w:t xml:space="preserve">Gjør </w:t>
      </w:r>
      <w:r w:rsidRPr="002E1747">
        <w:t>stykkevis</w:t>
      </w:r>
      <w:r>
        <w:t>e</w:t>
      </w:r>
      <w:r w:rsidRPr="002E1747">
        <w:t xml:space="preserve"> lineære </w:t>
      </w:r>
      <w:r>
        <w:t>tilpasninger</w:t>
      </w:r>
      <w:r w:rsidRPr="002E1747">
        <w:t xml:space="preserve"> mellom </w:t>
      </w:r>
      <w:r>
        <w:t>HU-verdier</w:t>
      </w:r>
      <w:r w:rsidRPr="002E1747">
        <w:t xml:space="preserve"> og SPR med en lineær regresjon for hver vevsgruppe; lunge, fett</w:t>
      </w:r>
      <w:r>
        <w:t>vev</w:t>
      </w:r>
      <w:r w:rsidRPr="002E1747">
        <w:t xml:space="preserve">, </w:t>
      </w:r>
      <w:r>
        <w:t>bløtvev og bein. Det er anbefalt å bruke skript som står oppført i konsensusguiden</w:t>
      </w:r>
    </w:p>
    <w:p w:rsidR="00EC626A" w:rsidRPr="00981504" w:rsidP="00EC626A" w14:paraId="2E8A0510" w14:textId="77777777">
      <w:pPr>
        <w:pStyle w:val="NoSpacing"/>
        <w:numPr>
          <w:ilvl w:val="0"/>
          <w:numId w:val="3"/>
        </w:numPr>
        <w:rPr>
          <w:lang w:val="en-GB"/>
        </w:rPr>
      </w:pPr>
      <w:r w:rsidRPr="00C002BF">
        <w:rPr>
          <w:lang w:val="en-GB"/>
        </w:rPr>
        <w:t>Evaluer</w:t>
      </w:r>
      <w:r w:rsidRPr="00C002BF">
        <w:rPr>
          <w:lang w:val="en-GB"/>
        </w:rPr>
        <w:t xml:space="preserve"> </w:t>
      </w:r>
      <w:r w:rsidRPr="00C002BF">
        <w:rPr>
          <w:lang w:val="en-GB"/>
        </w:rPr>
        <w:t>og</w:t>
      </w:r>
      <w:r w:rsidRPr="00C002BF">
        <w:rPr>
          <w:lang w:val="en-GB"/>
        </w:rPr>
        <w:t xml:space="preserve"> </w:t>
      </w:r>
      <w:r w:rsidRPr="00C002BF">
        <w:rPr>
          <w:lang w:val="en-GB"/>
        </w:rPr>
        <w:t>valider</w:t>
      </w:r>
      <w:r w:rsidRPr="00C002BF">
        <w:rPr>
          <w:lang w:val="en-GB"/>
        </w:rPr>
        <w:t xml:space="preserve"> </w:t>
      </w:r>
      <w:r>
        <w:t>kalibreringskurvene</w:t>
      </w:r>
    </w:p>
    <w:p w:rsidR="00EC626A" w:rsidRPr="005C6916" w:rsidP="00EC626A" w14:paraId="7FF0EFC1" w14:textId="77777777">
      <w:pPr>
        <w:pStyle w:val="NoSpacing"/>
        <w:rPr>
          <w:lang w:val="en-GB"/>
        </w:rPr>
      </w:pPr>
    </w:p>
    <w:p w:rsidR="00EC626A" w:rsidP="00EC626A" w14:paraId="592AC11D" w14:textId="77777777">
      <w:pPr>
        <w:pStyle w:val="Heading3"/>
        <w:numPr>
          <w:ilvl w:val="2"/>
          <w:numId w:val="2"/>
        </w:numPr>
        <w:tabs>
          <w:tab w:val="num" w:pos="703"/>
        </w:tabs>
        <w:ind w:left="567" w:hanging="567"/>
      </w:pPr>
      <w:r>
        <w:t>Krav fra doseplansystemet</w:t>
      </w:r>
    </w:p>
    <w:p w:rsidR="00EC626A" w:rsidP="00EC626A" w14:paraId="583F5511" w14:textId="77777777">
      <w:pPr>
        <w:rPr>
          <w:rFonts w:ascii="Calibri" w:eastAsia="Calibri" w:hAnsi="Calibri" w:cs="Calibri"/>
          <w:color w:val="000000" w:themeColor="text1"/>
        </w:rPr>
      </w:pPr>
      <w:r w:rsidRPr="1F09BB5F">
        <w:rPr>
          <w:rFonts w:ascii="Calibri" w:eastAsia="Calibri" w:hAnsi="Calibri" w:cs="Calibri"/>
          <w:color w:val="000000" w:themeColor="text1"/>
        </w:rPr>
        <w:t>Kravene til kalibreringskurven</w:t>
      </w:r>
      <w:r>
        <w:rPr>
          <w:rFonts w:ascii="Calibri" w:eastAsia="Calibri" w:hAnsi="Calibri" w:cs="Calibri"/>
          <w:color w:val="000000" w:themeColor="text1"/>
        </w:rPr>
        <w:t>e</w:t>
      </w:r>
      <w:r w:rsidRPr="1F09BB5F">
        <w:rPr>
          <w:rFonts w:ascii="Calibri" w:eastAsia="Calibri" w:hAnsi="Calibri" w:cs="Calibri"/>
          <w:color w:val="000000" w:themeColor="text1"/>
        </w:rPr>
        <w:t xml:space="preserve"> avhenger av </w:t>
      </w:r>
      <w:r>
        <w:rPr>
          <w:rFonts w:ascii="Calibri" w:eastAsia="Calibri" w:hAnsi="Calibri" w:cs="Calibri"/>
          <w:color w:val="000000" w:themeColor="text1"/>
        </w:rPr>
        <w:t>doseplansystemet.</w:t>
      </w:r>
      <w:r w:rsidRPr="1F09BB5F">
        <w:rPr>
          <w:rFonts w:ascii="Calibri" w:eastAsia="Calibri" w:hAnsi="Calibri" w:cs="Calibri"/>
          <w:color w:val="000000" w:themeColor="text1"/>
        </w:rPr>
        <w:t xml:space="preserve"> </w:t>
      </w:r>
    </w:p>
    <w:p w:rsidR="00EC626A" w:rsidP="00EC626A" w14:paraId="173F64D4" w14:textId="77777777">
      <w:pPr>
        <w:rPr>
          <w:rFonts w:ascii="Calibri" w:eastAsia="Calibri" w:hAnsi="Calibri" w:cs="Calibri"/>
          <w:color w:val="000000" w:themeColor="text1"/>
        </w:rPr>
      </w:pPr>
    </w:p>
    <w:p w:rsidR="00EC626A" w:rsidRPr="00981504" w:rsidP="00EC626A" w14:paraId="10AF5DB9" w14:textId="77777777">
      <w:pPr>
        <w:pStyle w:val="Heading4"/>
        <w:numPr>
          <w:ilvl w:val="3"/>
          <w:numId w:val="2"/>
        </w:numPr>
        <w:ind w:left="624" w:hanging="624"/>
      </w:pPr>
      <w:r>
        <w:t>RayStation</w:t>
      </w:r>
    </w:p>
    <w:p w:rsidR="00EC626A" w:rsidP="00EC626A" w14:paraId="32AB2EF1" w14:textId="77777777">
      <w:pPr>
        <w:rPr>
          <w:rFonts w:ascii="Calibri" w:eastAsia="Calibri" w:hAnsi="Calibri" w:cs="Calibri"/>
          <w:color w:val="000000" w:themeColor="text1"/>
        </w:rPr>
      </w:pPr>
      <w:r>
        <w:rPr>
          <w:rFonts w:ascii="Calibri" w:eastAsia="Calibri" w:hAnsi="Calibri" w:cs="Calibri"/>
          <w:color w:val="000000" w:themeColor="text1"/>
        </w:rPr>
        <w:t xml:space="preserve">I </w:t>
      </w:r>
      <w:r>
        <w:rPr>
          <w:rFonts w:ascii="Calibri" w:eastAsia="Calibri" w:hAnsi="Calibri" w:cs="Calibri"/>
          <w:color w:val="000000" w:themeColor="text1"/>
        </w:rPr>
        <w:t>RayStation</w:t>
      </w:r>
      <w:r>
        <w:rPr>
          <w:rFonts w:ascii="Calibri" w:eastAsia="Calibri" w:hAnsi="Calibri" w:cs="Calibri"/>
          <w:color w:val="000000" w:themeColor="text1"/>
        </w:rPr>
        <w:t xml:space="preserve"> kan man anvende kalibreringskurver for HU-til-massetetthet eller HU-til-SPR. Begge metodene skal være ekvivalente i forhold til doseberegning. Konsensusguiden </w:t>
      </w:r>
      <w:sdt>
        <w:sdtPr>
          <w:rPr>
            <w:rFonts w:ascii="Calibri" w:eastAsia="Calibri" w:hAnsi="Calibri" w:cs="Calibri"/>
            <w:color w:val="000000" w:themeColor="text1"/>
          </w:rPr>
          <w:id w:val="-225850175"/>
          <w:citation/>
        </w:sdtPr>
        <w:sdtContent>
          <w:r>
            <w:rPr>
              <w:rFonts w:ascii="Calibri" w:eastAsia="Calibri" w:hAnsi="Calibri" w:cs="Calibri"/>
              <w:color w:val="000000" w:themeColor="text1"/>
            </w:rPr>
            <w:fldChar w:fldCharType="begin"/>
          </w:r>
          <w:r>
            <w:rPr>
              <w:rFonts w:ascii="Calibri" w:eastAsia="Calibri" w:hAnsi="Calibri" w:cs="Calibri"/>
              <w:color w:val="000000" w:themeColor="text1"/>
            </w:rPr>
            <w:instrText xml:space="preserve"> CITATION Peters23 \l 1044 </w:instrText>
          </w:r>
          <w:r>
            <w:rPr>
              <w:rFonts w:ascii="Calibri" w:eastAsia="Calibri" w:hAnsi="Calibri" w:cs="Calibri"/>
              <w:color w:val="000000" w:themeColor="text1"/>
            </w:rPr>
            <w:fldChar w:fldCharType="separate"/>
          </w:r>
          <w:r w:rsidRPr="00180E81">
            <w:rPr>
              <w:rFonts w:ascii="Calibri" w:eastAsia="Calibri" w:hAnsi="Calibri" w:cs="Calibri"/>
              <w:noProof/>
              <w:color w:val="000000" w:themeColor="text1"/>
            </w:rPr>
            <w:t>[5]</w:t>
          </w:r>
          <w:r>
            <w:rPr>
              <w:rFonts w:ascii="Calibri" w:eastAsia="Calibri" w:hAnsi="Calibri" w:cs="Calibri"/>
              <w:color w:val="000000" w:themeColor="text1"/>
            </w:rPr>
            <w:fldChar w:fldCharType="end"/>
          </w:r>
        </w:sdtContent>
      </w:sdt>
      <w:r>
        <w:rPr>
          <w:rFonts w:ascii="Calibri" w:eastAsia="Calibri" w:hAnsi="Calibri" w:cs="Calibri"/>
          <w:color w:val="000000" w:themeColor="text1"/>
        </w:rPr>
        <w:t xml:space="preserve"> anbefaler at man anvender kalibreringskurver for HU-til-SPR. Skulle man ønske å bruke HU-til-massetetthet må man påse at tettheten til materialene i </w:t>
      </w:r>
      <w:r>
        <w:rPr>
          <w:rFonts w:ascii="Calibri" w:eastAsia="Calibri" w:hAnsi="Calibri" w:cs="Calibri"/>
          <w:color w:val="000000" w:themeColor="text1"/>
        </w:rPr>
        <w:t>RayStation</w:t>
      </w:r>
      <w:r>
        <w:rPr>
          <w:rFonts w:ascii="Calibri" w:eastAsia="Calibri" w:hAnsi="Calibri" w:cs="Calibri"/>
          <w:color w:val="000000" w:themeColor="text1"/>
        </w:rPr>
        <w:t xml:space="preserve"> skaleres korrekt i forhold til SPR, se figur S1.9 i konsensusguiden samt </w:t>
      </w:r>
      <w:r>
        <w:rPr>
          <w:rFonts w:ascii="Calibri" w:eastAsia="Calibri" w:hAnsi="Calibri" w:cs="Calibri"/>
          <w:color w:val="000000" w:themeColor="text1"/>
        </w:rPr>
        <w:t>RayStation</w:t>
      </w:r>
      <w:r>
        <w:rPr>
          <w:rFonts w:ascii="Calibri" w:eastAsia="Calibri" w:hAnsi="Calibri" w:cs="Calibri"/>
          <w:color w:val="000000" w:themeColor="text1"/>
        </w:rPr>
        <w:t xml:space="preserve"> Reference Manual </w:t>
      </w:r>
      <w:sdt>
        <w:sdtPr>
          <w:rPr>
            <w:rFonts w:ascii="Calibri" w:eastAsia="Calibri" w:hAnsi="Calibri" w:cs="Calibri"/>
            <w:color w:val="000000" w:themeColor="text1"/>
          </w:rPr>
          <w:id w:val="1749999675"/>
          <w:citation/>
        </w:sdtPr>
        <w:sdtContent>
          <w:r>
            <w:rPr>
              <w:rFonts w:ascii="Calibri" w:eastAsia="Calibri" w:hAnsi="Calibri" w:cs="Calibri"/>
              <w:color w:val="000000" w:themeColor="text1"/>
            </w:rPr>
            <w:fldChar w:fldCharType="begin"/>
          </w:r>
          <w:r>
            <w:rPr>
              <w:rFonts w:ascii="Calibri" w:eastAsia="Calibri" w:hAnsi="Calibri" w:cs="Calibri"/>
              <w:color w:val="000000" w:themeColor="text1"/>
            </w:rPr>
            <w:instrText xml:space="preserve"> CITATION Ray \l 1044  \m Peters23</w:instrText>
          </w:r>
          <w:r>
            <w:rPr>
              <w:rFonts w:ascii="Calibri" w:eastAsia="Calibri" w:hAnsi="Calibri" w:cs="Calibri"/>
              <w:color w:val="000000" w:themeColor="text1"/>
            </w:rPr>
            <w:fldChar w:fldCharType="separate"/>
          </w:r>
          <w:r w:rsidRPr="00180E81">
            <w:rPr>
              <w:rFonts w:ascii="Calibri" w:eastAsia="Calibri" w:hAnsi="Calibri" w:cs="Calibri"/>
              <w:noProof/>
              <w:color w:val="000000" w:themeColor="text1"/>
            </w:rPr>
            <w:t>[6, 5]</w:t>
          </w:r>
          <w:r>
            <w:rPr>
              <w:rFonts w:ascii="Calibri" w:eastAsia="Calibri" w:hAnsi="Calibri" w:cs="Calibri"/>
              <w:color w:val="000000" w:themeColor="text1"/>
            </w:rPr>
            <w:fldChar w:fldCharType="end"/>
          </w:r>
        </w:sdtContent>
      </w:sdt>
      <w:r>
        <w:rPr>
          <w:rFonts w:ascii="Calibri" w:eastAsia="Calibri" w:hAnsi="Calibri" w:cs="Calibri"/>
          <w:color w:val="000000" w:themeColor="text1"/>
        </w:rPr>
        <w:t>.</w:t>
      </w:r>
    </w:p>
    <w:p w:rsidR="00EC626A" w:rsidP="00EC626A" w14:paraId="6C3497E2" w14:textId="77777777">
      <w:pPr>
        <w:rPr>
          <w:rFonts w:ascii="Calibri" w:eastAsia="Calibri" w:hAnsi="Calibri" w:cs="Calibri"/>
          <w:color w:val="000000" w:themeColor="text1"/>
        </w:rPr>
      </w:pPr>
      <w:r>
        <w:rPr>
          <w:rFonts w:ascii="Calibri" w:eastAsia="Calibri" w:hAnsi="Calibri" w:cs="Calibri"/>
          <w:color w:val="000000" w:themeColor="text1"/>
        </w:rPr>
        <w:t xml:space="preserve">Ved </w:t>
      </w:r>
      <w:r>
        <w:rPr>
          <w:rFonts w:ascii="Calibri" w:eastAsia="Calibri" w:hAnsi="Calibri" w:cs="Calibri"/>
          <w:color w:val="000000" w:themeColor="text1"/>
        </w:rPr>
        <w:t>directSPR</w:t>
      </w:r>
      <w:r>
        <w:rPr>
          <w:rFonts w:ascii="Calibri" w:eastAsia="Calibri" w:hAnsi="Calibri" w:cs="Calibri"/>
          <w:color w:val="000000" w:themeColor="text1"/>
        </w:rPr>
        <w:t xml:space="preserve"> fra DECT vil HU-til-SPR kurven i </w:t>
      </w:r>
      <w:r>
        <w:rPr>
          <w:rFonts w:ascii="Calibri" w:eastAsia="Calibri" w:hAnsi="Calibri" w:cs="Calibri"/>
          <w:color w:val="000000" w:themeColor="text1"/>
        </w:rPr>
        <w:t>Raystation</w:t>
      </w:r>
      <w:r>
        <w:rPr>
          <w:rFonts w:ascii="Calibri" w:eastAsia="Calibri" w:hAnsi="Calibri" w:cs="Calibri"/>
          <w:color w:val="000000" w:themeColor="text1"/>
        </w:rPr>
        <w:t xml:space="preserve"> være definert for å skalere de importerte SPR-verdiene til absolutt SPR.</w:t>
      </w:r>
    </w:p>
    <w:p w:rsidR="00EC626A" w:rsidRPr="00471C97" w:rsidP="00EC626A" w14:paraId="11C7D56A" w14:textId="77777777">
      <w:pPr>
        <w:rPr>
          <w:rFonts w:ascii="Calibri" w:eastAsia="Calibri" w:hAnsi="Calibri" w:cs="Calibri"/>
          <w:color w:val="000000" w:themeColor="text1"/>
        </w:rPr>
      </w:pPr>
    </w:p>
    <w:p w:rsidR="00EC626A" w:rsidRPr="00981504" w:rsidP="00EC626A" w14:paraId="38B3AC1E" w14:textId="77777777">
      <w:pPr>
        <w:pStyle w:val="Heading4"/>
        <w:numPr>
          <w:ilvl w:val="3"/>
          <w:numId w:val="2"/>
        </w:numPr>
        <w:ind w:left="624" w:hanging="624"/>
      </w:pPr>
      <w:r>
        <w:t>Eclipse</w:t>
      </w:r>
    </w:p>
    <w:p w:rsidR="00EC626A" w:rsidP="00EC626A" w14:paraId="5FDECDD8" w14:textId="77777777">
      <w:pPr>
        <w:rPr>
          <w:rFonts w:ascii="Calibri" w:eastAsia="Calibri" w:hAnsi="Calibri" w:cs="Calibri"/>
          <w:color w:val="000000" w:themeColor="text1"/>
        </w:rPr>
      </w:pPr>
      <w:r w:rsidRPr="1F09BB5F">
        <w:rPr>
          <w:rFonts w:ascii="Calibri" w:eastAsia="Calibri" w:hAnsi="Calibri" w:cs="Calibri"/>
          <w:color w:val="000000" w:themeColor="text1"/>
        </w:rPr>
        <w:t>Når en protonplan baseres på e</w:t>
      </w:r>
      <w:r>
        <w:rPr>
          <w:rFonts w:ascii="Calibri" w:eastAsia="Calibri" w:hAnsi="Calibri" w:cs="Calibri"/>
          <w:color w:val="000000" w:themeColor="text1"/>
        </w:rPr>
        <w:t>t</w:t>
      </w:r>
      <w:r w:rsidRPr="1F09BB5F">
        <w:rPr>
          <w:rFonts w:ascii="Calibri" w:eastAsia="Calibri" w:hAnsi="Calibri" w:cs="Calibri"/>
          <w:color w:val="000000" w:themeColor="text1"/>
        </w:rPr>
        <w:t xml:space="preserve"> SECT planleggingsbilde, kan DECT Dose </w:t>
      </w:r>
      <w:r w:rsidRPr="1F09BB5F">
        <w:rPr>
          <w:rFonts w:ascii="Calibri" w:eastAsia="Calibri" w:hAnsi="Calibri" w:cs="Calibri"/>
          <w:color w:val="000000" w:themeColor="text1"/>
        </w:rPr>
        <w:t>Evaluator</w:t>
      </w:r>
      <w:r w:rsidRPr="1F09BB5F">
        <w:rPr>
          <w:rFonts w:ascii="Calibri" w:eastAsia="Calibri" w:hAnsi="Calibri" w:cs="Calibri"/>
          <w:color w:val="000000" w:themeColor="text1"/>
        </w:rPr>
        <w:t xml:space="preserve">-verktøyet brukes for å utforme en evalueringsplan. </w:t>
      </w:r>
      <w:r>
        <w:rPr>
          <w:rFonts w:ascii="Calibri" w:eastAsia="Calibri" w:hAnsi="Calibri" w:cs="Calibri"/>
          <w:color w:val="000000" w:themeColor="text1"/>
        </w:rPr>
        <w:t>Dette verktøyet bruker et script som man må ha tilgjengelig. Evaluerings</w:t>
      </w:r>
      <w:r w:rsidRPr="1F09BB5F">
        <w:rPr>
          <w:rFonts w:ascii="Calibri" w:eastAsia="Calibri" w:hAnsi="Calibri" w:cs="Calibri"/>
          <w:color w:val="000000" w:themeColor="text1"/>
        </w:rPr>
        <w:t>planen benytter behandlingsfeltene fra SECT-planen, men dose</w:t>
      </w:r>
      <w:r>
        <w:rPr>
          <w:rFonts w:ascii="Calibri" w:eastAsia="Calibri" w:hAnsi="Calibri" w:cs="Calibri"/>
          <w:color w:val="000000" w:themeColor="text1"/>
        </w:rPr>
        <w:t>n</w:t>
      </w:r>
      <w:r w:rsidRPr="1F09BB5F">
        <w:rPr>
          <w:rFonts w:ascii="Calibri" w:eastAsia="Calibri" w:hAnsi="Calibri" w:cs="Calibri"/>
          <w:color w:val="000000" w:themeColor="text1"/>
        </w:rPr>
        <w:t xml:space="preserve"> beregnes basert på stopping </w:t>
      </w:r>
      <w:r w:rsidRPr="1F09BB5F">
        <w:rPr>
          <w:rFonts w:ascii="Calibri" w:eastAsia="Calibri" w:hAnsi="Calibri" w:cs="Calibri"/>
          <w:color w:val="000000" w:themeColor="text1"/>
        </w:rPr>
        <w:t>power</w:t>
      </w:r>
      <w:r w:rsidRPr="1F09BB5F">
        <w:rPr>
          <w:rFonts w:ascii="Calibri" w:eastAsia="Calibri" w:hAnsi="Calibri" w:cs="Calibri"/>
          <w:color w:val="000000" w:themeColor="text1"/>
        </w:rPr>
        <w:t xml:space="preserve"> som er utledet fra DECT</w:t>
      </w:r>
      <w:r>
        <w:rPr>
          <w:rFonts w:ascii="Calibri" w:eastAsia="Calibri" w:hAnsi="Calibri" w:cs="Calibri"/>
          <w:color w:val="000000" w:themeColor="text1"/>
        </w:rPr>
        <w:t>-</w:t>
      </w:r>
      <w:r w:rsidRPr="1F09BB5F">
        <w:rPr>
          <w:rFonts w:ascii="Calibri" w:eastAsia="Calibri" w:hAnsi="Calibri" w:cs="Calibri"/>
          <w:color w:val="000000" w:themeColor="text1"/>
        </w:rPr>
        <w:t xml:space="preserve">bildene. </w:t>
      </w:r>
      <w:r>
        <w:rPr>
          <w:rFonts w:ascii="Calibri" w:eastAsia="Calibri" w:hAnsi="Calibri" w:cs="Calibri"/>
          <w:color w:val="000000" w:themeColor="text1"/>
        </w:rPr>
        <w:t>Dosen vises på SECT-</w:t>
      </w:r>
      <w:r w:rsidRPr="1F09BB5F">
        <w:rPr>
          <w:rFonts w:ascii="Calibri" w:eastAsia="Calibri" w:hAnsi="Calibri" w:cs="Calibri"/>
          <w:color w:val="000000" w:themeColor="text1"/>
        </w:rPr>
        <w:t xml:space="preserve">bildet </w:t>
      </w:r>
      <w:r>
        <w:rPr>
          <w:rFonts w:ascii="Calibri" w:eastAsia="Calibri" w:hAnsi="Calibri" w:cs="Calibri"/>
          <w:color w:val="000000" w:themeColor="text1"/>
        </w:rPr>
        <w:t xml:space="preserve">med det originale </w:t>
      </w:r>
      <w:r w:rsidRPr="1F09BB5F">
        <w:rPr>
          <w:rFonts w:ascii="Calibri" w:eastAsia="Calibri" w:hAnsi="Calibri" w:cs="Calibri"/>
          <w:color w:val="000000" w:themeColor="text1"/>
        </w:rPr>
        <w:t xml:space="preserve">struktursettet. Doseberegningen </w:t>
      </w:r>
      <w:r>
        <w:rPr>
          <w:rFonts w:ascii="Calibri" w:eastAsia="Calibri" w:hAnsi="Calibri" w:cs="Calibri"/>
          <w:color w:val="000000" w:themeColor="text1"/>
        </w:rPr>
        <w:t>på</w:t>
      </w:r>
      <w:r w:rsidRPr="1F09BB5F">
        <w:rPr>
          <w:rFonts w:ascii="Calibri" w:eastAsia="Calibri" w:hAnsi="Calibri" w:cs="Calibri"/>
          <w:color w:val="000000" w:themeColor="text1"/>
        </w:rPr>
        <w:t xml:space="preserve"> DECT</w:t>
      </w:r>
      <w:r>
        <w:rPr>
          <w:rFonts w:ascii="Calibri" w:eastAsia="Calibri" w:hAnsi="Calibri" w:cs="Calibri"/>
          <w:color w:val="000000" w:themeColor="text1"/>
        </w:rPr>
        <w:t>-bildet</w:t>
      </w:r>
      <w:r w:rsidRPr="1F09BB5F">
        <w:rPr>
          <w:rFonts w:ascii="Calibri" w:eastAsia="Calibri" w:hAnsi="Calibri" w:cs="Calibri"/>
          <w:color w:val="000000" w:themeColor="text1"/>
        </w:rPr>
        <w:t xml:space="preserve"> støtter kun PCS som </w:t>
      </w:r>
      <w:r>
        <w:rPr>
          <w:rFonts w:ascii="Calibri" w:eastAsia="Calibri" w:hAnsi="Calibri" w:cs="Calibri"/>
          <w:color w:val="000000" w:themeColor="text1"/>
        </w:rPr>
        <w:t>doseberegnings</w:t>
      </w:r>
      <w:r w:rsidRPr="1F09BB5F">
        <w:rPr>
          <w:rFonts w:ascii="Calibri" w:eastAsia="Calibri" w:hAnsi="Calibri" w:cs="Calibri"/>
          <w:color w:val="000000" w:themeColor="text1"/>
        </w:rPr>
        <w:t xml:space="preserve">algoritme, ettersom proton stopping </w:t>
      </w:r>
      <w:r w:rsidRPr="1F09BB5F">
        <w:rPr>
          <w:rFonts w:ascii="Calibri" w:eastAsia="Calibri" w:hAnsi="Calibri" w:cs="Calibri"/>
          <w:color w:val="000000" w:themeColor="text1"/>
        </w:rPr>
        <w:t>power</w:t>
      </w:r>
      <w:r w:rsidRPr="1F09BB5F">
        <w:rPr>
          <w:rFonts w:ascii="Calibri" w:eastAsia="Calibri" w:hAnsi="Calibri" w:cs="Calibri"/>
          <w:color w:val="000000" w:themeColor="text1"/>
        </w:rPr>
        <w:t xml:space="preserve"> tas i bruk under beregningen av dosen</w:t>
      </w:r>
      <w:r>
        <w:rPr>
          <w:rFonts w:ascii="Calibri" w:eastAsia="Calibri" w:hAnsi="Calibri" w:cs="Calibri"/>
          <w:color w:val="000000" w:themeColor="text1"/>
        </w:rPr>
        <w:t xml:space="preserve"> </w:t>
      </w:r>
      <w:sdt>
        <w:sdtPr>
          <w:rPr>
            <w:rFonts w:ascii="Calibri" w:eastAsia="Calibri" w:hAnsi="Calibri" w:cs="Calibri"/>
            <w:color w:val="000000" w:themeColor="text1"/>
          </w:rPr>
          <w:id w:val="1007861532"/>
          <w:placeholder>
            <w:docPart w:val="4DDE07E11CC0411AADA8C5D06D866C7F"/>
          </w:placeholder>
          <w:citation/>
        </w:sdtPr>
        <w:sdtContent>
          <w:r>
            <w:rPr>
              <w:rFonts w:ascii="Calibri" w:eastAsia="Calibri" w:hAnsi="Calibri" w:cs="Calibri"/>
              <w:color w:val="000000" w:themeColor="text1"/>
            </w:rPr>
            <w:fldChar w:fldCharType="begin"/>
          </w:r>
          <w:r>
            <w:rPr>
              <w:rFonts w:ascii="Calibri" w:eastAsia="Calibri" w:hAnsi="Calibri" w:cs="Calibri"/>
              <w:color w:val="000000" w:themeColor="text1"/>
            </w:rPr>
            <w:instrText>CITATION Hun14 \l 1044  \m Var22</w:instrText>
          </w:r>
          <w:r>
            <w:rPr>
              <w:rFonts w:ascii="Calibri" w:eastAsia="Calibri" w:hAnsi="Calibri" w:cs="Calibri"/>
              <w:color w:val="000000" w:themeColor="text1"/>
            </w:rPr>
            <w:fldChar w:fldCharType="separate"/>
          </w:r>
          <w:r w:rsidRPr="00180E81">
            <w:rPr>
              <w:rFonts w:ascii="Calibri" w:eastAsia="Calibri" w:hAnsi="Calibri" w:cs="Calibri"/>
              <w:noProof/>
              <w:color w:val="000000" w:themeColor="text1"/>
            </w:rPr>
            <w:t>[7, 8]</w:t>
          </w:r>
          <w:r>
            <w:rPr>
              <w:rFonts w:ascii="Calibri" w:eastAsia="Calibri" w:hAnsi="Calibri" w:cs="Calibri"/>
              <w:color w:val="000000" w:themeColor="text1"/>
            </w:rPr>
            <w:fldChar w:fldCharType="end"/>
          </w:r>
        </w:sdtContent>
      </w:sdt>
      <w:r>
        <w:rPr>
          <w:rFonts w:ascii="Calibri" w:eastAsia="Calibri" w:hAnsi="Calibri" w:cs="Calibri"/>
          <w:color w:val="000000" w:themeColor="text1"/>
        </w:rPr>
        <w:t xml:space="preserve">. Altså kan </w:t>
      </w:r>
      <w:r>
        <w:rPr>
          <w:rFonts w:ascii="Calibri" w:eastAsia="Calibri" w:hAnsi="Calibri" w:cs="Calibri"/>
          <w:color w:val="000000" w:themeColor="text1"/>
        </w:rPr>
        <w:t>Eclipse</w:t>
      </w:r>
      <w:r>
        <w:rPr>
          <w:rFonts w:ascii="Calibri" w:eastAsia="Calibri" w:hAnsi="Calibri" w:cs="Calibri"/>
          <w:color w:val="000000" w:themeColor="text1"/>
        </w:rPr>
        <w:t xml:space="preserve"> ikke per nå optimere behandlingsplanen ved hjelp av SPR fra DECT-bilder.</w:t>
      </w:r>
    </w:p>
    <w:p w:rsidR="00EC626A" w:rsidP="00EC626A" w14:paraId="1D1624FF" w14:textId="77777777">
      <w:pPr>
        <w:rPr>
          <w:rFonts w:ascii="Calibri" w:eastAsia="Calibri" w:hAnsi="Calibri" w:cs="Calibri"/>
          <w:color w:val="000000" w:themeColor="text1"/>
        </w:rPr>
      </w:pPr>
    </w:p>
    <w:p w:rsidR="00EC626A" w:rsidP="00EC626A" w14:paraId="018BB43C" w14:textId="77777777">
      <w:pPr>
        <w:pStyle w:val="Heading3"/>
        <w:numPr>
          <w:ilvl w:val="2"/>
          <w:numId w:val="2"/>
        </w:numPr>
        <w:tabs>
          <w:tab w:val="num" w:pos="703"/>
        </w:tabs>
        <w:ind w:left="567" w:hanging="567"/>
      </w:pPr>
      <w:r>
        <w:t>DECT</w:t>
      </w:r>
    </w:p>
    <w:p w:rsidR="00EC626A" w:rsidRPr="0084585C" w:rsidP="00EC626A" w14:paraId="678E1053" w14:textId="77777777">
      <w:r w:rsidRPr="0084585C">
        <w:t>Ved DECT tas to CT-ska</w:t>
      </w:r>
      <w:r>
        <w:t xml:space="preserve">nninger med ulike effektive røntgenspektre, som resulterer i ulik vevskontrast. Større separasjon mellom spektrene gir størst nytte </w:t>
      </w:r>
      <w:sdt>
        <w:sdtPr>
          <w:id w:val="-1567182907"/>
          <w:citation/>
        </w:sdtPr>
        <w:sdtContent>
          <w:r>
            <w:fldChar w:fldCharType="begin"/>
          </w:r>
          <w:r>
            <w:instrText xml:space="preserve"> CITATION Woh20 \l 1044 </w:instrText>
          </w:r>
          <w:r>
            <w:fldChar w:fldCharType="separate"/>
          </w:r>
          <w:r w:rsidRPr="00180E81">
            <w:rPr>
              <w:noProof/>
            </w:rPr>
            <w:t>[9]</w:t>
          </w:r>
          <w:r>
            <w:fldChar w:fldCharType="end"/>
          </w:r>
        </w:sdtContent>
      </w:sdt>
      <w:r>
        <w:t xml:space="preserve">. Fra dette kan man lage virtuelle monoenergetiske bilder ved ønsket </w:t>
      </w:r>
      <w:r>
        <w:t>kVp</w:t>
      </w:r>
      <w:r>
        <w:t xml:space="preserve"> som har </w:t>
      </w:r>
      <w:r w:rsidRPr="00BC527A">
        <w:t>mindre CT-tall variasjon</w:t>
      </w:r>
      <w:r>
        <w:t xml:space="preserve"> og</w:t>
      </w:r>
      <w:r w:rsidRPr="00BC527A">
        <w:t xml:space="preserve"> lavere støy for samme dose</w:t>
      </w:r>
      <w:r>
        <w:t xml:space="preserve">, sammenlignet med SECT-bilder </w:t>
      </w:r>
      <w:sdt>
        <w:sdtPr>
          <w:id w:val="37481859"/>
          <w:citation/>
        </w:sdtPr>
        <w:sdtContent>
          <w:r>
            <w:fldChar w:fldCharType="begin"/>
          </w:r>
          <w:r>
            <w:instrText xml:space="preserve"> CITATION Woh17 \l 1044 </w:instrText>
          </w:r>
          <w:r>
            <w:fldChar w:fldCharType="separate"/>
          </w:r>
          <w:r w:rsidRPr="00180E81">
            <w:rPr>
              <w:noProof/>
            </w:rPr>
            <w:t>[10]</w:t>
          </w:r>
          <w:r>
            <w:fldChar w:fldCharType="end"/>
          </w:r>
        </w:sdtContent>
      </w:sdt>
      <w:r>
        <w:t>.</w:t>
      </w:r>
    </w:p>
    <w:p w:rsidR="00EC626A" w:rsidRPr="00B33097" w:rsidP="00EC626A" w14:paraId="501538A3" w14:textId="77777777">
      <w:pPr>
        <w:rPr>
          <w:rFonts w:ascii="Calibri" w:eastAsia="Calibri" w:hAnsi="Calibri" w:cs="Calibri"/>
          <w:color w:val="000000" w:themeColor="text1"/>
        </w:rPr>
      </w:pPr>
      <w:r>
        <w:t xml:space="preserve">DECT ble for første gang tatt i bruk ved protonplanlegging i 2015 </w:t>
      </w:r>
      <w:sdt>
        <w:sdtPr>
          <w:id w:val="1806973403"/>
          <w:citation/>
        </w:sdtPr>
        <w:sdtContent>
          <w:r>
            <w:fldChar w:fldCharType="begin"/>
          </w:r>
          <w:r>
            <w:instrText xml:space="preserve"> CITATION Woh17 \l 1044 </w:instrText>
          </w:r>
          <w:r>
            <w:fldChar w:fldCharType="separate"/>
          </w:r>
          <w:r w:rsidRPr="00180E81">
            <w:rPr>
              <w:noProof/>
            </w:rPr>
            <w:t>[10]</w:t>
          </w:r>
          <w:r>
            <w:fldChar w:fldCharType="end"/>
          </w:r>
        </w:sdtContent>
      </w:sdt>
      <w:r>
        <w:t xml:space="preserve"> ved å lage et virtuelt monoenergetisk bilde. </w:t>
      </w:r>
      <w:r w:rsidRPr="001A66DF">
        <w:t>Mange protonsentre har tilgang t</w:t>
      </w:r>
      <w:r>
        <w:t xml:space="preserve">il DECT-skannere, men få har tatt i bruk muligheten for direkte SPR beregning i klinikken </w:t>
      </w:r>
      <w:sdt>
        <w:sdtPr>
          <w:id w:val="-351796519"/>
          <w:citation/>
        </w:sdtPr>
        <w:sdtContent>
          <w:r>
            <w:fldChar w:fldCharType="begin"/>
          </w:r>
          <w:r>
            <w:instrText xml:space="preserve">CITATION phy21 \m Vic18 \l 1044 </w:instrText>
          </w:r>
          <w:r>
            <w:fldChar w:fldCharType="separate"/>
          </w:r>
          <w:r w:rsidRPr="00180E81">
            <w:rPr>
              <w:noProof/>
            </w:rPr>
            <w:t>[11, 2]</w:t>
          </w:r>
          <w:r>
            <w:fldChar w:fldCharType="end"/>
          </w:r>
        </w:sdtContent>
      </w:sdt>
      <w:r>
        <w:t xml:space="preserve">. </w:t>
      </w:r>
      <w:r w:rsidRPr="001D0FFD">
        <w:t xml:space="preserve">Det har vært vist at </w:t>
      </w:r>
      <w:r>
        <w:t xml:space="preserve">direkte SPR-beregning fra </w:t>
      </w:r>
      <w:r w:rsidRPr="001D0FFD">
        <w:t>DECT har potensiale for å</w:t>
      </w:r>
      <w:r>
        <w:t xml:space="preserve"> redusere rekkeviddeusikkerheten fra standard 3.5% ned mot 2% </w:t>
      </w:r>
      <w:sdt>
        <w:sdtPr>
          <w:id w:val="319152843"/>
          <w:citation/>
        </w:sdtPr>
        <w:sdtContent>
          <w:r>
            <w:fldChar w:fldCharType="begin"/>
          </w:r>
          <w:r>
            <w:instrText xml:space="preserve"> CITATION Pet22 \l 1044 </w:instrText>
          </w:r>
          <w:r>
            <w:fldChar w:fldCharType="separate"/>
          </w:r>
          <w:r w:rsidRPr="00180E81">
            <w:rPr>
              <w:noProof/>
            </w:rPr>
            <w:t>[12]</w:t>
          </w:r>
          <w:r>
            <w:fldChar w:fldCharType="end"/>
          </w:r>
        </w:sdtContent>
      </w:sdt>
      <w:r>
        <w:t xml:space="preserve">. Fra DECT-skanninger ser man befolkningsvariasjoner i SPR, i tillegg til stor variasjon i SPR for bløtvev. Spesielt mellom unge barn og voksne ser man at forskjeller i grunnstoffsammensetningen i bein vil påvirke konvertering fra CT-tall til SPR </w:t>
      </w:r>
      <w:sdt>
        <w:sdtPr>
          <w:rPr>
            <w:rFonts w:ascii="Calibri" w:eastAsia="Calibri" w:hAnsi="Calibri" w:cs="Calibri"/>
            <w:color w:val="000000" w:themeColor="text1"/>
            <w:lang w:val="en-GB"/>
          </w:rPr>
          <w:id w:val="-1505044661"/>
          <w:citation/>
        </w:sdtPr>
        <w:sdtContent>
          <w:r>
            <w:rPr>
              <w:rFonts w:ascii="Calibri" w:eastAsia="Calibri" w:hAnsi="Calibri" w:cs="Calibri"/>
              <w:color w:val="000000" w:themeColor="text1"/>
              <w:lang w:val="en-GB"/>
            </w:rPr>
            <w:fldChar w:fldCharType="begin"/>
          </w:r>
          <w:r w:rsidRPr="00B33097">
            <w:rPr>
              <w:rFonts w:ascii="Calibri" w:eastAsia="Calibri" w:hAnsi="Calibri" w:cs="Calibri"/>
              <w:color w:val="000000" w:themeColor="text1"/>
            </w:rPr>
            <w:instrText xml:space="preserve">CITATION PWo19 \l 1044 </w:instrText>
          </w:r>
          <w:r>
            <w:rPr>
              <w:rFonts w:ascii="Calibri" w:eastAsia="Calibri" w:hAnsi="Calibri" w:cs="Calibri"/>
              <w:color w:val="000000" w:themeColor="text1"/>
              <w:lang w:val="en-GB"/>
            </w:rPr>
            <w:fldChar w:fldCharType="separate"/>
          </w:r>
          <w:r w:rsidRPr="00180E81">
            <w:rPr>
              <w:rFonts w:ascii="Calibri" w:eastAsia="Calibri" w:hAnsi="Calibri" w:cs="Calibri"/>
              <w:noProof/>
              <w:color w:val="000000" w:themeColor="text1"/>
            </w:rPr>
            <w:t>[13]</w:t>
          </w:r>
          <w:r>
            <w:rPr>
              <w:rFonts w:ascii="Calibri" w:eastAsia="Calibri" w:hAnsi="Calibri" w:cs="Calibri"/>
              <w:color w:val="000000" w:themeColor="text1"/>
              <w:lang w:val="en-GB"/>
            </w:rPr>
            <w:fldChar w:fldCharType="end"/>
          </w:r>
        </w:sdtContent>
      </w:sdt>
      <w:r w:rsidRPr="00B33097">
        <w:rPr>
          <w:rFonts w:ascii="Calibri" w:eastAsia="Calibri" w:hAnsi="Calibri" w:cs="Calibri"/>
          <w:color w:val="000000" w:themeColor="text1"/>
        </w:rPr>
        <w:t>.</w:t>
      </w:r>
    </w:p>
    <w:p w:rsidR="00EC626A" w:rsidRPr="00BC527A" w:rsidP="00EC626A" w14:paraId="592AAD84" w14:textId="77777777">
      <w:r>
        <w:t xml:space="preserve">Det finnes mange ulike metoder å ta et DECT-skann på, hovedsakelig delt inn i enkelt- eller dobbelt-kilde skannere. </w:t>
      </w:r>
      <w:r w:rsidRPr="0012780D">
        <w:t>Siemens</w:t>
      </w:r>
      <w:r>
        <w:t>-</w:t>
      </w:r>
      <w:r w:rsidRPr="0012780D">
        <w:t>skanneren</w:t>
      </w:r>
      <w:r>
        <w:t xml:space="preserve"> innkjøpt ved OUS er en enkelt-kilde skanner, med</w:t>
      </w:r>
      <w:r w:rsidRPr="0012780D">
        <w:t xml:space="preserve"> fordelen av to tydelig skilte energispektre</w:t>
      </w:r>
      <w:r>
        <w:t xml:space="preserve">. </w:t>
      </w:r>
      <w:r w:rsidRPr="003D12B2">
        <w:t xml:space="preserve">Til gjengjeld tas skannet </w:t>
      </w:r>
      <w:r>
        <w:t>i</w:t>
      </w:r>
      <w:r w:rsidRPr="003D12B2">
        <w:t xml:space="preserve"> to omganger med s</w:t>
      </w:r>
      <w:r>
        <w:t xml:space="preserve">ekunders pause mellom, slik at en deform registrering mellom opptakene er nødvendig </w:t>
      </w:r>
      <w:sdt>
        <w:sdtPr>
          <w:id w:val="1913890668"/>
          <w:citation/>
        </w:sdtPr>
        <w:sdtContent>
          <w:r>
            <w:fldChar w:fldCharType="begin"/>
          </w:r>
          <w:r>
            <w:instrText xml:space="preserve"> CITATION Woh20 \l 1044 </w:instrText>
          </w:r>
          <w:r>
            <w:fldChar w:fldCharType="separate"/>
          </w:r>
          <w:r w:rsidRPr="00180E81">
            <w:rPr>
              <w:noProof/>
            </w:rPr>
            <w:t>[9]</w:t>
          </w:r>
          <w:r>
            <w:fldChar w:fldCharType="end"/>
          </w:r>
        </w:sdtContent>
      </w:sdt>
      <w:r>
        <w:t xml:space="preserve">. </w:t>
      </w:r>
      <w:r w:rsidRPr="00C02AF5">
        <w:t>Det</w:t>
      </w:r>
      <w:r>
        <w:t>te</w:t>
      </w:r>
      <w:r w:rsidRPr="00C02AF5">
        <w:t xml:space="preserve"> gjør det </w:t>
      </w:r>
      <w:r>
        <w:t>utfordrende</w:t>
      </w:r>
      <w:r w:rsidRPr="00C02AF5">
        <w:t xml:space="preserve"> å nyttiggjøre seg </w:t>
      </w:r>
      <w:r>
        <w:t>DECT i</w:t>
      </w:r>
      <w:r w:rsidRPr="00C02AF5">
        <w:t xml:space="preserve"> områder m</w:t>
      </w:r>
      <w:r>
        <w:t xml:space="preserve">ed bevegelse og å bruke intravenøs kontrast på DECT-bilder. </w:t>
      </w:r>
    </w:p>
    <w:p w:rsidR="00EC626A" w:rsidP="00EC626A" w14:paraId="554F74CC" w14:textId="77777777">
      <w:pPr>
        <w:rPr>
          <w:rFonts w:ascii="Calibri" w:eastAsia="Calibri" w:hAnsi="Calibri" w:cs="Calibri"/>
        </w:rPr>
      </w:pPr>
      <w:r w:rsidRPr="005B482C">
        <w:rPr>
          <w:rFonts w:ascii="Calibri" w:eastAsia="Calibri" w:hAnsi="Calibri" w:cs="Calibri"/>
        </w:rPr>
        <w:t xml:space="preserve">Vi vil anbefale å ta i bruk DECT-skanninger når riktig kompetanse er oppnådd. </w:t>
      </w:r>
      <w:r w:rsidRPr="00C30A4A">
        <w:t>Testing av DECT-beregnet SPR opp mot SECT</w:t>
      </w:r>
      <w:r>
        <w:t>-</w:t>
      </w:r>
      <w:r w:rsidRPr="00C30A4A">
        <w:t>metoder</w:t>
      </w:r>
      <w:r>
        <w:t xml:space="preserve"> må</w:t>
      </w:r>
      <w:r w:rsidRPr="00C30A4A">
        <w:t xml:space="preserve"> </w:t>
      </w:r>
      <w:r>
        <w:t xml:space="preserve">gjøres grundig, og en reduksjon av rekkeviddeusikkerheten må gjøres ved å analyse feilkilder og kvantifisere usikkerheter i hele prosessen. </w:t>
      </w:r>
      <w:r w:rsidRPr="005B482C">
        <w:rPr>
          <w:rFonts w:ascii="Calibri" w:eastAsia="Calibri" w:hAnsi="Calibri" w:cs="Calibri"/>
        </w:rPr>
        <w:t xml:space="preserve">Det er nærliggende å tenke at man </w:t>
      </w:r>
      <w:r>
        <w:rPr>
          <w:rFonts w:ascii="Calibri" w:eastAsia="Calibri" w:hAnsi="Calibri" w:cs="Calibri"/>
        </w:rPr>
        <w:t>vil</w:t>
      </w:r>
      <w:r w:rsidRPr="005B482C">
        <w:rPr>
          <w:rFonts w:ascii="Calibri" w:eastAsia="Calibri" w:hAnsi="Calibri" w:cs="Calibri"/>
        </w:rPr>
        <w:t xml:space="preserve"> begynne med </w:t>
      </w:r>
      <w:r w:rsidRPr="005B482C">
        <w:rPr>
          <w:rFonts w:ascii="Calibri" w:eastAsia="Calibri" w:hAnsi="Calibri" w:cs="Calibri"/>
        </w:rPr>
        <w:t>cerebri</w:t>
      </w:r>
      <w:r w:rsidRPr="005B482C">
        <w:rPr>
          <w:rFonts w:ascii="Calibri" w:eastAsia="Calibri" w:hAnsi="Calibri" w:cs="Calibri"/>
        </w:rPr>
        <w:t xml:space="preserve">-planer, hvor mulig bevegelse mellom </w:t>
      </w:r>
      <w:r w:rsidRPr="005B482C">
        <w:rPr>
          <w:rFonts w:ascii="Calibri" w:eastAsia="Calibri" w:hAnsi="Calibri" w:cs="Calibri"/>
        </w:rPr>
        <w:t>skannene</w:t>
      </w:r>
      <w:r w:rsidRPr="005B482C">
        <w:rPr>
          <w:rFonts w:ascii="Calibri" w:eastAsia="Calibri" w:hAnsi="Calibri" w:cs="Calibri"/>
        </w:rPr>
        <w:t xml:space="preserve"> er minimal. </w:t>
      </w:r>
    </w:p>
    <w:p w:rsidR="00EC626A" w:rsidRPr="007F219C" w:rsidP="00EC626A" w14:paraId="644099C3" w14:textId="77777777">
      <w:r>
        <w:t xml:space="preserve">Det er forventet ut fra studier at DECT kan redusere forskjellen mellom CT med og uten kontrast </w:t>
      </w:r>
      <w:sdt>
        <w:sdtPr>
          <w:id w:val="-1506364245"/>
          <w:citation/>
        </w:sdtPr>
        <w:sdtContent>
          <w:r>
            <w:fldChar w:fldCharType="begin"/>
          </w:r>
          <w:r>
            <w:instrText xml:space="preserve">CITATION Art19 \l 1044 </w:instrText>
          </w:r>
          <w:r>
            <w:fldChar w:fldCharType="separate"/>
          </w:r>
          <w:r w:rsidRPr="00180E81">
            <w:rPr>
              <w:noProof/>
            </w:rPr>
            <w:t>[14]</w:t>
          </w:r>
          <w:r>
            <w:fldChar w:fldCharType="end"/>
          </w:r>
        </w:sdtContent>
      </w:sdt>
      <w:r>
        <w:t xml:space="preserve">, men å ta dette i bruk klinisk ligger langt frem i tid. </w:t>
      </w:r>
    </w:p>
    <w:p w:rsidR="00EC626A" w:rsidP="00EC626A" w14:paraId="1D57BE03" w14:textId="77777777">
      <w:pPr>
        <w:pStyle w:val="Heading3"/>
        <w:numPr>
          <w:ilvl w:val="2"/>
          <w:numId w:val="2"/>
        </w:numPr>
        <w:tabs>
          <w:tab w:val="num" w:pos="703"/>
        </w:tabs>
        <w:ind w:left="567" w:hanging="567"/>
      </w:pPr>
      <w:r>
        <w:t>Siemens programvare</w:t>
      </w:r>
    </w:p>
    <w:p w:rsidR="00EC626A" w:rsidP="00EC626A" w14:paraId="4A212958" w14:textId="77777777">
      <w:r>
        <w:t xml:space="preserve">OUS har gått til innkjøp av Siemens </w:t>
      </w:r>
      <w:r w:rsidRPr="008B5A03">
        <w:t xml:space="preserve">SOMATOM </w:t>
      </w:r>
      <w:r w:rsidRPr="008B5A03">
        <w:t>go.Open</w:t>
      </w:r>
      <w:r w:rsidRPr="008B5A03">
        <w:t xml:space="preserve"> Pro</w:t>
      </w:r>
      <w:r>
        <w:t xml:space="preserve">. Den har dual </w:t>
      </w:r>
      <w:r>
        <w:t>energy</w:t>
      </w:r>
      <w:r>
        <w:t xml:space="preserve"> egenskaper ved at den kan kjøre to skanninger etter hverandre med ulik CT-energi («</w:t>
      </w:r>
      <w:r w:rsidRPr="008B5A03">
        <w:t>twin</w:t>
      </w:r>
      <w:r w:rsidRPr="008B5A03">
        <w:t xml:space="preserve"> spiral</w:t>
      </w:r>
      <w:r>
        <w:t>»). I tillegg finnes to Siemens programvare som kan nyttiggjøres innen stråleterapi:</w:t>
      </w:r>
    </w:p>
    <w:p w:rsidR="00EC626A" w:rsidRPr="002A389D" w:rsidP="00EC626A" w14:paraId="40CA2BC0" w14:textId="77777777"/>
    <w:p w:rsidR="00EC626A" w:rsidP="00EC626A" w14:paraId="753BEDE8" w14:textId="77777777">
      <w:pPr>
        <w:pStyle w:val="Heading4"/>
        <w:numPr>
          <w:ilvl w:val="3"/>
          <w:numId w:val="2"/>
        </w:numPr>
        <w:ind w:left="624" w:hanging="624"/>
      </w:pPr>
      <w:r>
        <w:t>DirectDensity</w:t>
      </w:r>
      <w:r>
        <w:t xml:space="preserve"> </w:t>
      </w:r>
    </w:p>
    <w:p w:rsidR="00EC626A" w:rsidP="00EC626A" w14:paraId="1722CE6D" w14:textId="77777777">
      <w:r>
        <w:t xml:space="preserve">Siemens </w:t>
      </w:r>
      <w:r>
        <w:t>DirectDensity</w:t>
      </w:r>
      <w:r>
        <w:t xml:space="preserve">® </w:t>
      </w:r>
      <w:sdt>
        <w:sdtPr>
          <w:id w:val="-402606774"/>
          <w:citation/>
        </w:sdtPr>
        <w:sdtContent>
          <w:r>
            <w:fldChar w:fldCharType="begin"/>
          </w:r>
          <w:r>
            <w:instrText xml:space="preserve">CITATION Rit20 \l 1044 </w:instrText>
          </w:r>
          <w:r>
            <w:fldChar w:fldCharType="separate"/>
          </w:r>
          <w:r w:rsidRPr="00180E81">
            <w:rPr>
              <w:noProof/>
            </w:rPr>
            <w:t>[15]</w:t>
          </w:r>
          <w:r>
            <w:fldChar w:fldCharType="end"/>
          </w:r>
        </w:sdtContent>
      </w:sdt>
      <w:r>
        <w:t xml:space="preserve"> er en metode som muliggjør bruken av en enkelt kalibreringskurve for flere CT-energier (eks. 70, 120, 140 </w:t>
      </w:r>
      <w:r>
        <w:t>kVp</w:t>
      </w:r>
      <w:r>
        <w:t xml:space="preserve">), i motsetning til å ha en kalibreringskurve per energi. Ved </w:t>
      </w:r>
      <w:r>
        <w:t>DirectDensity</w:t>
      </w:r>
      <w:r>
        <w:t xml:space="preserve"> er man derfor ikke begrenset av å kun bruke energier man har kalibrert og kan derfor </w:t>
      </w:r>
      <w:r>
        <w:t>potensielt</w:t>
      </w:r>
      <w:r>
        <w:t xml:space="preserve"> få bedre bildekvalitet av pasienten. </w:t>
      </w:r>
      <w:r>
        <w:t>DirectDensity</w:t>
      </w:r>
      <w:r>
        <w:t xml:space="preserve"> reduserer også effekten av beam hardening. </w:t>
      </w:r>
    </w:p>
    <w:p w:rsidR="00EC626A" w:rsidP="00EC626A" w14:paraId="2D55E9DD" w14:textId="77777777">
      <w:r>
        <w:t xml:space="preserve">Likevel må det bemerkes at </w:t>
      </w:r>
      <w:r>
        <w:t>DirectDensity</w:t>
      </w:r>
      <w:r>
        <w:t xml:space="preserve"> har noen svakheter. 1) Det er ikke egnet for pasienter med metallimplantater. 2) Det er mangel på studier som har validert bruken av </w:t>
      </w:r>
      <w:r>
        <w:t>DirectDensity</w:t>
      </w:r>
      <w:r>
        <w:t xml:space="preserve"> i protonterapisammenheng – spesielt i forhold til </w:t>
      </w:r>
      <w:r>
        <w:t>potensielt</w:t>
      </w:r>
      <w:r>
        <w:t xml:space="preserve"> økt rekkeviddeusikkerhet. Vi anbefaler derfor at </w:t>
      </w:r>
      <w:r>
        <w:t>DirectDensity</w:t>
      </w:r>
      <w:r>
        <w:t xml:space="preserve"> ikke tas i bruk i første omgang, men bør evalueres på sikt.</w:t>
      </w:r>
    </w:p>
    <w:p w:rsidR="00EC626A" w:rsidRPr="00A43549" w:rsidP="00EC626A" w14:paraId="5E50E1C4" w14:textId="77777777"/>
    <w:p w:rsidR="00EC626A" w:rsidRPr="00D12CEA" w:rsidP="00EC626A" w14:paraId="53F99AF3" w14:textId="77777777">
      <w:pPr>
        <w:pStyle w:val="Heading4"/>
        <w:numPr>
          <w:ilvl w:val="3"/>
          <w:numId w:val="2"/>
        </w:numPr>
        <w:ind w:left="624" w:hanging="624"/>
        <w:rPr>
          <w:lang w:val="en-GB"/>
        </w:rPr>
      </w:pPr>
      <w:r w:rsidRPr="00A24A60">
        <w:t>DirectSPR</w:t>
      </w:r>
    </w:p>
    <w:p w:rsidR="00EC626A" w:rsidP="00EC626A" w14:paraId="29BA4A0D" w14:textId="77777777">
      <w:r w:rsidRPr="004C782F">
        <w:t xml:space="preserve">Siemens </w:t>
      </w:r>
      <w:r w:rsidRPr="004C782F">
        <w:t>DirectSPR</w:t>
      </w:r>
      <w:r w:rsidRPr="004C782F">
        <w:t xml:space="preserve"> er en metode f</w:t>
      </w:r>
      <w:r>
        <w:t xml:space="preserve">or å automatisk beregne SPR ut fra DECT-bilder. </w:t>
      </w:r>
      <w:r w:rsidRPr="00FF71AC">
        <w:t>Metoden er i liten grad brukt klinisk</w:t>
      </w:r>
      <w:r>
        <w:t xml:space="preserve"> </w:t>
      </w:r>
      <w:sdt>
        <w:sdtPr>
          <w:id w:val="1280994363"/>
          <w:citation/>
        </w:sdtPr>
        <w:sdtContent>
          <w:r>
            <w:fldChar w:fldCharType="begin"/>
          </w:r>
          <w:r>
            <w:instrText xml:space="preserve"> CITATION phy21 \l 1044 </w:instrText>
          </w:r>
          <w:r>
            <w:fldChar w:fldCharType="separate"/>
          </w:r>
          <w:r w:rsidRPr="00180E81">
            <w:rPr>
              <w:noProof/>
            </w:rPr>
            <w:t>[11]</w:t>
          </w:r>
          <w:r>
            <w:fldChar w:fldCharType="end"/>
          </w:r>
        </w:sdtContent>
      </w:sdt>
      <w:r w:rsidRPr="00FF71AC">
        <w:t>, og lite f</w:t>
      </w:r>
      <w:r>
        <w:t xml:space="preserve">orskning er publisert på metoden </w:t>
      </w:r>
      <w:sdt>
        <w:sdtPr>
          <w:id w:val="-430041728"/>
          <w:citation/>
        </w:sdtPr>
        <w:sdtContent>
          <w:r>
            <w:fldChar w:fldCharType="begin"/>
          </w:r>
          <w:r>
            <w:instrText xml:space="preserve"> CITATION Pet22 \l 1044  \m Ane23</w:instrText>
          </w:r>
          <w:r>
            <w:fldChar w:fldCharType="separate"/>
          </w:r>
          <w:r w:rsidRPr="00180E81">
            <w:rPr>
              <w:noProof/>
            </w:rPr>
            <w:t>[12, 16]</w:t>
          </w:r>
          <w:r>
            <w:fldChar w:fldCharType="end"/>
          </w:r>
        </w:sdtContent>
      </w:sdt>
      <w:r>
        <w:t xml:space="preserve">. </w:t>
      </w:r>
      <w:r w:rsidRPr="00BA303D">
        <w:t>Ved implementering av metoden må man derfor gjøre grundige t</w:t>
      </w:r>
      <w:r>
        <w:t xml:space="preserve">ester for å validere SPR-verdiene. </w:t>
      </w:r>
    </w:p>
    <w:p w:rsidR="00EC626A" w:rsidRPr="00BA303D" w:rsidP="00EC626A" w14:paraId="60F1903C" w14:textId="77777777"/>
    <w:p w:rsidR="00EC626A" w:rsidP="00EC626A" w14:paraId="6AB78C2B" w14:textId="77777777">
      <w:pPr>
        <w:pStyle w:val="Heading3"/>
        <w:numPr>
          <w:ilvl w:val="2"/>
          <w:numId w:val="2"/>
        </w:numPr>
        <w:tabs>
          <w:tab w:val="num" w:pos="703"/>
        </w:tabs>
        <w:ind w:left="567" w:hanging="567"/>
      </w:pPr>
      <w:r>
        <w:t>Annet</w:t>
      </w:r>
    </w:p>
    <w:p w:rsidR="00EC626A" w:rsidRPr="00EC626A" w:rsidP="00EC626A" w14:paraId="17B5CA55" w14:textId="77777777"/>
    <w:p w:rsidR="00EC626A" w:rsidRPr="00141331" w:rsidP="00EC626A" w14:paraId="1E893759" w14:textId="77777777">
      <w:pPr>
        <w:pStyle w:val="Heading4"/>
        <w:numPr>
          <w:ilvl w:val="3"/>
          <w:numId w:val="2"/>
        </w:numPr>
        <w:ind w:left="624" w:hanging="624"/>
      </w:pPr>
      <w:r>
        <w:t>FoV</w:t>
      </w:r>
    </w:p>
    <w:p w:rsidR="00EC626A" w:rsidP="00EC626A" w14:paraId="111D1020" w14:textId="77777777">
      <w:r>
        <w:t>I</w:t>
      </w:r>
      <w:r w:rsidRPr="00AC0695">
        <w:t xml:space="preserve"> strå</w:t>
      </w:r>
      <w:r>
        <w:t>leterapi brukes CT-skannere med stor åpning (</w:t>
      </w:r>
      <w:r>
        <w:t>wide</w:t>
      </w:r>
      <w:r>
        <w:t xml:space="preserve"> bore) for å gi plass til ulik fiksering og leie av pasienter. Skannerens </w:t>
      </w:r>
      <w:r>
        <w:t>field</w:t>
      </w:r>
      <w:r>
        <w:t xml:space="preserve"> </w:t>
      </w:r>
      <w:r>
        <w:t>of</w:t>
      </w:r>
      <w:r>
        <w:t xml:space="preserve"> </w:t>
      </w:r>
      <w:r>
        <w:t>view</w:t>
      </w:r>
      <w:r>
        <w:t xml:space="preserve"> (</w:t>
      </w:r>
      <w:r>
        <w:t>FoV</w:t>
      </w:r>
      <w:r>
        <w:t xml:space="preserve">) er derimot mindre enn skannerens diameter. Rekonstruksjon basert på et ufullstendig datagrunnlag i et utvidet </w:t>
      </w:r>
      <w:r>
        <w:t>FoV</w:t>
      </w:r>
      <w:r>
        <w:t xml:space="preserve"> er som regel mulig. Utvidet </w:t>
      </w:r>
      <w:r>
        <w:t>FoV</w:t>
      </w:r>
      <w:r>
        <w:t xml:space="preserve"> overestimerer pasientens størrelse, og avhengig av tetthet blir HU-verdiene over- og underestimert. Det er derfor viktig at målvolumet, og områder det vil være naturlig å stråle inn gjennom, ikke ligger utenfor skannerens normale </w:t>
      </w:r>
      <w:r>
        <w:t>FoV</w:t>
      </w:r>
      <w:r>
        <w:t xml:space="preserve">. En egen HLUT-tabell kan ikke lages for utvidet </w:t>
      </w:r>
      <w:r w:rsidRPr="00F7338B">
        <w:t>FoV</w:t>
      </w:r>
      <w:r>
        <w:t xml:space="preserve"> da HU-verdiene ikke er stabile. </w:t>
      </w:r>
      <w:sdt>
        <w:sdtPr>
          <w:id w:val="-1273617953"/>
          <w:citation/>
        </w:sdtPr>
        <w:sdtContent>
          <w:r>
            <w:fldChar w:fldCharType="begin"/>
          </w:r>
          <w:r>
            <w:instrText xml:space="preserve">CITATION Gab21 \m BBe15 \l 1044 </w:instrText>
          </w:r>
          <w:r>
            <w:fldChar w:fldCharType="separate"/>
          </w:r>
          <w:r w:rsidRPr="00180E81">
            <w:rPr>
              <w:noProof/>
            </w:rPr>
            <w:t>[17, 18]</w:t>
          </w:r>
          <w:r>
            <w:fldChar w:fldCharType="end"/>
          </w:r>
        </w:sdtContent>
      </w:sdt>
    </w:p>
    <w:p w:rsidR="00EC626A" w:rsidRPr="00276BF4" w:rsidP="00EC626A" w14:paraId="484DCB42" w14:textId="77777777"/>
    <w:p w:rsidR="00EC626A" w:rsidP="00EC626A" w14:paraId="23005758" w14:textId="77777777">
      <w:pPr>
        <w:pStyle w:val="Heading4"/>
        <w:numPr>
          <w:ilvl w:val="3"/>
          <w:numId w:val="2"/>
        </w:numPr>
        <w:ind w:left="624" w:hanging="624"/>
      </w:pPr>
      <w:r>
        <w:t xml:space="preserve">Fikseringsutstyr </w:t>
      </w:r>
    </w:p>
    <w:p w:rsidR="00EC626A" w:rsidP="00EC626A" w14:paraId="5F239BE4" w14:textId="77777777">
      <w:pPr>
        <w:pStyle w:val="paragraph"/>
        <w:spacing w:before="0" w:beforeAutospacing="0" w:after="0" w:afterAutospacing="0" w:line="276" w:lineRule="auto"/>
        <w:rPr>
          <w:rStyle w:val="eop"/>
          <w:rFonts w:ascii="Calibri" w:hAnsi="Calibri" w:eastAsiaTheme="majorEastAsia" w:cs="Calibri"/>
          <w:sz w:val="22"/>
          <w:szCs w:val="22"/>
        </w:rPr>
      </w:pPr>
      <w:r w:rsidRPr="6C0B2C4B">
        <w:rPr>
          <w:rStyle w:val="eop"/>
          <w:rFonts w:ascii="Calibri" w:hAnsi="Calibri" w:eastAsiaTheme="majorEastAsia" w:cs="Calibri"/>
          <w:sz w:val="22"/>
          <w:szCs w:val="22"/>
        </w:rPr>
        <w:t xml:space="preserve">Det er anbefalt fra AAPM </w:t>
      </w:r>
      <w:r>
        <w:rPr>
          <w:rStyle w:val="eop"/>
          <w:rFonts w:ascii="Calibri" w:hAnsi="Calibri" w:eastAsiaTheme="majorEastAsia" w:cs="Calibri"/>
          <w:sz w:val="22"/>
          <w:szCs w:val="22"/>
        </w:rPr>
        <w:t>T</w:t>
      </w:r>
      <w:r w:rsidRPr="000D6AD9">
        <w:rPr>
          <w:rStyle w:val="eop"/>
          <w:rFonts w:ascii="Calibri" w:hAnsi="Calibri" w:eastAsiaTheme="majorEastAsia" w:cs="Calibri"/>
          <w:sz w:val="22"/>
          <w:szCs w:val="22"/>
        </w:rPr>
        <w:t>askgroup</w:t>
      </w:r>
      <w:r w:rsidRPr="000D6AD9">
        <w:rPr>
          <w:rStyle w:val="eop"/>
          <w:rFonts w:ascii="Calibri" w:hAnsi="Calibri" w:eastAsiaTheme="majorEastAsia" w:cs="Calibri"/>
          <w:sz w:val="22"/>
          <w:szCs w:val="22"/>
        </w:rPr>
        <w:t xml:space="preserve"> 176</w:t>
      </w:r>
      <w:r w:rsidRPr="6C0B2C4B">
        <w:rPr>
          <w:rStyle w:val="eop"/>
          <w:rFonts w:ascii="Calibri" w:hAnsi="Calibri" w:eastAsiaTheme="majorEastAsia" w:cs="Calibri"/>
          <w:sz w:val="22"/>
          <w:szCs w:val="22"/>
        </w:rPr>
        <w:t xml:space="preserve"> å gjøre SPR-målinger av fikseringsutstyr og bordtopp</w:t>
      </w:r>
      <w:r>
        <w:rPr>
          <w:rStyle w:val="eop"/>
          <w:rFonts w:ascii="Calibri" w:hAnsi="Calibri" w:eastAsiaTheme="majorEastAsia" w:cs="Calibri"/>
          <w:sz w:val="22"/>
          <w:szCs w:val="22"/>
        </w:rPr>
        <w:t xml:space="preserve"> </w:t>
      </w:r>
      <w:sdt>
        <w:sdtPr>
          <w:rPr>
            <w:rStyle w:val="eop"/>
            <w:rFonts w:ascii="Calibri" w:hAnsi="Calibri" w:eastAsiaTheme="majorEastAsia" w:cs="Calibri"/>
            <w:sz w:val="22"/>
            <w:szCs w:val="22"/>
          </w:rPr>
          <w:id w:val="-1686746199"/>
          <w:citation/>
        </w:sdtPr>
        <w:sdtContent>
          <w:r>
            <w:rPr>
              <w:rStyle w:val="eop"/>
              <w:rFonts w:ascii="Calibri" w:hAnsi="Calibri" w:eastAsiaTheme="majorEastAsia" w:cs="Calibri"/>
              <w:sz w:val="22"/>
              <w:szCs w:val="22"/>
            </w:rPr>
            <w:fldChar w:fldCharType="begin"/>
          </w:r>
          <w:r>
            <w:rPr>
              <w:rStyle w:val="eop"/>
              <w:rFonts w:ascii="Calibri" w:hAnsi="Calibri" w:eastAsiaTheme="majorEastAsia" w:cs="Calibri"/>
              <w:sz w:val="22"/>
              <w:szCs w:val="22"/>
            </w:rPr>
            <w:instrText xml:space="preserve">CITATION AJO14 \l 1044 </w:instrText>
          </w:r>
          <w:r>
            <w:rPr>
              <w:rStyle w:val="eop"/>
              <w:rFonts w:ascii="Calibri" w:hAnsi="Calibri" w:eastAsiaTheme="majorEastAsia" w:cs="Calibri"/>
              <w:sz w:val="22"/>
              <w:szCs w:val="22"/>
            </w:rPr>
            <w:fldChar w:fldCharType="separate"/>
          </w:r>
          <w:r w:rsidRPr="00180E81">
            <w:rPr>
              <w:rFonts w:ascii="Calibri" w:hAnsi="Calibri" w:eastAsiaTheme="majorEastAsia" w:cs="Calibri"/>
              <w:noProof/>
              <w:sz w:val="22"/>
              <w:szCs w:val="22"/>
            </w:rPr>
            <w:t>[19]</w:t>
          </w:r>
          <w:r>
            <w:rPr>
              <w:rStyle w:val="eop"/>
              <w:rFonts w:ascii="Calibri" w:hAnsi="Calibri" w:eastAsiaTheme="majorEastAsia" w:cs="Calibri"/>
              <w:sz w:val="22"/>
              <w:szCs w:val="22"/>
            </w:rPr>
            <w:fldChar w:fldCharType="end"/>
          </w:r>
        </w:sdtContent>
      </w:sdt>
      <w:r w:rsidRPr="6C0B2C4B">
        <w:rPr>
          <w:rStyle w:val="eop"/>
          <w:rFonts w:ascii="Calibri" w:hAnsi="Calibri" w:eastAsiaTheme="majorEastAsia" w:cs="Calibri"/>
          <w:sz w:val="22"/>
          <w:szCs w:val="22"/>
        </w:rPr>
        <w:t xml:space="preserve">. For protoner anbefales det at man bruker </w:t>
      </w:r>
      <w:r>
        <w:rPr>
          <w:rStyle w:val="eop"/>
          <w:rFonts w:ascii="Calibri" w:hAnsi="Calibri" w:eastAsiaTheme="majorEastAsia" w:cs="Calibri"/>
          <w:sz w:val="22"/>
          <w:szCs w:val="22"/>
        </w:rPr>
        <w:t>doseplansystemet</w:t>
      </w:r>
      <w:r w:rsidRPr="6C0B2C4B">
        <w:rPr>
          <w:rStyle w:val="eop"/>
          <w:rFonts w:ascii="Calibri" w:hAnsi="Calibri" w:eastAsiaTheme="majorEastAsia" w:cs="Calibri"/>
          <w:sz w:val="22"/>
          <w:szCs w:val="22"/>
        </w:rPr>
        <w:t xml:space="preserve"> til å beregne vannekvivalent tykkelse</w:t>
      </w:r>
      <w:r>
        <w:rPr>
          <w:rStyle w:val="eop"/>
          <w:rFonts w:ascii="Calibri" w:hAnsi="Calibri" w:eastAsiaTheme="majorEastAsia" w:cs="Calibri"/>
          <w:sz w:val="22"/>
          <w:szCs w:val="22"/>
        </w:rPr>
        <w:t xml:space="preserve"> (WET)</w:t>
      </w:r>
      <w:r w:rsidRPr="6C0B2C4B">
        <w:rPr>
          <w:rStyle w:val="eop"/>
          <w:rFonts w:ascii="Calibri" w:hAnsi="Calibri" w:eastAsiaTheme="majorEastAsia" w:cs="Calibri"/>
          <w:sz w:val="22"/>
          <w:szCs w:val="22"/>
        </w:rPr>
        <w:t xml:space="preserve"> av ulike typer fikseringsutstyr, og sammenligner verdiene med opplysninger fra leverandør og fysiske målinger i protonstråle. Beregningene i </w:t>
      </w:r>
      <w:r>
        <w:rPr>
          <w:rStyle w:val="eop"/>
          <w:rFonts w:ascii="Calibri" w:hAnsi="Calibri" w:eastAsiaTheme="majorEastAsia" w:cs="Calibri"/>
          <w:sz w:val="22"/>
          <w:szCs w:val="22"/>
        </w:rPr>
        <w:t>doseplansystemet</w:t>
      </w:r>
      <w:r w:rsidRPr="6C0B2C4B">
        <w:rPr>
          <w:rStyle w:val="eop"/>
          <w:rFonts w:ascii="Calibri" w:hAnsi="Calibri" w:eastAsiaTheme="majorEastAsia" w:cs="Calibri"/>
          <w:sz w:val="22"/>
          <w:szCs w:val="22"/>
        </w:rPr>
        <w:t xml:space="preserve"> gjøres ved at man CT-s</w:t>
      </w:r>
      <w:r>
        <w:rPr>
          <w:rStyle w:val="eop"/>
          <w:rFonts w:ascii="Calibri" w:hAnsi="Calibri" w:eastAsiaTheme="majorEastAsia" w:cs="Calibri"/>
          <w:sz w:val="22"/>
          <w:szCs w:val="22"/>
        </w:rPr>
        <w:t>k</w:t>
      </w:r>
      <w:r w:rsidRPr="6C0B2C4B">
        <w:rPr>
          <w:rStyle w:val="eop"/>
          <w:rFonts w:ascii="Calibri" w:hAnsi="Calibri" w:eastAsiaTheme="majorEastAsia" w:cs="Calibri"/>
          <w:sz w:val="22"/>
          <w:szCs w:val="22"/>
        </w:rPr>
        <w:t>an</w:t>
      </w:r>
      <w:r>
        <w:rPr>
          <w:rStyle w:val="eop"/>
          <w:rFonts w:ascii="Calibri" w:hAnsi="Calibri" w:eastAsiaTheme="majorEastAsia" w:cs="Calibri"/>
          <w:sz w:val="22"/>
          <w:szCs w:val="22"/>
        </w:rPr>
        <w:t>ner</w:t>
      </w:r>
      <w:r w:rsidRPr="6C0B2C4B">
        <w:rPr>
          <w:rStyle w:val="eop"/>
          <w:rFonts w:ascii="Calibri" w:hAnsi="Calibri" w:eastAsiaTheme="majorEastAsia" w:cs="Calibri"/>
          <w:sz w:val="22"/>
          <w:szCs w:val="22"/>
        </w:rPr>
        <w:t xml:space="preserve"> utstyret og beregner SPR via </w:t>
      </w:r>
      <w:r>
        <w:rPr>
          <w:rStyle w:val="eop"/>
          <w:rFonts w:ascii="Calibri" w:hAnsi="Calibri" w:eastAsiaTheme="majorEastAsia" w:cs="Calibri"/>
          <w:sz w:val="22"/>
          <w:szCs w:val="22"/>
        </w:rPr>
        <w:t>HLUT</w:t>
      </w:r>
      <w:r w:rsidRPr="6C0B2C4B">
        <w:rPr>
          <w:rStyle w:val="eop"/>
          <w:rFonts w:ascii="Calibri" w:hAnsi="Calibri" w:eastAsiaTheme="majorEastAsia" w:cs="Calibri"/>
          <w:sz w:val="22"/>
          <w:szCs w:val="22"/>
        </w:rPr>
        <w:t xml:space="preserve">. For målinger i protonstråle anbefales det å bruke et </w:t>
      </w:r>
      <w:r>
        <w:rPr>
          <w:rStyle w:val="eop"/>
          <w:rFonts w:ascii="Calibri" w:hAnsi="Calibri" w:eastAsiaTheme="majorEastAsia" w:cs="Calibri"/>
          <w:sz w:val="22"/>
          <w:szCs w:val="22"/>
        </w:rPr>
        <w:t>multi</w:t>
      </w:r>
      <w:r>
        <w:rPr>
          <w:rStyle w:val="eop"/>
          <w:rFonts w:ascii="Calibri" w:hAnsi="Calibri" w:eastAsiaTheme="majorEastAsia" w:cs="Calibri"/>
          <w:sz w:val="22"/>
          <w:szCs w:val="22"/>
        </w:rPr>
        <w:t xml:space="preserve">-lag </w:t>
      </w:r>
      <w:r w:rsidRPr="6C0B2C4B">
        <w:rPr>
          <w:rStyle w:val="eop"/>
          <w:rFonts w:ascii="Calibri" w:hAnsi="Calibri" w:eastAsiaTheme="majorEastAsia" w:cs="Calibri"/>
          <w:sz w:val="22"/>
          <w:szCs w:val="22"/>
        </w:rPr>
        <w:t>parallell-plate-</w:t>
      </w:r>
      <w:r w:rsidRPr="6C0B2C4B">
        <w:rPr>
          <w:rStyle w:val="eop"/>
          <w:rFonts w:ascii="Calibri" w:hAnsi="Calibri" w:eastAsiaTheme="majorEastAsia" w:cs="Calibri"/>
          <w:sz w:val="22"/>
          <w:szCs w:val="22"/>
        </w:rPr>
        <w:t>ionekammer</w:t>
      </w:r>
      <w:r w:rsidRPr="6C0B2C4B">
        <w:rPr>
          <w:rStyle w:val="eop"/>
          <w:rFonts w:ascii="Calibri" w:hAnsi="Calibri" w:eastAsiaTheme="majorEastAsia" w:cs="Calibri"/>
          <w:sz w:val="22"/>
          <w:szCs w:val="22"/>
        </w:rPr>
        <w:t xml:space="preserve">. Målinger av Bragg </w:t>
      </w:r>
      <w:r w:rsidRPr="6C0B2C4B">
        <w:rPr>
          <w:rStyle w:val="eop"/>
          <w:rFonts w:ascii="Calibri" w:hAnsi="Calibri" w:eastAsiaTheme="majorEastAsia" w:cs="Calibri"/>
          <w:sz w:val="22"/>
          <w:szCs w:val="22"/>
        </w:rPr>
        <w:t>peak</w:t>
      </w:r>
      <w:r w:rsidRPr="6C0B2C4B">
        <w:rPr>
          <w:rStyle w:val="eop"/>
          <w:rFonts w:ascii="Calibri" w:hAnsi="Calibri" w:eastAsiaTheme="majorEastAsia" w:cs="Calibri"/>
          <w:sz w:val="22"/>
          <w:szCs w:val="22"/>
        </w:rPr>
        <w:t xml:space="preserve"> gjøres først uten noe i protonstrålen, før man så gjør en ny måling med aktuelt fikseringsutstyr i strålen. Basert på </w:t>
      </w:r>
      <w:r>
        <w:rPr>
          <w:rStyle w:val="eop"/>
          <w:rFonts w:ascii="Calibri" w:hAnsi="Calibri" w:eastAsiaTheme="majorEastAsia" w:cs="Calibri"/>
          <w:sz w:val="22"/>
          <w:szCs w:val="22"/>
        </w:rPr>
        <w:t>endringen i protonets rekkevidde</w:t>
      </w:r>
      <w:r w:rsidRPr="6C0B2C4B">
        <w:rPr>
          <w:rStyle w:val="eop"/>
          <w:rFonts w:ascii="Calibri" w:hAnsi="Calibri" w:eastAsiaTheme="majorEastAsia" w:cs="Calibri"/>
          <w:sz w:val="22"/>
          <w:szCs w:val="22"/>
        </w:rPr>
        <w:t xml:space="preserve"> vil WET kunne beregnes. </w:t>
      </w:r>
      <w:sdt>
        <w:sdtPr>
          <w:rPr>
            <w:rStyle w:val="eop"/>
            <w:rFonts w:ascii="Calibri" w:hAnsi="Calibri" w:eastAsiaTheme="majorEastAsia" w:cs="Calibri"/>
            <w:sz w:val="22"/>
            <w:szCs w:val="22"/>
          </w:rPr>
          <w:id w:val="1881663724"/>
          <w:citation/>
        </w:sdtPr>
        <w:sdtContent>
          <w:r>
            <w:rPr>
              <w:rStyle w:val="eop"/>
              <w:rFonts w:ascii="Calibri" w:hAnsi="Calibri" w:eastAsiaTheme="majorEastAsia" w:cs="Calibri"/>
              <w:sz w:val="22"/>
              <w:szCs w:val="22"/>
            </w:rPr>
            <w:fldChar w:fldCharType="begin"/>
          </w:r>
          <w:r>
            <w:rPr>
              <w:rStyle w:val="eop"/>
              <w:rFonts w:ascii="Calibri" w:hAnsi="Calibri" w:eastAsiaTheme="majorEastAsia" w:cs="Calibri"/>
              <w:sz w:val="22"/>
              <w:szCs w:val="22"/>
            </w:rPr>
            <w:instrText xml:space="preserve">CITATION FFe17 \l 1044 </w:instrText>
          </w:r>
          <w:r>
            <w:rPr>
              <w:rStyle w:val="eop"/>
              <w:rFonts w:ascii="Calibri" w:hAnsi="Calibri" w:eastAsiaTheme="majorEastAsia" w:cs="Calibri"/>
              <w:sz w:val="22"/>
              <w:szCs w:val="22"/>
            </w:rPr>
            <w:fldChar w:fldCharType="separate"/>
          </w:r>
          <w:r w:rsidRPr="00180E81">
            <w:rPr>
              <w:rFonts w:ascii="Calibri" w:hAnsi="Calibri" w:eastAsiaTheme="majorEastAsia" w:cs="Calibri"/>
              <w:noProof/>
              <w:sz w:val="22"/>
              <w:szCs w:val="22"/>
            </w:rPr>
            <w:t>[20]</w:t>
          </w:r>
          <w:r>
            <w:rPr>
              <w:rStyle w:val="eop"/>
              <w:rFonts w:ascii="Calibri" w:hAnsi="Calibri" w:eastAsiaTheme="majorEastAsia" w:cs="Calibri"/>
              <w:sz w:val="22"/>
              <w:szCs w:val="22"/>
            </w:rPr>
            <w:fldChar w:fldCharType="end"/>
          </w:r>
        </w:sdtContent>
      </w:sdt>
      <w:r>
        <w:rPr>
          <w:rStyle w:val="eop"/>
          <w:rFonts w:ascii="Calibri" w:hAnsi="Calibri" w:eastAsiaTheme="majorEastAsia" w:cs="Calibri"/>
          <w:sz w:val="22"/>
          <w:szCs w:val="22"/>
        </w:rPr>
        <w:t xml:space="preserve"> </w:t>
      </w:r>
    </w:p>
    <w:p w:rsidR="00EC626A" w:rsidP="00EC626A" w14:paraId="74205A42" w14:textId="77777777">
      <w:pPr>
        <w:pStyle w:val="paragraph"/>
        <w:spacing w:before="0" w:beforeAutospacing="0" w:after="0" w:afterAutospacing="0" w:line="276" w:lineRule="auto"/>
        <w:rPr>
          <w:rStyle w:val="eop"/>
          <w:rFonts w:ascii="Calibri" w:hAnsi="Calibri" w:eastAsiaTheme="majorEastAsia" w:cs="Calibri"/>
          <w:sz w:val="22"/>
          <w:szCs w:val="22"/>
        </w:rPr>
      </w:pPr>
      <w:r w:rsidRPr="6C0B2C4B">
        <w:rPr>
          <w:rStyle w:val="eop"/>
          <w:rFonts w:ascii="Calibri" w:hAnsi="Calibri" w:eastAsiaTheme="majorEastAsia" w:cs="Calibri"/>
          <w:sz w:val="22"/>
          <w:szCs w:val="22"/>
        </w:rPr>
        <w:t xml:space="preserve">Skrå bordkanter og andre bøyde/irregulære overflater kan gi problemer med reproduksjon når målinger skal gjøres i </w:t>
      </w:r>
      <w:r>
        <w:rPr>
          <w:rStyle w:val="eop"/>
          <w:rFonts w:ascii="Calibri" w:hAnsi="Calibri" w:eastAsiaTheme="majorEastAsia" w:cs="Calibri"/>
          <w:sz w:val="22"/>
          <w:szCs w:val="22"/>
        </w:rPr>
        <w:t>doseplansystemet</w:t>
      </w:r>
      <w:r w:rsidRPr="6C0B2C4B">
        <w:rPr>
          <w:rStyle w:val="eop"/>
          <w:rFonts w:ascii="Calibri" w:hAnsi="Calibri" w:eastAsiaTheme="majorEastAsia" w:cs="Calibri"/>
          <w:sz w:val="22"/>
          <w:szCs w:val="22"/>
        </w:rPr>
        <w:t xml:space="preserve"> og i protonstråle (også relevant for hodeputer og masker med hullmønster</w:t>
      </w:r>
      <w:r w:rsidRPr="000D6AD9">
        <w:rPr>
          <w:rStyle w:val="eop"/>
          <w:rFonts w:ascii="Calibri" w:hAnsi="Calibri" w:eastAsiaTheme="majorEastAsia" w:cs="Calibri"/>
          <w:sz w:val="22"/>
          <w:szCs w:val="22"/>
        </w:rPr>
        <w:t xml:space="preserve">). </w:t>
      </w:r>
      <w:r w:rsidRPr="6C0B2C4B">
        <w:rPr>
          <w:rStyle w:val="eop"/>
          <w:rFonts w:ascii="Calibri" w:hAnsi="Calibri" w:eastAsiaTheme="majorEastAsia" w:cs="Calibri"/>
          <w:sz w:val="22"/>
          <w:szCs w:val="22"/>
        </w:rPr>
        <w:t xml:space="preserve">Man må derfor </w:t>
      </w:r>
      <w:r w:rsidRPr="000D6AD9">
        <w:rPr>
          <w:rStyle w:val="eop"/>
          <w:rFonts w:ascii="Calibri" w:hAnsi="Calibri" w:eastAsiaTheme="majorEastAsia" w:cs="Calibri"/>
          <w:sz w:val="22"/>
          <w:szCs w:val="22"/>
        </w:rPr>
        <w:t xml:space="preserve">være nøye </w:t>
      </w:r>
      <w:r w:rsidRPr="6C0B2C4B">
        <w:rPr>
          <w:rStyle w:val="eop"/>
          <w:rFonts w:ascii="Calibri" w:hAnsi="Calibri" w:eastAsiaTheme="majorEastAsia" w:cs="Calibri"/>
          <w:sz w:val="22"/>
          <w:szCs w:val="22"/>
        </w:rPr>
        <w:t xml:space="preserve">i valg av “måleposisjon” for å kunne gjenskape posisjon fra </w:t>
      </w:r>
      <w:r>
        <w:rPr>
          <w:rStyle w:val="eop"/>
          <w:rFonts w:ascii="Calibri" w:hAnsi="Calibri" w:eastAsiaTheme="majorEastAsia" w:cs="Calibri"/>
          <w:sz w:val="22"/>
          <w:szCs w:val="22"/>
        </w:rPr>
        <w:t>doseplansystemet</w:t>
      </w:r>
      <w:r w:rsidRPr="6C0B2C4B">
        <w:rPr>
          <w:rStyle w:val="eop"/>
          <w:rFonts w:ascii="Calibri" w:hAnsi="Calibri" w:eastAsiaTheme="majorEastAsia" w:cs="Calibri"/>
          <w:sz w:val="22"/>
          <w:szCs w:val="22"/>
        </w:rPr>
        <w:t xml:space="preserve"> i fysiske målinger.</w:t>
      </w:r>
    </w:p>
    <w:p w:rsidR="00EC626A" w:rsidRPr="000D6AD9" w:rsidP="00EC626A" w14:paraId="18338D6A" w14:textId="77777777">
      <w:pPr>
        <w:pStyle w:val="paragraph"/>
        <w:spacing w:before="0" w:beforeAutospacing="0" w:after="0" w:afterAutospacing="0" w:line="276" w:lineRule="auto"/>
        <w:rPr>
          <w:rStyle w:val="eop"/>
          <w:rFonts w:ascii="Calibri" w:hAnsi="Calibri" w:eastAsiaTheme="majorEastAsia" w:cs="Calibri"/>
          <w:i/>
          <w:iCs/>
          <w:sz w:val="22"/>
          <w:szCs w:val="22"/>
        </w:rPr>
      </w:pPr>
    </w:p>
    <w:p w:rsidR="00EC626A" w:rsidP="00EC626A" w14:paraId="0CC4E3AB" w14:textId="77777777">
      <w:pPr>
        <w:pStyle w:val="Heading2"/>
      </w:pPr>
      <w:r>
        <w:t>Protokoller</w:t>
      </w:r>
    </w:p>
    <w:p w:rsidR="00EC626A" w:rsidP="00EC626A" w14:paraId="785EC786" w14:textId="77777777">
      <w:r w:rsidRPr="000A6340">
        <w:t>CT protokoller som</w:t>
      </w:r>
      <w:r>
        <w:t xml:space="preserve"> er i bruk ved HUS og OUS har blitt sammenstilt for de aktuelle behandlingsgruppene barn, øre-nese-hals, sarkom og sentralnervesystemet (CNS). De finnes i egne dokumenter:</w:t>
      </w:r>
    </w:p>
    <w:p w:rsidR="00EC626A" w:rsidP="00EC626A" w14:paraId="6719468E" w14:textId="77777777">
      <w:hyperlink r:id="rId5" w:history="1">
        <w:r w:rsidRPr="00790C21">
          <w:rPr>
            <w:rStyle w:val="Hyperlink"/>
          </w:rPr>
          <w:t>CT protokoll barn</w:t>
        </w:r>
      </w:hyperlink>
    </w:p>
    <w:p w:rsidR="00EC626A" w:rsidP="00EC626A" w14:paraId="4FB49E8F" w14:textId="77777777">
      <w:hyperlink r:id="rId6" w:history="1">
        <w:r w:rsidRPr="00C431A1">
          <w:rPr>
            <w:rStyle w:val="Hyperlink"/>
          </w:rPr>
          <w:t>CT protokoll CNS</w:t>
        </w:r>
      </w:hyperlink>
    </w:p>
    <w:p w:rsidR="00EC626A" w:rsidP="00EC626A" w14:paraId="5F33C025" w14:textId="77777777">
      <w:hyperlink r:id="rId7" w:history="1">
        <w:r w:rsidRPr="00C431A1">
          <w:rPr>
            <w:rStyle w:val="Hyperlink"/>
          </w:rPr>
          <w:t>CT protokoll sarkom</w:t>
        </w:r>
      </w:hyperlink>
    </w:p>
    <w:p w:rsidR="00EC626A" w:rsidP="00EC626A" w14:paraId="5F5F305E" w14:textId="77777777">
      <w:hyperlink r:id="rId8" w:history="1">
        <w:r w:rsidRPr="00C431A1">
          <w:rPr>
            <w:rStyle w:val="Hyperlink"/>
          </w:rPr>
          <w:t>CT protokoll ØNH</w:t>
        </w:r>
      </w:hyperlink>
    </w:p>
    <w:p w:rsidR="00EC626A" w:rsidP="00EC626A" w14:paraId="61CF79B0" w14:textId="77777777">
      <w:r>
        <w:t>Flere diagnoser vil etter hvert bli aktuelle for protonterapi, og nye vurderinger for avbildning må da gjøres. Dette gjelder spesielt ved behandling av bevegelige tumorer.</w:t>
      </w:r>
    </w:p>
    <w:p w:rsidR="00EC626A" w:rsidRPr="00E86ECF" w:rsidP="00EC626A" w14:paraId="7CC92013" w14:textId="77777777"/>
    <w:p w:rsidR="00EC626A" w:rsidP="00EC626A" w14:paraId="6F7C3238" w14:textId="77777777">
      <w:pPr>
        <w:pStyle w:val="Heading3"/>
        <w:numPr>
          <w:ilvl w:val="2"/>
          <w:numId w:val="2"/>
        </w:numPr>
        <w:tabs>
          <w:tab w:val="num" w:pos="703"/>
        </w:tabs>
        <w:ind w:left="567" w:hanging="567"/>
      </w:pPr>
      <w:r>
        <w:t>Kontrast</w:t>
      </w:r>
    </w:p>
    <w:p w:rsidR="00EC626A" w:rsidP="00EC626A" w14:paraId="0A9F9405" w14:textId="77777777">
      <w:r>
        <w:t xml:space="preserve">Kontrastmiddel brukt på CT for doseplanlegging vil føre til overestimering av vevets tetthet og dermed gi en uriktig beregning av protonets rekkevidde </w:t>
      </w:r>
      <w:sdt>
        <w:sdtPr>
          <w:id w:val="-1863118696"/>
          <w:citation/>
        </w:sdtPr>
        <w:sdtContent>
          <w:r>
            <w:fldChar w:fldCharType="begin"/>
          </w:r>
          <w:r>
            <w:instrText xml:space="preserve">CITATION Art19 \l 1044 </w:instrText>
          </w:r>
          <w:r>
            <w:fldChar w:fldCharType="separate"/>
          </w:r>
          <w:r w:rsidRPr="00180E81">
            <w:rPr>
              <w:noProof/>
            </w:rPr>
            <w:t>[14]</w:t>
          </w:r>
          <w:r>
            <w:fldChar w:fldCharType="end"/>
          </w:r>
        </w:sdtContent>
      </w:sdt>
      <w:r>
        <w:t>. Det vil derfor alltid først kjøres en serie uten kontrast som skal brukes til doseplanlegging. Dersom man har behov for en ny CT uten kontrast etter at kontrast er gitt, må man typisk vente til neste dag, avhengig av området som skal skannes.</w:t>
      </w:r>
    </w:p>
    <w:p w:rsidR="00EC626A" w:rsidP="00EC626A" w14:paraId="26FE3918" w14:textId="77777777">
      <w:r>
        <w:t xml:space="preserve">OUS og HUS bruker </w:t>
      </w:r>
      <w:r w:rsidRPr="002047F0">
        <w:t>Omnipaque</w:t>
      </w:r>
      <w:r w:rsidRPr="002047F0">
        <w:t xml:space="preserve"> 350mg/ml som kontrastmiddel. Ved barne-protokoller benyttes </w:t>
      </w:r>
      <w:r w:rsidRPr="002047F0">
        <w:t>Omnipaque</w:t>
      </w:r>
      <w:r w:rsidRPr="002047F0">
        <w:t xml:space="preserve"> 300mg/ml eller </w:t>
      </w:r>
      <w:r w:rsidRPr="002047F0">
        <w:t>Visipaque</w:t>
      </w:r>
      <w:r w:rsidRPr="002047F0">
        <w:t xml:space="preserve"> 270 mg/ml (2ml/kg). Det </w:t>
      </w:r>
      <w:r w:rsidRPr="002047F0">
        <w:t>gies</w:t>
      </w:r>
      <w:r w:rsidRPr="002047F0">
        <w:t xml:space="preserve"> med sprøyte ned til 2 år, med </w:t>
      </w:r>
      <w:r w:rsidRPr="002047F0">
        <w:t>flow</w:t>
      </w:r>
      <w:r w:rsidRPr="002047F0">
        <w:t xml:space="preserve"> 1.5. 2ml/kg. Se</w:t>
      </w:r>
      <w:r>
        <w:t xml:space="preserve"> ellers egne </w:t>
      </w:r>
      <w:hyperlink r:id="rId5" w:history="1">
        <w:r>
          <w:rPr>
            <w:rStyle w:val="Hyperlink"/>
          </w:rPr>
          <w:t>barneprotokoller</w:t>
        </w:r>
      </w:hyperlink>
      <w:r>
        <w:t>.</w:t>
      </w:r>
    </w:p>
    <w:p w:rsidR="00EC626A" w:rsidP="00EC626A" w14:paraId="21284BD5" w14:textId="77777777"/>
    <w:p w:rsidR="00EC626A" w:rsidP="00EC626A" w14:paraId="01E106D1" w14:textId="77777777">
      <w:pPr>
        <w:pStyle w:val="Heading3"/>
        <w:numPr>
          <w:ilvl w:val="2"/>
          <w:numId w:val="2"/>
        </w:numPr>
        <w:tabs>
          <w:tab w:val="num" w:pos="703"/>
        </w:tabs>
        <w:ind w:left="567" w:hanging="567"/>
      </w:pPr>
      <w:r>
        <w:t>Tatovering og markører</w:t>
      </w:r>
    </w:p>
    <w:p w:rsidR="00EC626A" w:rsidRPr="00BF796F" w:rsidP="00EC626A" w14:paraId="30CF4323" w14:textId="77777777">
      <w:r>
        <w:t xml:space="preserve">HUS markerer referansepunkter på sine pasienter ved CT. Referansepunkt markeres i form av tatoveringer med unntak av maske-pasienter hvor dette erstattes av tusj-markeringer på selve masken. OUS benytter referansepunkter kun på maske-pasienter og de tilfeller hvor man benytter vakuumputer. </w:t>
      </w:r>
      <w:r w:rsidRPr="003304BC">
        <w:t xml:space="preserve">Referansemarkørene som benyttes ved OUS </w:t>
      </w:r>
      <w:r>
        <w:t>–</w:t>
      </w:r>
      <w:r w:rsidRPr="003304BC">
        <w:t xml:space="preserve"> </w:t>
      </w:r>
      <w:r w:rsidRPr="003304BC">
        <w:t>Beekley</w:t>
      </w:r>
      <w:r w:rsidRPr="003304BC">
        <w:t xml:space="preserve"> Medical®:  </w:t>
      </w:r>
    </w:p>
    <w:tbl>
      <w:tblPr>
        <w:tblStyle w:val="GridTable1LightAccent1"/>
        <w:tblW w:w="5000" w:type="pct"/>
        <w:tblLook w:val="04A0"/>
      </w:tblPr>
      <w:tblGrid>
        <w:gridCol w:w="2311"/>
        <w:gridCol w:w="2548"/>
        <w:gridCol w:w="4202"/>
      </w:tblGrid>
      <w:tr w14:paraId="4DED5EC9" w14:textId="77777777" w:rsidTr="00576150">
        <w:tblPrEx>
          <w:tblW w:w="5000" w:type="pct"/>
          <w:tblLook w:val="04A0"/>
        </w:tblPrEx>
        <w:trPr>
          <w:trHeight w:val="300"/>
        </w:trPr>
        <w:tc>
          <w:tcPr>
            <w:tcW w:w="1275" w:type="pct"/>
            <w:hideMark/>
          </w:tcPr>
          <w:p w:rsidR="00EC626A" w:rsidRPr="00621901" w:rsidP="00576150" w14:paraId="1A4F6CF0" w14:textId="77777777">
            <w:pPr>
              <w:rPr>
                <w:rFonts w:ascii="Times New Roman" w:hAnsi="Times New Roman" w:cs="Times New Roman"/>
                <w:b w:val="0"/>
                <w:bCs w:val="0"/>
                <w:szCs w:val="24"/>
                <w:lang w:eastAsia="nb-NO"/>
              </w:rPr>
            </w:pPr>
            <w:r w:rsidRPr="00621901">
              <w:rPr>
                <w:b w:val="0"/>
                <w:bCs w:val="0"/>
                <w:lang w:eastAsia="nb-NO"/>
              </w:rPr>
              <w:t>Pellet </w:t>
            </w:r>
          </w:p>
        </w:tc>
        <w:tc>
          <w:tcPr>
            <w:tcW w:w="1406" w:type="pct"/>
            <w:hideMark/>
          </w:tcPr>
          <w:p w:rsidR="00EC626A" w:rsidRPr="00621901" w:rsidP="00576150" w14:paraId="7412E7C9" w14:textId="77777777">
            <w:pPr>
              <w:rPr>
                <w:rFonts w:ascii="Times New Roman" w:hAnsi="Times New Roman" w:cs="Times New Roman"/>
                <w:b w:val="0"/>
                <w:bCs w:val="0"/>
                <w:szCs w:val="24"/>
                <w:lang w:eastAsia="nb-NO"/>
              </w:rPr>
            </w:pPr>
            <w:r w:rsidRPr="00621901">
              <w:rPr>
                <w:b w:val="0"/>
                <w:bCs w:val="0"/>
                <w:lang w:eastAsia="nb-NO"/>
              </w:rPr>
              <w:t>Størrelse </w:t>
            </w:r>
          </w:p>
        </w:tc>
        <w:tc>
          <w:tcPr>
            <w:tcW w:w="2320" w:type="pct"/>
            <w:hideMark/>
          </w:tcPr>
          <w:p w:rsidR="00EC626A" w:rsidRPr="00621901" w:rsidP="00576150" w14:paraId="1452F77E" w14:textId="77777777">
            <w:pPr>
              <w:rPr>
                <w:rFonts w:ascii="Times New Roman" w:hAnsi="Times New Roman" w:cs="Times New Roman"/>
                <w:b w:val="0"/>
                <w:bCs w:val="0"/>
                <w:szCs w:val="24"/>
                <w:lang w:eastAsia="nb-NO"/>
              </w:rPr>
            </w:pPr>
            <w:r w:rsidRPr="00621901">
              <w:rPr>
                <w:b w:val="0"/>
                <w:bCs w:val="0"/>
                <w:lang w:eastAsia="nb-NO"/>
              </w:rPr>
              <w:t>Bruk </w:t>
            </w:r>
          </w:p>
        </w:tc>
      </w:tr>
      <w:tr w14:paraId="683FC888" w14:textId="77777777" w:rsidTr="00576150">
        <w:tblPrEx>
          <w:tblW w:w="5000" w:type="pct"/>
          <w:tblLook w:val="04A0"/>
        </w:tblPrEx>
        <w:trPr>
          <w:trHeight w:val="300"/>
        </w:trPr>
        <w:tc>
          <w:tcPr>
            <w:tcW w:w="1275" w:type="pct"/>
            <w:hideMark/>
          </w:tcPr>
          <w:p w:rsidR="00EC626A" w:rsidRPr="00621901" w:rsidP="00576150" w14:paraId="265A1FD6" w14:textId="77777777">
            <w:pPr>
              <w:rPr>
                <w:rFonts w:ascii="Times New Roman" w:hAnsi="Times New Roman" w:cs="Times New Roman"/>
                <w:b w:val="0"/>
                <w:bCs w:val="0"/>
                <w:szCs w:val="24"/>
                <w:lang w:eastAsia="nb-NO"/>
              </w:rPr>
            </w:pPr>
            <w:r w:rsidRPr="00621901">
              <w:rPr>
                <w:b w:val="0"/>
                <w:bCs w:val="0"/>
                <w:lang w:eastAsia="nb-NO"/>
              </w:rPr>
              <w:t>CT-spot® ref120 </w:t>
            </w:r>
          </w:p>
        </w:tc>
        <w:tc>
          <w:tcPr>
            <w:tcW w:w="1406" w:type="pct"/>
            <w:hideMark/>
          </w:tcPr>
          <w:p w:rsidR="00EC626A" w:rsidRPr="00621901" w:rsidP="00576150" w14:paraId="6A840DE9" w14:textId="77777777">
            <w:pPr>
              <w:rPr>
                <w:rFonts w:ascii="Times New Roman" w:hAnsi="Times New Roman" w:cs="Times New Roman"/>
                <w:szCs w:val="24"/>
                <w:lang w:eastAsia="nb-NO"/>
              </w:rPr>
            </w:pPr>
            <w:r w:rsidRPr="00621901">
              <w:rPr>
                <w:lang w:eastAsia="nb-NO"/>
              </w:rPr>
              <w:t>4.0 mm non-</w:t>
            </w:r>
            <w:r w:rsidRPr="00621901">
              <w:rPr>
                <w:lang w:eastAsia="nb-NO"/>
              </w:rPr>
              <w:t>metallic</w:t>
            </w:r>
            <w:r w:rsidRPr="00621901">
              <w:rPr>
                <w:lang w:eastAsia="nb-NO"/>
              </w:rPr>
              <w:t> </w:t>
            </w:r>
          </w:p>
        </w:tc>
        <w:tc>
          <w:tcPr>
            <w:tcW w:w="2320" w:type="pct"/>
            <w:hideMark/>
          </w:tcPr>
          <w:p w:rsidR="00EC626A" w:rsidRPr="00621901" w:rsidP="00576150" w14:paraId="6716942F" w14:textId="77777777">
            <w:pPr>
              <w:rPr>
                <w:rFonts w:ascii="Times New Roman" w:hAnsi="Times New Roman" w:cs="Times New Roman"/>
                <w:szCs w:val="24"/>
                <w:lang w:val="en-GB" w:eastAsia="nb-NO"/>
              </w:rPr>
            </w:pPr>
            <w:r w:rsidRPr="00621901">
              <w:rPr>
                <w:lang w:val="en-US" w:eastAsia="nb-NO"/>
              </w:rPr>
              <w:t>3-point set-ups and isocenters/ref.</w:t>
            </w:r>
            <w:r w:rsidRPr="00621901">
              <w:rPr>
                <w:lang w:val="en-GB" w:eastAsia="nb-NO"/>
              </w:rPr>
              <w:t> </w:t>
            </w:r>
          </w:p>
        </w:tc>
      </w:tr>
      <w:tr w14:paraId="48A94153" w14:textId="77777777" w:rsidTr="00576150">
        <w:tblPrEx>
          <w:tblW w:w="5000" w:type="pct"/>
          <w:tblLook w:val="04A0"/>
        </w:tblPrEx>
        <w:trPr>
          <w:trHeight w:val="300"/>
        </w:trPr>
        <w:tc>
          <w:tcPr>
            <w:tcW w:w="1275" w:type="pct"/>
            <w:hideMark/>
          </w:tcPr>
          <w:p w:rsidR="00EC626A" w:rsidRPr="00621901" w:rsidP="00576150" w14:paraId="71FCF41A" w14:textId="77777777">
            <w:pPr>
              <w:rPr>
                <w:rFonts w:ascii="Times New Roman" w:hAnsi="Times New Roman" w:cs="Times New Roman"/>
                <w:b w:val="0"/>
                <w:bCs w:val="0"/>
                <w:szCs w:val="24"/>
                <w:lang w:eastAsia="nb-NO"/>
              </w:rPr>
            </w:pPr>
            <w:r w:rsidRPr="00621901">
              <w:rPr>
                <w:b w:val="0"/>
                <w:bCs w:val="0"/>
                <w:lang w:eastAsia="nb-NO"/>
              </w:rPr>
              <w:t>CT-spot® ref119 </w:t>
            </w:r>
          </w:p>
        </w:tc>
        <w:tc>
          <w:tcPr>
            <w:tcW w:w="1406" w:type="pct"/>
            <w:hideMark/>
          </w:tcPr>
          <w:p w:rsidR="00EC626A" w:rsidRPr="00621901" w:rsidP="00576150" w14:paraId="102D7C77" w14:textId="77777777">
            <w:pPr>
              <w:rPr>
                <w:rFonts w:ascii="Times New Roman" w:hAnsi="Times New Roman" w:cs="Times New Roman"/>
                <w:szCs w:val="24"/>
                <w:lang w:eastAsia="nb-NO"/>
              </w:rPr>
            </w:pPr>
            <w:r w:rsidRPr="00621901">
              <w:rPr>
                <w:lang w:eastAsia="nb-NO"/>
              </w:rPr>
              <w:t>2.3 mm non-</w:t>
            </w:r>
            <w:r w:rsidRPr="00621901">
              <w:rPr>
                <w:lang w:eastAsia="nb-NO"/>
              </w:rPr>
              <w:t>metallic</w:t>
            </w:r>
            <w:r w:rsidRPr="00621901">
              <w:rPr>
                <w:lang w:eastAsia="nb-NO"/>
              </w:rPr>
              <w:t> </w:t>
            </w:r>
          </w:p>
        </w:tc>
        <w:tc>
          <w:tcPr>
            <w:tcW w:w="2320" w:type="pct"/>
            <w:hideMark/>
          </w:tcPr>
          <w:p w:rsidR="00EC626A" w:rsidRPr="00621901" w:rsidP="00576150" w14:paraId="3C0C8DD0" w14:textId="77777777">
            <w:pPr>
              <w:rPr>
                <w:rFonts w:ascii="Times New Roman" w:hAnsi="Times New Roman" w:cs="Times New Roman"/>
                <w:szCs w:val="24"/>
                <w:lang w:val="en-GB" w:eastAsia="nb-NO"/>
              </w:rPr>
            </w:pPr>
            <w:r w:rsidRPr="00621901">
              <w:rPr>
                <w:lang w:val="en-US" w:eastAsia="nb-NO"/>
              </w:rPr>
              <w:t>3-point set-ups and isocenters/ref.</w:t>
            </w:r>
            <w:r w:rsidRPr="00621901">
              <w:rPr>
                <w:lang w:val="en-GB" w:eastAsia="nb-NO"/>
              </w:rPr>
              <w:t> </w:t>
            </w:r>
          </w:p>
        </w:tc>
      </w:tr>
      <w:tr w14:paraId="357C812E" w14:textId="77777777" w:rsidTr="00576150">
        <w:tblPrEx>
          <w:tblW w:w="5000" w:type="pct"/>
          <w:tblLook w:val="04A0"/>
        </w:tblPrEx>
        <w:trPr>
          <w:trHeight w:val="300"/>
        </w:trPr>
        <w:tc>
          <w:tcPr>
            <w:tcW w:w="1275" w:type="pct"/>
          </w:tcPr>
          <w:p w:rsidR="00EC626A" w:rsidRPr="00621901" w:rsidP="00576150" w14:paraId="203BE20C" w14:textId="77777777">
            <w:pPr>
              <w:rPr>
                <w:b w:val="0"/>
                <w:bCs w:val="0"/>
                <w:lang w:val="en-US" w:eastAsia="nb-NO"/>
              </w:rPr>
            </w:pPr>
            <w:r w:rsidRPr="00621901">
              <w:rPr>
                <w:b w:val="0"/>
                <w:bCs w:val="0"/>
                <w:lang w:val="en-US" w:eastAsia="nb-NO"/>
              </w:rPr>
              <w:t>RT-Spot® CT ref127</w:t>
            </w:r>
          </w:p>
        </w:tc>
        <w:tc>
          <w:tcPr>
            <w:tcW w:w="1406" w:type="pct"/>
          </w:tcPr>
          <w:p w:rsidR="00EC626A" w:rsidRPr="00621901" w:rsidP="00576150" w14:paraId="345BB87B" w14:textId="77777777">
            <w:pPr>
              <w:rPr>
                <w:lang w:val="en-US" w:eastAsia="nb-NO"/>
              </w:rPr>
            </w:pPr>
            <w:r w:rsidRPr="00621901">
              <w:rPr>
                <w:lang w:val="en-US" w:eastAsia="nb-NO"/>
              </w:rPr>
              <w:t>2 mm</w:t>
            </w:r>
          </w:p>
        </w:tc>
        <w:tc>
          <w:tcPr>
            <w:tcW w:w="2320" w:type="pct"/>
          </w:tcPr>
          <w:p w:rsidR="00EC626A" w:rsidRPr="00621901" w:rsidP="00576150" w14:paraId="3DC12385" w14:textId="77777777">
            <w:pPr>
              <w:rPr>
                <w:lang w:val="en-US" w:eastAsia="nb-NO"/>
              </w:rPr>
            </w:pPr>
            <w:r w:rsidRPr="00621901">
              <w:rPr>
                <w:lang w:val="en-US" w:eastAsia="nb-NO"/>
              </w:rPr>
              <w:t>Arrmarkør</w:t>
            </w:r>
          </w:p>
        </w:tc>
      </w:tr>
      <w:tr w14:paraId="4E17ED51" w14:textId="77777777" w:rsidTr="00576150">
        <w:tblPrEx>
          <w:tblW w:w="5000" w:type="pct"/>
          <w:tblLook w:val="04A0"/>
        </w:tblPrEx>
        <w:trPr>
          <w:trHeight w:val="300"/>
        </w:trPr>
        <w:tc>
          <w:tcPr>
            <w:tcW w:w="1275" w:type="pct"/>
          </w:tcPr>
          <w:p w:rsidR="00EC626A" w:rsidRPr="00621901" w:rsidP="00576150" w14:paraId="04748FB7" w14:textId="77777777">
            <w:pPr>
              <w:rPr>
                <w:b w:val="0"/>
                <w:bCs w:val="0"/>
                <w:lang w:val="en-US" w:eastAsia="nb-NO"/>
              </w:rPr>
            </w:pPr>
            <w:r w:rsidRPr="00621901">
              <w:rPr>
                <w:b w:val="0"/>
                <w:bCs w:val="0"/>
                <w:lang w:val="en-US" w:eastAsia="nb-NO"/>
              </w:rPr>
              <w:t>S-Spot</w:t>
            </w:r>
            <w:r w:rsidRPr="00621901">
              <w:rPr>
                <w:b w:val="0"/>
                <w:bCs w:val="0"/>
                <w:lang w:eastAsia="nb-NO"/>
              </w:rPr>
              <w:t>®</w:t>
            </w:r>
            <w:r w:rsidRPr="00621901">
              <w:rPr>
                <w:b w:val="0"/>
                <w:bCs w:val="0"/>
                <w:lang w:val="en-US" w:eastAsia="nb-NO"/>
              </w:rPr>
              <w:t xml:space="preserve"> CT ref607</w:t>
            </w:r>
          </w:p>
        </w:tc>
        <w:tc>
          <w:tcPr>
            <w:tcW w:w="1406" w:type="pct"/>
          </w:tcPr>
          <w:p w:rsidR="00EC626A" w:rsidRPr="00621901" w:rsidP="00576150" w14:paraId="06BA1655" w14:textId="77777777">
            <w:pPr>
              <w:rPr>
                <w:lang w:val="en-US" w:eastAsia="nb-NO"/>
              </w:rPr>
            </w:pPr>
            <w:r w:rsidRPr="00621901">
              <w:rPr>
                <w:lang w:val="en-US" w:eastAsia="nb-NO"/>
              </w:rPr>
              <w:t>0.033mm</w:t>
            </w:r>
          </w:p>
        </w:tc>
        <w:tc>
          <w:tcPr>
            <w:tcW w:w="2320" w:type="pct"/>
          </w:tcPr>
          <w:p w:rsidR="00EC626A" w:rsidRPr="00621901" w:rsidP="00576150" w14:paraId="2BF76CDC" w14:textId="77777777">
            <w:pPr>
              <w:rPr>
                <w:lang w:val="en-US" w:eastAsia="nb-NO"/>
              </w:rPr>
            </w:pPr>
            <w:r w:rsidRPr="00621901">
              <w:rPr>
                <w:lang w:val="en-US" w:eastAsia="nb-NO"/>
              </w:rPr>
              <w:t>Arrmarkør</w:t>
            </w:r>
            <w:r w:rsidRPr="00621901">
              <w:rPr>
                <w:lang w:val="en-US" w:eastAsia="nb-NO"/>
              </w:rPr>
              <w:t xml:space="preserve"> </w:t>
            </w:r>
          </w:p>
        </w:tc>
      </w:tr>
    </w:tbl>
    <w:p w:rsidR="00EC626A" w:rsidP="00EC626A" w14:paraId="06F81B83" w14:textId="77777777"/>
    <w:p w:rsidR="00EC626A" w:rsidP="00EC626A" w14:paraId="77443752" w14:textId="77777777">
      <w:r w:rsidRPr="00DD5827">
        <w:t> </w:t>
      </w:r>
      <w:r>
        <w:t xml:space="preserve">Vi anbefaler å bruke </w:t>
      </w:r>
      <w:r>
        <w:t>arrmarkører</w:t>
      </w:r>
      <w:r>
        <w:t xml:space="preserve"> som ikke gir artefakter på CT-bildene. Det må undersøkes om de påvirker doseberegningen før man bestemmer om disse kan være inkludert i BODY-strukturen. </w:t>
      </w:r>
    </w:p>
    <w:p w:rsidR="00EC626A" w:rsidRPr="00E134D7" w:rsidP="00EC626A" w14:paraId="5A346590" w14:textId="77777777">
      <w:pPr>
        <w:rPr>
          <w:rFonts w:ascii="Segoe UI" w:hAnsi="Segoe UI" w:cs="Segoe UI"/>
          <w:sz w:val="18"/>
          <w:szCs w:val="18"/>
        </w:rPr>
      </w:pPr>
    </w:p>
    <w:p w:rsidR="00EC626A" w:rsidP="00EC626A" w14:paraId="0F0B309D" w14:textId="77777777">
      <w:pPr>
        <w:pStyle w:val="Heading3"/>
        <w:numPr>
          <w:ilvl w:val="2"/>
          <w:numId w:val="2"/>
        </w:numPr>
        <w:tabs>
          <w:tab w:val="num" w:pos="703"/>
        </w:tabs>
        <w:ind w:left="567" w:hanging="567"/>
      </w:pPr>
      <w:r w:rsidRPr="00180E81">
        <w:t>Overvåkning</w:t>
      </w:r>
      <w:r>
        <w:t xml:space="preserve"> av pust</w:t>
      </w:r>
    </w:p>
    <w:p w:rsidR="00EC626A" w:rsidP="00EC626A" w14:paraId="3B54B933" w14:textId="77777777">
      <w:r>
        <w:t xml:space="preserve">Doseusikkerhet indusert av pustebevegelser må tas hensyn til ved behandling av </w:t>
      </w:r>
      <w:r>
        <w:t>thorakale</w:t>
      </w:r>
      <w:r>
        <w:t xml:space="preserve"> og abdominale lesjoner ved bruk av protonbehandling.</w:t>
      </w:r>
    </w:p>
    <w:p w:rsidR="00EC626A" w:rsidP="00EC626A" w14:paraId="6EDC5581" w14:textId="77777777"/>
    <w:p w:rsidR="00EC626A" w:rsidRPr="00BB2FB0" w:rsidP="00EC626A" w14:paraId="3C519BEA" w14:textId="77777777">
      <w:pPr>
        <w:pStyle w:val="Heading4"/>
        <w:numPr>
          <w:ilvl w:val="3"/>
          <w:numId w:val="2"/>
        </w:numPr>
        <w:ind w:left="624" w:hanging="624"/>
      </w:pPr>
      <w:r w:rsidRPr="00180E81">
        <w:rPr>
          <w:rStyle w:val="Overskrift4Tegn"/>
          <w:iCs/>
        </w:rPr>
        <w:t>4D</w:t>
      </w:r>
      <w:r w:rsidRPr="00180E81">
        <w:t>CT</w:t>
      </w:r>
    </w:p>
    <w:p w:rsidR="00EC626A" w:rsidP="00EC626A" w14:paraId="21D7374D" w14:textId="77777777">
      <w:r>
        <w:t>Ved bruk av 4DCT kan en se i hvilken grad tumor og risikoorgan beveger seg uavhengig og i forhold til hverandre. 4D opptak vil kun bli benyttet i områder med forventet bevegelse, og hvor andre tiltak ikke kan sikre tilstrekkelig kontroll over bevegelsen. Ved noen tilfeller benyttes 4DCT til å sjekke om organbevegelsen er så stor at det krever overgang til pustestyrt behandling.</w:t>
      </w:r>
    </w:p>
    <w:p w:rsidR="00EC626A" w:rsidP="00EC626A" w14:paraId="58714FE6" w14:textId="77777777">
      <w:r>
        <w:t xml:space="preserve">Metodene som vil </w:t>
      </w:r>
      <w:r w:rsidRPr="00C67F41">
        <w:t xml:space="preserve">benyttes </w:t>
      </w:r>
      <w:r>
        <w:t>er</w:t>
      </w:r>
      <w:r w:rsidRPr="00C67F41">
        <w:t xml:space="preserve"> </w:t>
      </w:r>
      <w:r>
        <w:t xml:space="preserve">spesifikke for </w:t>
      </w:r>
      <w:r w:rsidRPr="00C67F41">
        <w:t>CT-maskin</w:t>
      </w:r>
      <w:r>
        <w:t xml:space="preserve"> leverandørene</w:t>
      </w:r>
      <w:r w:rsidRPr="00C67F41">
        <w:t xml:space="preserve"> og avhengig av hvilke tilleggssystemer en har </w:t>
      </w:r>
      <w:r>
        <w:t>tilgang til</w:t>
      </w:r>
      <w:r w:rsidRPr="00C67F41">
        <w:t xml:space="preserve">.  En kan benytte </w:t>
      </w:r>
      <w:r>
        <w:t xml:space="preserve">systemer for </w:t>
      </w:r>
      <w:r w:rsidRPr="00C67F41">
        <w:t>overflateskanning og klossbasert</w:t>
      </w:r>
      <w:r>
        <w:t>e</w:t>
      </w:r>
      <w:r w:rsidRPr="00C67F41">
        <w:t xml:space="preserve"> system til overvåkning av pasientens pustefrekvens og gjøre retrospektive 4D opptak. En annen metode er å benytte </w:t>
      </w:r>
      <w:r>
        <w:t xml:space="preserve">et </w:t>
      </w:r>
      <w:r w:rsidRPr="00C67F41">
        <w:t>klossbasert system og gjøre en prospektiv direkte 4D</w:t>
      </w:r>
      <w:r>
        <w:t>CT</w:t>
      </w:r>
      <w:r w:rsidRPr="00C67F41">
        <w:t>. Beltefrie</w:t>
      </w:r>
      <w:r>
        <w:t xml:space="preserve"> opptak er nødvendig da belte kan påvirke både ytterkontur og behandlingsvolum. </w:t>
      </w:r>
    </w:p>
    <w:p w:rsidR="00EC626A" w:rsidP="00EC626A" w14:paraId="5E7D51ED" w14:textId="77777777"/>
    <w:p w:rsidR="00EC626A" w:rsidP="00EC626A" w14:paraId="0E131CF9" w14:textId="77777777">
      <w:pPr>
        <w:pStyle w:val="Heading4"/>
        <w:numPr>
          <w:ilvl w:val="3"/>
          <w:numId w:val="2"/>
        </w:numPr>
        <w:ind w:left="624" w:hanging="624"/>
      </w:pPr>
      <w:r w:rsidRPr="00180E81">
        <w:t>Pustestyring</w:t>
      </w:r>
    </w:p>
    <w:p w:rsidR="00EC626A" w:rsidP="00EC626A" w14:paraId="0E4B3DF3" w14:textId="77777777">
      <w:r>
        <w:t>DIBH (</w:t>
      </w:r>
      <w:r>
        <w:t>deep</w:t>
      </w:r>
      <w:r>
        <w:t xml:space="preserve"> </w:t>
      </w:r>
      <w:r>
        <w:t>inspiration</w:t>
      </w:r>
      <w:r>
        <w:t xml:space="preserve"> </w:t>
      </w:r>
      <w:r>
        <w:t>breath</w:t>
      </w:r>
      <w:r>
        <w:t xml:space="preserve"> hold) blir benyttet ved opptak i </w:t>
      </w:r>
      <w:r>
        <w:t>thorax</w:t>
      </w:r>
      <w:r>
        <w:t xml:space="preserve">- og abdomenregionen. Det kan brukes til bevegelseskontroll både for overflate (mamma) og innvendig kontroll av behandlingsvolum og risikoorgan (f.eks. lunge og </w:t>
      </w:r>
      <w:r>
        <w:t>thymom</w:t>
      </w:r>
      <w:r>
        <w:t xml:space="preserve">, lever, milt og nyrer/binyrer).  Kloss på pasientens bryst til pustestyring er en mulig løsning. Da er en avhengig av en stabil plassering av kloss på sternum. Denne metoden har sine begrensinger ved liten </w:t>
      </w:r>
      <w:r>
        <w:t>thoraxbevegelse</w:t>
      </w:r>
      <w:r>
        <w:t xml:space="preserve"> og ved magepusting. </w:t>
      </w:r>
    </w:p>
    <w:p w:rsidR="00EC626A" w:rsidP="00EC626A" w14:paraId="77943D4F" w14:textId="77777777">
      <w:r>
        <w:t>Det er planlagt for bruk av overflateskanning på behandlingsmaskinene. Det kan også benyttes et tilsvarende system på CT. Systemet vil ikke bryte CT-scannet, men vil vise om opptaket blir holdt innenfor ønsket amplitude gjennom hele opptaket. DIBH avhenger av gjentatt øving med pasienten før opptak. Kognitiv og fysisk begrensning kan være begrensende.</w:t>
      </w:r>
    </w:p>
    <w:p w:rsidR="00EC626A" w:rsidP="00EC626A" w14:paraId="4E99C129" w14:textId="77777777"/>
    <w:p w:rsidR="00EC626A" w:rsidP="00EC626A" w14:paraId="0D00FC15" w14:textId="77777777">
      <w:pPr>
        <w:pStyle w:val="Heading2"/>
      </w:pPr>
      <w:r w:rsidRPr="00180E81">
        <w:t>Artefakter</w:t>
      </w:r>
    </w:p>
    <w:p w:rsidR="00EC626A" w:rsidRPr="008F3DA3" w:rsidP="00EC626A" w14:paraId="79D3792F" w14:textId="77777777">
      <w:pPr>
        <w:rPr>
          <w:color w:val="0D0D0D" w:themeColor="text1" w:themeTint="F2"/>
        </w:rPr>
      </w:pPr>
      <w:r w:rsidRPr="52473ED8">
        <w:t xml:space="preserve">Artefakter spiller en betydelig rolle i planleggingen og nøyaktigheten av protonterapi ved bruk av CT-bilder. For å forbedre nøyaktigheten i protonterapi, er det derfor viktig å identifisere og minimere effekten av artefakter gjennom bilderekonstruksjonsteknikker, programvarekorrigeringer eller ved å tilpasse </w:t>
      </w:r>
      <w:r>
        <w:t>doseplanen</w:t>
      </w:r>
      <w:r w:rsidRPr="52473ED8">
        <w:t xml:space="preserve"> for å ta hensyn til artefaktinduserte </w:t>
      </w:r>
      <w:r>
        <w:t>usikkerheter</w:t>
      </w:r>
      <w:r w:rsidRPr="52473ED8">
        <w:t xml:space="preserve">. </w:t>
      </w:r>
      <w:r>
        <w:t xml:space="preserve">Ved mye artefakter i behandlingsområdet anbefaler vi at en fysiker vurderer om det er mulig å lage en tilfredsstillende sikker behandlingsplan med protoner, før ressurser brukes på doseplanleggingen. </w:t>
      </w:r>
    </w:p>
    <w:p w:rsidR="00EC626A" w:rsidRPr="008F3DA3" w:rsidP="00EC626A" w14:paraId="40DCEBD2" w14:textId="77777777">
      <w:r w:rsidRPr="52473ED8">
        <w:t>Artefakter i CT-bildet manifesterer seg som linjer, ringer, mørke flekker og uskarpe bilder</w:t>
      </w:r>
      <w:r>
        <w:t>.</w:t>
      </w:r>
      <w:r w:rsidRPr="52473ED8">
        <w:t xml:space="preserve"> Disse kan stamme fra to hovedkilder: pasienten og utstyr</w:t>
      </w:r>
      <w:r>
        <w:t>et, og er angitt i tabellene under:</w:t>
      </w:r>
    </w:p>
    <w:p w:rsidR="00EC626A" w:rsidRPr="005B7D79" w:rsidP="00EC626A" w14:paraId="764FB8EB" w14:textId="77777777">
      <w:pPr>
        <w:rPr>
          <w:rStyle w:val="IntenseEmphasis"/>
        </w:rPr>
      </w:pPr>
      <w:r w:rsidRPr="005B7D79">
        <w:rPr>
          <w:rStyle w:val="IntenseEmphasis"/>
        </w:rPr>
        <w:t>Pasientinduserte artefakter</w:t>
      </w:r>
    </w:p>
    <w:tbl>
      <w:tblPr>
        <w:tblStyle w:val="GridTable1LightAccent1"/>
        <w:tblW w:w="0" w:type="auto"/>
        <w:tblLook w:val="06A0"/>
      </w:tblPr>
      <w:tblGrid>
        <w:gridCol w:w="2277"/>
        <w:gridCol w:w="1169"/>
        <w:gridCol w:w="3209"/>
        <w:gridCol w:w="2406"/>
      </w:tblGrid>
      <w:tr w14:paraId="0F0F6520" w14:textId="77777777" w:rsidTr="00EC626A">
        <w:tblPrEx>
          <w:tblW w:w="0" w:type="auto"/>
          <w:tblLook w:val="06A0"/>
        </w:tblPrEx>
        <w:trPr>
          <w:trHeight w:val="300"/>
        </w:trPr>
        <w:tc>
          <w:tcPr>
            <w:tcW w:w="0" w:type="auto"/>
          </w:tcPr>
          <w:p w:rsidR="00EC626A" w:rsidRPr="00021673" w:rsidP="00576150" w14:paraId="6B760335" w14:textId="77777777">
            <w:pPr>
              <w:shd w:val="clear" w:color="auto" w:fill="FFFFFF" w:themeFill="background1"/>
              <w:ind w:left="-20" w:right="-20"/>
              <w:jc w:val="center"/>
              <w:rPr>
                <w:rFonts w:ascii="Calibri" w:eastAsia="Calibri" w:hAnsi="Calibri" w:cs="Calibri"/>
                <w:b w:val="0"/>
                <w:bCs w:val="0"/>
              </w:rPr>
            </w:pPr>
            <w:r w:rsidRPr="00021673">
              <w:rPr>
                <w:rFonts w:ascii="Calibri" w:eastAsia="Calibri" w:hAnsi="Calibri" w:cs="Calibri"/>
                <w:b w:val="0"/>
                <w:bCs w:val="0"/>
              </w:rPr>
              <w:t>Artefakt</w:t>
            </w:r>
          </w:p>
        </w:tc>
        <w:tc>
          <w:tcPr>
            <w:tcW w:w="0" w:type="auto"/>
          </w:tcPr>
          <w:p w:rsidR="00EC626A" w:rsidRPr="00021673" w:rsidP="00576150" w14:paraId="29660191" w14:textId="77777777">
            <w:pPr>
              <w:shd w:val="clear" w:color="auto" w:fill="FFFFFF" w:themeFill="background1"/>
              <w:ind w:left="-20" w:right="-20"/>
              <w:jc w:val="center"/>
              <w:rPr>
                <w:rFonts w:ascii="Calibri" w:eastAsia="Calibri" w:hAnsi="Calibri" w:cs="Calibri"/>
                <w:b w:val="0"/>
                <w:bCs w:val="0"/>
              </w:rPr>
            </w:pPr>
            <w:r w:rsidRPr="00021673">
              <w:rPr>
                <w:rFonts w:ascii="Calibri" w:eastAsia="Calibri" w:hAnsi="Calibri" w:cs="Calibri"/>
                <w:b w:val="0"/>
                <w:bCs w:val="0"/>
              </w:rPr>
              <w:t>Engelsk navn</w:t>
            </w:r>
          </w:p>
        </w:tc>
        <w:tc>
          <w:tcPr>
            <w:tcW w:w="0" w:type="auto"/>
          </w:tcPr>
          <w:p w:rsidR="00EC626A" w:rsidRPr="00021673" w:rsidP="00576150" w14:paraId="4956CE26" w14:textId="77777777">
            <w:pPr>
              <w:shd w:val="clear" w:color="auto" w:fill="FFFFFF" w:themeFill="background1"/>
              <w:ind w:left="-20" w:right="-20"/>
              <w:jc w:val="center"/>
              <w:rPr>
                <w:rFonts w:ascii="Calibri" w:eastAsia="Calibri" w:hAnsi="Calibri" w:cs="Calibri"/>
                <w:b w:val="0"/>
                <w:bCs w:val="0"/>
              </w:rPr>
            </w:pPr>
            <w:r w:rsidRPr="00021673">
              <w:rPr>
                <w:rFonts w:ascii="Calibri" w:eastAsia="Calibri" w:hAnsi="Calibri" w:cs="Calibri"/>
                <w:b w:val="0"/>
                <w:bCs w:val="0"/>
              </w:rPr>
              <w:t>Årsak</w:t>
            </w:r>
          </w:p>
        </w:tc>
        <w:tc>
          <w:tcPr>
            <w:tcW w:w="0" w:type="auto"/>
          </w:tcPr>
          <w:p w:rsidR="00EC626A" w:rsidRPr="00021673" w:rsidP="00576150" w14:paraId="222F63AB" w14:textId="77777777">
            <w:pPr>
              <w:shd w:val="clear" w:color="auto" w:fill="FFFFFF" w:themeFill="background1"/>
              <w:ind w:left="-20" w:right="-20"/>
              <w:jc w:val="center"/>
              <w:rPr>
                <w:rFonts w:ascii="Calibri" w:eastAsia="Calibri" w:hAnsi="Calibri" w:cs="Calibri"/>
                <w:b w:val="0"/>
                <w:bCs w:val="0"/>
              </w:rPr>
            </w:pPr>
            <w:r w:rsidRPr="00021673">
              <w:rPr>
                <w:rFonts w:ascii="Calibri" w:eastAsia="Calibri" w:hAnsi="Calibri" w:cs="Calibri"/>
                <w:b w:val="0"/>
                <w:bCs w:val="0"/>
              </w:rPr>
              <w:t>Hvordan unngå</w:t>
            </w:r>
          </w:p>
        </w:tc>
      </w:tr>
      <w:tr w14:paraId="33B2E588" w14:textId="77777777" w:rsidTr="00EC626A">
        <w:tblPrEx>
          <w:tblW w:w="0" w:type="auto"/>
          <w:tblLook w:val="06A0"/>
        </w:tblPrEx>
        <w:trPr>
          <w:trHeight w:val="300"/>
        </w:trPr>
        <w:tc>
          <w:tcPr>
            <w:tcW w:w="0" w:type="auto"/>
          </w:tcPr>
          <w:p w:rsidR="00EC626A" w:rsidRPr="00021673" w:rsidP="00576150" w14:paraId="5CA73379" w14:textId="77777777">
            <w:pPr>
              <w:shd w:val="clear" w:color="auto" w:fill="FFFFFF" w:themeFill="background1"/>
              <w:ind w:left="-20" w:right="-20"/>
              <w:rPr>
                <w:rFonts w:ascii="Calibri" w:eastAsia="Calibri" w:hAnsi="Calibri" w:cs="Calibri"/>
                <w:b w:val="0"/>
              </w:rPr>
            </w:pPr>
            <w:r w:rsidRPr="00021673">
              <w:rPr>
                <w:rFonts w:ascii="Calibri" w:eastAsia="Calibri" w:hAnsi="Calibri" w:cs="Calibri"/>
                <w:b w:val="0"/>
              </w:rPr>
              <w:t>Bevegelsesartefakter</w:t>
            </w:r>
          </w:p>
        </w:tc>
        <w:tc>
          <w:tcPr>
            <w:tcW w:w="0" w:type="auto"/>
          </w:tcPr>
          <w:p w:rsidR="00EC626A" w:rsidP="00576150" w14:paraId="156E814D" w14:textId="77777777">
            <w:pPr>
              <w:shd w:val="clear" w:color="auto" w:fill="FFFFFF" w:themeFill="background1"/>
              <w:ind w:left="-20" w:right="-20"/>
              <w:rPr>
                <w:rFonts w:ascii="Calibri" w:eastAsia="Calibri" w:hAnsi="Calibri" w:cs="Calibri"/>
              </w:rPr>
            </w:pPr>
            <w:r w:rsidRPr="263E654C">
              <w:rPr>
                <w:rFonts w:ascii="Calibri" w:eastAsia="Calibri" w:hAnsi="Calibri" w:cs="Calibri"/>
              </w:rPr>
              <w:t xml:space="preserve">Motion </w:t>
            </w:r>
            <w:r w:rsidRPr="263E654C">
              <w:rPr>
                <w:rFonts w:ascii="Calibri" w:eastAsia="Calibri" w:hAnsi="Calibri" w:cs="Calibri"/>
              </w:rPr>
              <w:t>Artifacts</w:t>
            </w:r>
          </w:p>
        </w:tc>
        <w:tc>
          <w:tcPr>
            <w:tcW w:w="0" w:type="auto"/>
          </w:tcPr>
          <w:p w:rsidR="00EC626A" w:rsidP="00576150" w14:paraId="4B63205E" w14:textId="77777777">
            <w:pPr>
              <w:shd w:val="clear" w:color="auto" w:fill="FFFFFF" w:themeFill="background1"/>
              <w:ind w:left="-20" w:right="-20"/>
              <w:rPr>
                <w:rFonts w:ascii="Calibri" w:eastAsia="Calibri" w:hAnsi="Calibri" w:cs="Calibri"/>
              </w:rPr>
            </w:pPr>
            <w:r w:rsidRPr="263E654C">
              <w:rPr>
                <w:rFonts w:ascii="Calibri" w:eastAsia="Calibri" w:hAnsi="Calibri" w:cs="Calibri"/>
              </w:rPr>
              <w:t>Pasientbevegelse under CT-opptak</w:t>
            </w:r>
            <w:r w:rsidRPr="3E6622B7">
              <w:rPr>
                <w:rFonts w:ascii="Calibri" w:eastAsia="Calibri" w:hAnsi="Calibri" w:cs="Calibri"/>
              </w:rPr>
              <w:t>.</w:t>
            </w:r>
          </w:p>
        </w:tc>
        <w:tc>
          <w:tcPr>
            <w:tcW w:w="0" w:type="auto"/>
          </w:tcPr>
          <w:p w:rsidR="00EC626A" w:rsidP="00576150" w14:paraId="34DD953C" w14:textId="77777777">
            <w:pPr>
              <w:shd w:val="clear" w:color="auto" w:fill="FFFFFF" w:themeFill="background1"/>
              <w:ind w:left="-20" w:right="-20"/>
              <w:rPr>
                <w:rFonts w:ascii="Calibri" w:eastAsia="Calibri" w:hAnsi="Calibri" w:cs="Calibri"/>
              </w:rPr>
            </w:pPr>
            <w:r w:rsidRPr="263E654C">
              <w:rPr>
                <w:rFonts w:ascii="Calibri" w:eastAsia="Calibri" w:hAnsi="Calibri" w:cs="Calibri"/>
              </w:rPr>
              <w:t>God kommunikasjon</w:t>
            </w:r>
            <w:r>
              <w:rPr>
                <w:rFonts w:ascii="Calibri" w:eastAsia="Calibri" w:hAnsi="Calibri" w:cs="Calibri"/>
              </w:rPr>
              <w:t xml:space="preserve"> og fiksering</w:t>
            </w:r>
            <w:r w:rsidRPr="263E654C">
              <w:rPr>
                <w:rFonts w:ascii="Calibri" w:eastAsia="Calibri" w:hAnsi="Calibri" w:cs="Calibri"/>
              </w:rPr>
              <w:t xml:space="preserve">, forklare prosedyren, kortere </w:t>
            </w:r>
            <w:r w:rsidRPr="46889691">
              <w:rPr>
                <w:rFonts w:ascii="Calibri" w:eastAsia="Calibri" w:hAnsi="Calibri" w:cs="Calibri"/>
              </w:rPr>
              <w:t>skannetid</w:t>
            </w:r>
            <w:r w:rsidRPr="3E6622B7">
              <w:rPr>
                <w:rFonts w:ascii="Calibri" w:eastAsia="Calibri" w:hAnsi="Calibri" w:cs="Calibri"/>
              </w:rPr>
              <w:t>.</w:t>
            </w:r>
          </w:p>
        </w:tc>
      </w:tr>
      <w:tr w14:paraId="491E06B2" w14:textId="77777777" w:rsidTr="00EC626A">
        <w:tblPrEx>
          <w:tblW w:w="0" w:type="auto"/>
          <w:tblLook w:val="06A0"/>
        </w:tblPrEx>
        <w:trPr>
          <w:trHeight w:val="300"/>
        </w:trPr>
        <w:tc>
          <w:tcPr>
            <w:tcW w:w="0" w:type="auto"/>
          </w:tcPr>
          <w:p w:rsidR="00EC626A" w:rsidRPr="00021673" w:rsidP="00576150" w14:paraId="711C57DD" w14:textId="77777777">
            <w:pPr>
              <w:shd w:val="clear" w:color="auto" w:fill="FFFFFF" w:themeFill="background1"/>
              <w:ind w:left="-20" w:right="-20"/>
              <w:rPr>
                <w:rFonts w:ascii="Calibri" w:eastAsia="Calibri" w:hAnsi="Calibri" w:cs="Calibri"/>
                <w:b w:val="0"/>
              </w:rPr>
            </w:pPr>
            <w:r w:rsidRPr="00021673">
              <w:rPr>
                <w:rFonts w:ascii="Calibri" w:eastAsia="Calibri" w:hAnsi="Calibri" w:cs="Calibri"/>
                <w:b w:val="0"/>
              </w:rPr>
              <w:t>Koppingartefakter</w:t>
            </w:r>
          </w:p>
        </w:tc>
        <w:tc>
          <w:tcPr>
            <w:tcW w:w="0" w:type="auto"/>
          </w:tcPr>
          <w:p w:rsidR="00EC626A" w:rsidP="00576150" w14:paraId="6763A1BC" w14:textId="77777777">
            <w:pPr>
              <w:shd w:val="clear" w:color="auto" w:fill="FFFFFF" w:themeFill="background1"/>
              <w:ind w:left="-20" w:right="-20"/>
              <w:rPr>
                <w:rFonts w:ascii="Calibri" w:eastAsia="Calibri" w:hAnsi="Calibri" w:cs="Calibri"/>
              </w:rPr>
            </w:pPr>
            <w:r w:rsidRPr="263E654C">
              <w:rPr>
                <w:rFonts w:ascii="Calibri" w:eastAsia="Calibri" w:hAnsi="Calibri" w:cs="Calibri"/>
              </w:rPr>
              <w:t>Cupping</w:t>
            </w:r>
            <w:r w:rsidRPr="263E654C">
              <w:rPr>
                <w:rFonts w:ascii="Calibri" w:eastAsia="Calibri" w:hAnsi="Calibri" w:cs="Calibri"/>
              </w:rPr>
              <w:t xml:space="preserve"> </w:t>
            </w:r>
            <w:r w:rsidRPr="263E654C">
              <w:rPr>
                <w:rFonts w:ascii="Calibri" w:eastAsia="Calibri" w:hAnsi="Calibri" w:cs="Calibri"/>
              </w:rPr>
              <w:t>Artifacts</w:t>
            </w:r>
          </w:p>
        </w:tc>
        <w:tc>
          <w:tcPr>
            <w:tcW w:w="0" w:type="auto"/>
          </w:tcPr>
          <w:p w:rsidR="00EC626A" w:rsidP="00576150" w14:paraId="74408B3A" w14:textId="77777777">
            <w:pPr>
              <w:shd w:val="clear" w:color="auto" w:fill="FFFFFF" w:themeFill="background1"/>
              <w:ind w:left="-20" w:right="-20"/>
              <w:rPr>
                <w:rFonts w:ascii="Calibri" w:eastAsia="Calibri" w:hAnsi="Calibri" w:cs="Calibri"/>
              </w:rPr>
            </w:pPr>
            <w:r>
              <w:rPr>
                <w:rFonts w:ascii="Calibri" w:eastAsia="Calibri" w:hAnsi="Calibri" w:cs="Calibri"/>
              </w:rPr>
              <w:t>Beam hardening</w:t>
            </w:r>
            <w:r w:rsidRPr="263E654C">
              <w:rPr>
                <w:rFonts w:ascii="Calibri" w:eastAsia="Calibri" w:hAnsi="Calibri" w:cs="Calibri"/>
              </w:rPr>
              <w:t xml:space="preserve"> på grunn av økt gjennomsnittlig energi i røntgenstrålen</w:t>
            </w:r>
            <w:r w:rsidRPr="3E6622B7">
              <w:rPr>
                <w:rFonts w:ascii="Calibri" w:eastAsia="Calibri" w:hAnsi="Calibri" w:cs="Calibri"/>
              </w:rPr>
              <w:t>.</w:t>
            </w:r>
          </w:p>
        </w:tc>
        <w:tc>
          <w:tcPr>
            <w:tcW w:w="0" w:type="auto"/>
          </w:tcPr>
          <w:p w:rsidR="00EC626A" w:rsidP="00576150" w14:paraId="6B2A196B" w14:textId="77777777">
            <w:pPr>
              <w:shd w:val="clear" w:color="auto" w:fill="FFFFFF" w:themeFill="background1"/>
              <w:ind w:left="-20" w:right="-20"/>
              <w:rPr>
                <w:rFonts w:ascii="Calibri" w:eastAsia="Calibri" w:hAnsi="Calibri" w:cs="Calibri"/>
              </w:rPr>
            </w:pPr>
            <w:r w:rsidRPr="263E654C">
              <w:rPr>
                <w:rFonts w:ascii="Calibri" w:eastAsia="Calibri" w:hAnsi="Calibri" w:cs="Calibri"/>
              </w:rPr>
              <w:t>Øke rørspenningen (</w:t>
            </w:r>
            <w:r w:rsidRPr="263E654C">
              <w:rPr>
                <w:rFonts w:ascii="Calibri" w:eastAsia="Calibri" w:hAnsi="Calibri" w:cs="Calibri"/>
              </w:rPr>
              <w:t>kVp</w:t>
            </w:r>
            <w:r w:rsidRPr="263E654C">
              <w:rPr>
                <w:rFonts w:ascii="Calibri" w:eastAsia="Calibri" w:hAnsi="Calibri" w:cs="Calibri"/>
              </w:rPr>
              <w:t xml:space="preserve">), redusere </w:t>
            </w:r>
            <w:r w:rsidRPr="263E654C">
              <w:rPr>
                <w:rFonts w:ascii="Calibri" w:eastAsia="Calibri" w:hAnsi="Calibri" w:cs="Calibri"/>
              </w:rPr>
              <w:t>snittykkelsen</w:t>
            </w:r>
            <w:r w:rsidRPr="263E654C">
              <w:rPr>
                <w:rFonts w:ascii="Calibri" w:eastAsia="Calibri" w:hAnsi="Calibri" w:cs="Calibri"/>
              </w:rPr>
              <w:t>, øke filtreringen</w:t>
            </w:r>
            <w:r w:rsidRPr="3E6622B7">
              <w:rPr>
                <w:rFonts w:ascii="Calibri" w:eastAsia="Calibri" w:hAnsi="Calibri" w:cs="Calibri"/>
              </w:rPr>
              <w:t>.</w:t>
            </w:r>
          </w:p>
        </w:tc>
      </w:tr>
      <w:tr w14:paraId="3A3D0D28" w14:textId="77777777" w:rsidTr="00EC626A">
        <w:tblPrEx>
          <w:tblW w:w="0" w:type="auto"/>
          <w:tblLook w:val="06A0"/>
        </w:tblPrEx>
        <w:trPr>
          <w:trHeight w:val="300"/>
        </w:trPr>
        <w:tc>
          <w:tcPr>
            <w:tcW w:w="0" w:type="auto"/>
          </w:tcPr>
          <w:p w:rsidR="00EC626A" w:rsidRPr="00021673" w:rsidP="00576150" w14:paraId="1FF3B900" w14:textId="77777777">
            <w:pPr>
              <w:shd w:val="clear" w:color="auto" w:fill="FFFFFF" w:themeFill="background1"/>
              <w:ind w:left="-20" w:right="-20"/>
              <w:rPr>
                <w:rFonts w:ascii="Calibri" w:eastAsia="Calibri" w:hAnsi="Calibri" w:cs="Calibri"/>
                <w:b w:val="0"/>
              </w:rPr>
            </w:pPr>
            <w:r w:rsidRPr="00021673">
              <w:rPr>
                <w:rFonts w:ascii="Calibri" w:eastAsia="Calibri" w:hAnsi="Calibri" w:cs="Calibri"/>
                <w:b w:val="0"/>
              </w:rPr>
              <w:t>Metallartefakter</w:t>
            </w:r>
          </w:p>
        </w:tc>
        <w:tc>
          <w:tcPr>
            <w:tcW w:w="0" w:type="auto"/>
          </w:tcPr>
          <w:p w:rsidR="00EC626A" w:rsidP="00576150" w14:paraId="640D02C6" w14:textId="77777777">
            <w:pPr>
              <w:shd w:val="clear" w:color="auto" w:fill="FFFFFF" w:themeFill="background1"/>
              <w:ind w:left="-20" w:right="-20"/>
              <w:rPr>
                <w:rFonts w:ascii="Calibri" w:eastAsia="Calibri" w:hAnsi="Calibri" w:cs="Calibri"/>
              </w:rPr>
            </w:pPr>
            <w:r w:rsidRPr="263E654C">
              <w:rPr>
                <w:rFonts w:ascii="Calibri" w:eastAsia="Calibri" w:hAnsi="Calibri" w:cs="Calibri"/>
              </w:rPr>
              <w:t xml:space="preserve">Metal </w:t>
            </w:r>
            <w:r w:rsidRPr="263E654C">
              <w:rPr>
                <w:rFonts w:ascii="Calibri" w:eastAsia="Calibri" w:hAnsi="Calibri" w:cs="Calibri"/>
              </w:rPr>
              <w:t>Artifacts</w:t>
            </w:r>
          </w:p>
        </w:tc>
        <w:tc>
          <w:tcPr>
            <w:tcW w:w="0" w:type="auto"/>
          </w:tcPr>
          <w:p w:rsidR="00EC626A" w:rsidP="00576150" w14:paraId="62305499" w14:textId="77777777">
            <w:pPr>
              <w:shd w:val="clear" w:color="auto" w:fill="FFFFFF" w:themeFill="background1"/>
              <w:ind w:left="-20" w:right="-20"/>
              <w:rPr>
                <w:rFonts w:ascii="Calibri" w:eastAsia="Calibri" w:hAnsi="Calibri" w:cs="Calibri"/>
              </w:rPr>
            </w:pPr>
            <w:r w:rsidRPr="263E654C">
              <w:rPr>
                <w:rFonts w:ascii="Calibri" w:eastAsia="Calibri" w:hAnsi="Calibri" w:cs="Calibri"/>
              </w:rPr>
              <w:t>Absorpsjon av fotoner av metalliske objekter</w:t>
            </w:r>
            <w:r w:rsidRPr="3E6622B7">
              <w:rPr>
                <w:rFonts w:ascii="Calibri" w:eastAsia="Calibri" w:hAnsi="Calibri" w:cs="Calibri"/>
              </w:rPr>
              <w:t>.</w:t>
            </w:r>
          </w:p>
        </w:tc>
        <w:tc>
          <w:tcPr>
            <w:tcW w:w="0" w:type="auto"/>
          </w:tcPr>
          <w:p w:rsidR="00EC626A" w:rsidP="00576150" w14:paraId="732A5648" w14:textId="77777777">
            <w:pPr>
              <w:shd w:val="clear" w:color="auto" w:fill="FFFFFF" w:themeFill="background1"/>
              <w:ind w:left="-20" w:right="-20"/>
              <w:rPr>
                <w:rFonts w:ascii="Calibri" w:eastAsia="Calibri" w:hAnsi="Calibri" w:cs="Calibri"/>
              </w:rPr>
            </w:pPr>
            <w:r w:rsidRPr="23C44647">
              <w:rPr>
                <w:rFonts w:ascii="Calibri" w:eastAsia="Calibri" w:hAnsi="Calibri" w:cs="Calibri"/>
              </w:rPr>
              <w:t xml:space="preserve">Se kapittel om </w:t>
            </w:r>
            <w:r w:rsidRPr="0CB686B2">
              <w:rPr>
                <w:rFonts w:ascii="Calibri" w:eastAsia="Calibri" w:hAnsi="Calibri" w:cs="Calibri"/>
              </w:rPr>
              <w:t>metallartefakter</w:t>
            </w:r>
            <w:r w:rsidRPr="3E6622B7">
              <w:rPr>
                <w:rFonts w:ascii="Calibri" w:eastAsia="Calibri" w:hAnsi="Calibri" w:cs="Calibri"/>
              </w:rPr>
              <w:t>.</w:t>
            </w:r>
          </w:p>
        </w:tc>
      </w:tr>
      <w:tr w14:paraId="44B9D38F" w14:textId="77777777" w:rsidTr="00EC626A">
        <w:tblPrEx>
          <w:tblW w:w="0" w:type="auto"/>
          <w:tblLook w:val="06A0"/>
        </w:tblPrEx>
        <w:trPr>
          <w:trHeight w:val="300"/>
        </w:trPr>
        <w:tc>
          <w:tcPr>
            <w:tcW w:w="0" w:type="auto"/>
          </w:tcPr>
          <w:p w:rsidR="00EC626A" w:rsidRPr="00021673" w:rsidP="00576150" w14:paraId="532E7AE4" w14:textId="77777777">
            <w:pPr>
              <w:rPr>
                <w:rFonts w:ascii="Calibri" w:eastAsia="Calibri" w:hAnsi="Calibri" w:cs="Calibri"/>
                <w:b w:val="0"/>
              </w:rPr>
            </w:pPr>
            <w:r w:rsidRPr="00021673">
              <w:rPr>
                <w:rFonts w:ascii="Calibri" w:eastAsia="Calibri" w:hAnsi="Calibri" w:cs="Calibri"/>
                <w:b w:val="0"/>
              </w:rPr>
              <w:t>Luftartefakter</w:t>
            </w:r>
          </w:p>
        </w:tc>
        <w:tc>
          <w:tcPr>
            <w:tcW w:w="0" w:type="auto"/>
          </w:tcPr>
          <w:p w:rsidR="00EC626A" w:rsidP="00576150" w14:paraId="392D61FB" w14:textId="77777777">
            <w:pPr>
              <w:rPr>
                <w:rFonts w:ascii="Calibri" w:eastAsia="Calibri" w:hAnsi="Calibri" w:cs="Calibri"/>
              </w:rPr>
            </w:pPr>
            <w:r w:rsidRPr="702F739A">
              <w:rPr>
                <w:rFonts w:ascii="Calibri" w:eastAsia="Calibri" w:hAnsi="Calibri" w:cs="Calibri"/>
              </w:rPr>
              <w:t xml:space="preserve">Air </w:t>
            </w:r>
            <w:r w:rsidRPr="702F739A">
              <w:rPr>
                <w:rFonts w:ascii="Calibri" w:eastAsia="Calibri" w:hAnsi="Calibri" w:cs="Calibri"/>
              </w:rPr>
              <w:t>Art</w:t>
            </w:r>
            <w:r>
              <w:rPr>
                <w:rFonts w:ascii="Calibri" w:eastAsia="Calibri" w:hAnsi="Calibri" w:cs="Calibri"/>
              </w:rPr>
              <w:t>i</w:t>
            </w:r>
            <w:r w:rsidRPr="702F739A">
              <w:rPr>
                <w:rFonts w:ascii="Calibri" w:eastAsia="Calibri" w:hAnsi="Calibri" w:cs="Calibri"/>
              </w:rPr>
              <w:t>facts</w:t>
            </w:r>
          </w:p>
        </w:tc>
        <w:tc>
          <w:tcPr>
            <w:tcW w:w="0" w:type="auto"/>
          </w:tcPr>
          <w:p w:rsidR="00EC626A" w:rsidP="00576150" w14:paraId="1D14BC44" w14:textId="77777777">
            <w:pPr>
              <w:rPr>
                <w:rFonts w:ascii="Calibri" w:eastAsia="Calibri" w:hAnsi="Calibri" w:cs="Calibri"/>
              </w:rPr>
            </w:pPr>
            <w:r w:rsidRPr="702F739A">
              <w:rPr>
                <w:rFonts w:ascii="Calibri" w:eastAsia="Calibri" w:hAnsi="Calibri" w:cs="Calibri"/>
              </w:rPr>
              <w:t xml:space="preserve">Luft har betydelig lavere tetthet sammenlignet med omkringliggende vev eller væsker, noe som fører til </w:t>
            </w:r>
            <w:r w:rsidRPr="702F739A">
              <w:rPr>
                <w:rFonts w:ascii="Calibri" w:eastAsia="Calibri" w:hAnsi="Calibri" w:cs="Calibri"/>
              </w:rPr>
              <w:t>store kontrastforskjeller på CT-bildene.</w:t>
            </w:r>
          </w:p>
        </w:tc>
        <w:tc>
          <w:tcPr>
            <w:tcW w:w="0" w:type="auto"/>
          </w:tcPr>
          <w:p w:rsidR="00EC626A" w:rsidP="00576150" w14:paraId="3F874DA0" w14:textId="77777777">
            <w:pPr>
              <w:rPr>
                <w:rFonts w:ascii="Calibri" w:eastAsia="Calibri" w:hAnsi="Calibri" w:cs="Calibri"/>
              </w:rPr>
            </w:pPr>
            <w:r w:rsidRPr="4F3709C0">
              <w:rPr>
                <w:rFonts w:ascii="Calibri" w:eastAsia="Calibri" w:hAnsi="Calibri" w:cs="Calibri"/>
              </w:rPr>
              <w:t xml:space="preserve">Se kapittel om </w:t>
            </w:r>
            <w:r w:rsidRPr="0CB686B2">
              <w:rPr>
                <w:rFonts w:ascii="Calibri" w:eastAsia="Calibri" w:hAnsi="Calibri" w:cs="Calibri"/>
              </w:rPr>
              <w:t>luftartefakter</w:t>
            </w:r>
            <w:r w:rsidRPr="06EB1616">
              <w:rPr>
                <w:rFonts w:ascii="Calibri" w:eastAsia="Calibri" w:hAnsi="Calibri" w:cs="Calibri"/>
              </w:rPr>
              <w:t>.</w:t>
            </w:r>
          </w:p>
        </w:tc>
      </w:tr>
      <w:tr w14:paraId="59ED1983" w14:textId="77777777" w:rsidTr="00EC626A">
        <w:tblPrEx>
          <w:tblW w:w="0" w:type="auto"/>
          <w:tblLook w:val="06A0"/>
        </w:tblPrEx>
        <w:trPr>
          <w:trHeight w:val="300"/>
        </w:trPr>
        <w:tc>
          <w:tcPr>
            <w:tcW w:w="0" w:type="auto"/>
          </w:tcPr>
          <w:p w:rsidR="00EC626A" w:rsidRPr="00021673" w:rsidP="00576150" w14:paraId="27F5E606" w14:textId="77777777">
            <w:pPr>
              <w:shd w:val="clear" w:color="auto" w:fill="FFFFFF" w:themeFill="background1"/>
              <w:ind w:left="-20" w:right="-20"/>
              <w:rPr>
                <w:rFonts w:ascii="Calibri" w:eastAsia="Calibri" w:hAnsi="Calibri" w:cs="Calibri"/>
                <w:b w:val="0"/>
              </w:rPr>
            </w:pPr>
            <w:r w:rsidRPr="00021673">
              <w:rPr>
                <w:rFonts w:ascii="Calibri" w:eastAsia="Calibri" w:hAnsi="Calibri" w:cs="Calibri"/>
                <w:b w:val="0"/>
              </w:rPr>
              <w:t>Utenfor-felt-artefakter</w:t>
            </w:r>
          </w:p>
        </w:tc>
        <w:tc>
          <w:tcPr>
            <w:tcW w:w="0" w:type="auto"/>
          </w:tcPr>
          <w:p w:rsidR="00EC626A" w:rsidP="00576150" w14:paraId="1F863C30" w14:textId="77777777">
            <w:pPr>
              <w:shd w:val="clear" w:color="auto" w:fill="FFFFFF" w:themeFill="background1"/>
              <w:ind w:left="-20" w:right="-20"/>
              <w:rPr>
                <w:rFonts w:ascii="Calibri" w:eastAsia="Calibri" w:hAnsi="Calibri" w:cs="Calibri"/>
              </w:rPr>
            </w:pPr>
            <w:r w:rsidRPr="263E654C">
              <w:rPr>
                <w:rFonts w:ascii="Calibri" w:eastAsia="Calibri" w:hAnsi="Calibri" w:cs="Calibri"/>
              </w:rPr>
              <w:t>Out-</w:t>
            </w:r>
            <w:r w:rsidRPr="263E654C">
              <w:rPr>
                <w:rFonts w:ascii="Calibri" w:eastAsia="Calibri" w:hAnsi="Calibri" w:cs="Calibri"/>
              </w:rPr>
              <w:t>of</w:t>
            </w:r>
            <w:r w:rsidRPr="263E654C">
              <w:rPr>
                <w:rFonts w:ascii="Calibri" w:eastAsia="Calibri" w:hAnsi="Calibri" w:cs="Calibri"/>
              </w:rPr>
              <w:t xml:space="preserve">-Field </w:t>
            </w:r>
            <w:r w:rsidRPr="263E654C">
              <w:rPr>
                <w:rFonts w:ascii="Calibri" w:eastAsia="Calibri" w:hAnsi="Calibri" w:cs="Calibri"/>
              </w:rPr>
              <w:t>Artifacts</w:t>
            </w:r>
          </w:p>
        </w:tc>
        <w:tc>
          <w:tcPr>
            <w:tcW w:w="0" w:type="auto"/>
          </w:tcPr>
          <w:p w:rsidR="00EC626A" w:rsidP="00576150" w14:paraId="7BBFC644" w14:textId="77777777">
            <w:pPr>
              <w:rPr>
                <w:rFonts w:ascii="Calibri" w:eastAsia="Calibri" w:hAnsi="Calibri" w:cs="Calibri"/>
              </w:rPr>
            </w:pPr>
            <w:r w:rsidRPr="3E6622B7">
              <w:t xml:space="preserve">Deler av pasienten er utenfor </w:t>
            </w:r>
            <w:r w:rsidRPr="3E6622B7">
              <w:t>FoV</w:t>
            </w:r>
            <w:r w:rsidRPr="3E6622B7">
              <w:t>.</w:t>
            </w:r>
          </w:p>
        </w:tc>
        <w:tc>
          <w:tcPr>
            <w:tcW w:w="0" w:type="auto"/>
          </w:tcPr>
          <w:p w:rsidR="00EC626A" w:rsidP="00576150" w14:paraId="07260DD3" w14:textId="77777777">
            <w:pPr>
              <w:shd w:val="clear" w:color="auto" w:fill="FFFFFF" w:themeFill="background1"/>
              <w:ind w:right="-20"/>
              <w:rPr>
                <w:rFonts w:ascii="Calibri" w:eastAsia="Calibri" w:hAnsi="Calibri" w:cs="Calibri"/>
              </w:rPr>
            </w:pPr>
            <w:r>
              <w:rPr>
                <w:rFonts w:ascii="Calibri" w:eastAsia="Calibri" w:hAnsi="Calibri" w:cs="Calibri"/>
              </w:rPr>
              <w:t>H</w:t>
            </w:r>
            <w:r w:rsidRPr="263E654C">
              <w:rPr>
                <w:rFonts w:ascii="Calibri" w:eastAsia="Calibri" w:hAnsi="Calibri" w:cs="Calibri"/>
              </w:rPr>
              <w:t>eve pasientens armer</w:t>
            </w:r>
            <w:r>
              <w:rPr>
                <w:rFonts w:ascii="Calibri" w:eastAsia="Calibri" w:hAnsi="Calibri" w:cs="Calibri"/>
              </w:rPr>
              <w:t xml:space="preserve">, flytt relevant del av pasienten inn i </w:t>
            </w:r>
            <w:r>
              <w:rPr>
                <w:rFonts w:ascii="Calibri" w:eastAsia="Calibri" w:hAnsi="Calibri" w:cs="Calibri"/>
              </w:rPr>
              <w:t>FoV</w:t>
            </w:r>
            <w:r>
              <w:rPr>
                <w:rFonts w:ascii="Calibri" w:eastAsia="Calibri" w:hAnsi="Calibri" w:cs="Calibri"/>
              </w:rPr>
              <w:t>.</w:t>
            </w:r>
          </w:p>
        </w:tc>
      </w:tr>
    </w:tbl>
    <w:p w:rsidR="00EC626A" w:rsidP="00EC626A" w14:paraId="77F8A9D4" w14:textId="77777777"/>
    <w:p w:rsidR="00EC626A" w:rsidRPr="005B7D79" w:rsidP="00EC626A" w14:paraId="199811CB" w14:textId="77777777">
      <w:pPr>
        <w:rPr>
          <w:rStyle w:val="IntenseEmphasis"/>
        </w:rPr>
      </w:pPr>
      <w:r w:rsidRPr="005B7D79">
        <w:rPr>
          <w:rStyle w:val="IntenseEmphasis"/>
        </w:rPr>
        <w:t>Utstyrs- og bildebehandlingsartefakter</w:t>
      </w:r>
    </w:p>
    <w:tbl>
      <w:tblPr>
        <w:tblStyle w:val="GridTable1LightAccent1"/>
        <w:tblW w:w="0" w:type="auto"/>
        <w:tblLook w:val="06A0"/>
      </w:tblPr>
      <w:tblGrid>
        <w:gridCol w:w="2438"/>
        <w:gridCol w:w="1907"/>
        <w:gridCol w:w="2802"/>
        <w:gridCol w:w="1914"/>
      </w:tblGrid>
      <w:tr w14:paraId="0CB6AE98" w14:textId="77777777" w:rsidTr="00EC626A">
        <w:tblPrEx>
          <w:tblW w:w="0" w:type="auto"/>
          <w:tblLook w:val="06A0"/>
        </w:tblPrEx>
        <w:trPr>
          <w:trHeight w:val="300"/>
        </w:trPr>
        <w:tc>
          <w:tcPr>
            <w:tcW w:w="0" w:type="auto"/>
          </w:tcPr>
          <w:p w:rsidR="00EC626A" w:rsidRPr="008F3DA3" w:rsidP="00576150" w14:paraId="79EF623F" w14:textId="77777777">
            <w:pPr>
              <w:shd w:val="clear" w:color="auto" w:fill="FFFFFF" w:themeFill="background1"/>
              <w:ind w:left="-20" w:right="-20"/>
              <w:jc w:val="center"/>
              <w:rPr>
                <w:rFonts w:ascii="Calibri" w:eastAsia="Calibri" w:hAnsi="Calibri" w:cs="Calibri"/>
                <w:b w:val="0"/>
              </w:rPr>
            </w:pPr>
            <w:r w:rsidRPr="008F3DA3">
              <w:rPr>
                <w:rFonts w:ascii="Calibri" w:eastAsia="Calibri" w:hAnsi="Calibri" w:cs="Calibri"/>
                <w:b w:val="0"/>
              </w:rPr>
              <w:t>Artefakt</w:t>
            </w:r>
          </w:p>
        </w:tc>
        <w:tc>
          <w:tcPr>
            <w:tcW w:w="0" w:type="auto"/>
          </w:tcPr>
          <w:p w:rsidR="00EC626A" w:rsidRPr="008F3DA3" w:rsidP="00576150" w14:paraId="6F99125B" w14:textId="77777777">
            <w:pPr>
              <w:shd w:val="clear" w:color="auto" w:fill="FFFFFF" w:themeFill="background1"/>
              <w:ind w:left="-20" w:right="-20"/>
              <w:jc w:val="center"/>
              <w:rPr>
                <w:rFonts w:ascii="Calibri" w:eastAsia="Calibri" w:hAnsi="Calibri" w:cs="Calibri"/>
                <w:b w:val="0"/>
              </w:rPr>
            </w:pPr>
            <w:r w:rsidRPr="008F3DA3">
              <w:rPr>
                <w:rFonts w:ascii="Calibri" w:eastAsia="Calibri" w:hAnsi="Calibri" w:cs="Calibri"/>
                <w:b w:val="0"/>
              </w:rPr>
              <w:t>Engelsk navn</w:t>
            </w:r>
          </w:p>
        </w:tc>
        <w:tc>
          <w:tcPr>
            <w:tcW w:w="0" w:type="auto"/>
          </w:tcPr>
          <w:p w:rsidR="00EC626A" w:rsidRPr="008F3DA3" w:rsidP="00576150" w14:paraId="5E62167B" w14:textId="77777777">
            <w:pPr>
              <w:shd w:val="clear" w:color="auto" w:fill="FFFFFF" w:themeFill="background1"/>
              <w:ind w:left="-20" w:right="-20"/>
              <w:jc w:val="center"/>
              <w:rPr>
                <w:rFonts w:ascii="Calibri" w:eastAsia="Calibri" w:hAnsi="Calibri" w:cs="Calibri"/>
                <w:b w:val="0"/>
              </w:rPr>
            </w:pPr>
            <w:r w:rsidRPr="008F3DA3">
              <w:rPr>
                <w:rFonts w:ascii="Calibri" w:eastAsia="Calibri" w:hAnsi="Calibri" w:cs="Calibri"/>
                <w:b w:val="0"/>
              </w:rPr>
              <w:t>Årsak</w:t>
            </w:r>
          </w:p>
        </w:tc>
        <w:tc>
          <w:tcPr>
            <w:tcW w:w="0" w:type="auto"/>
          </w:tcPr>
          <w:p w:rsidR="00EC626A" w:rsidRPr="008F3DA3" w:rsidP="00576150" w14:paraId="74055C66" w14:textId="77777777">
            <w:pPr>
              <w:shd w:val="clear" w:color="auto" w:fill="FFFFFF" w:themeFill="background1"/>
              <w:ind w:left="-20" w:right="-20"/>
              <w:jc w:val="center"/>
              <w:rPr>
                <w:rFonts w:ascii="Calibri" w:eastAsia="Calibri" w:hAnsi="Calibri" w:cs="Calibri"/>
                <w:b w:val="0"/>
              </w:rPr>
            </w:pPr>
            <w:r w:rsidRPr="008F3DA3">
              <w:rPr>
                <w:rFonts w:ascii="Calibri" w:eastAsia="Calibri" w:hAnsi="Calibri" w:cs="Calibri"/>
                <w:b w:val="0"/>
              </w:rPr>
              <w:t>Hvordan unngå</w:t>
            </w:r>
          </w:p>
        </w:tc>
      </w:tr>
      <w:tr w14:paraId="262EA72C" w14:textId="77777777" w:rsidTr="00EC626A">
        <w:tblPrEx>
          <w:tblW w:w="0" w:type="auto"/>
          <w:tblLook w:val="06A0"/>
        </w:tblPrEx>
        <w:trPr>
          <w:trHeight w:val="300"/>
        </w:trPr>
        <w:tc>
          <w:tcPr>
            <w:tcW w:w="0" w:type="auto"/>
          </w:tcPr>
          <w:p w:rsidR="00EC626A" w:rsidRPr="008F3DA3" w:rsidP="00576150" w14:paraId="5754A24F" w14:textId="77777777">
            <w:pPr>
              <w:shd w:val="clear" w:color="auto" w:fill="FFFFFF" w:themeFill="background1"/>
              <w:ind w:left="-20" w:right="-20"/>
              <w:rPr>
                <w:rFonts w:ascii="Calibri" w:eastAsia="Calibri" w:hAnsi="Calibri" w:cs="Calibri"/>
                <w:b w:val="0"/>
              </w:rPr>
            </w:pPr>
            <w:r w:rsidRPr="008F3DA3">
              <w:rPr>
                <w:rFonts w:ascii="Calibri" w:eastAsia="Calibri" w:hAnsi="Calibri" w:cs="Calibri"/>
                <w:b w:val="0"/>
              </w:rPr>
              <w:t>Delvolumartefakter</w:t>
            </w:r>
          </w:p>
        </w:tc>
        <w:tc>
          <w:tcPr>
            <w:tcW w:w="0" w:type="auto"/>
          </w:tcPr>
          <w:p w:rsidR="00EC626A" w:rsidRPr="005B7D79" w:rsidP="00576150" w14:paraId="64E3872A" w14:textId="77777777">
            <w:pPr>
              <w:shd w:val="clear" w:color="auto" w:fill="FFFFFF" w:themeFill="background1"/>
              <w:ind w:left="-20" w:right="-20"/>
              <w:rPr>
                <w:rFonts w:eastAsia="Calibri" w:cstheme="minorHAnsi"/>
              </w:rPr>
            </w:pPr>
            <w:r w:rsidRPr="005B7D79">
              <w:rPr>
                <w:rFonts w:eastAsia="Calibri" w:cstheme="minorHAnsi"/>
              </w:rPr>
              <w:t>Partial</w:t>
            </w:r>
            <w:r w:rsidRPr="005B7D79">
              <w:rPr>
                <w:rFonts w:eastAsia="Calibri" w:cstheme="minorHAnsi"/>
              </w:rPr>
              <w:t xml:space="preserve"> Volume </w:t>
            </w:r>
            <w:r w:rsidRPr="005B7D79">
              <w:rPr>
                <w:rFonts w:eastAsia="Calibri" w:cstheme="minorHAnsi"/>
              </w:rPr>
              <w:t>Artifacts</w:t>
            </w:r>
          </w:p>
        </w:tc>
        <w:tc>
          <w:tcPr>
            <w:tcW w:w="0" w:type="auto"/>
          </w:tcPr>
          <w:p w:rsidR="00EC626A" w:rsidRPr="005B7D79" w:rsidP="00576150" w14:paraId="07C547A1" w14:textId="77777777">
            <w:pPr>
              <w:pStyle w:val="NoSpacing"/>
              <w:rPr>
                <w:rFonts w:eastAsia="Calibri"/>
              </w:rPr>
            </w:pPr>
            <w:r w:rsidRPr="4CBA41CC">
              <w:rPr>
                <w:rStyle w:val="cf01"/>
              </w:rPr>
              <w:t>Kompakt objekt plassert perifert, som overlapper delvis med røntgenstrålenes bane.</w:t>
            </w:r>
          </w:p>
        </w:tc>
        <w:tc>
          <w:tcPr>
            <w:tcW w:w="0" w:type="auto"/>
          </w:tcPr>
          <w:p w:rsidR="00EC626A" w:rsidP="00576150" w14:paraId="36599825" w14:textId="77777777">
            <w:pPr>
              <w:shd w:val="clear" w:color="auto" w:fill="FFFFFF" w:themeFill="background1"/>
              <w:ind w:left="-20" w:right="-20"/>
              <w:rPr>
                <w:rFonts w:ascii="Calibri" w:eastAsia="Calibri" w:hAnsi="Calibri" w:cs="Calibri"/>
              </w:rPr>
            </w:pPr>
            <w:r w:rsidRPr="263E654C">
              <w:rPr>
                <w:rFonts w:ascii="Calibri" w:eastAsia="Calibri" w:hAnsi="Calibri" w:cs="Calibri"/>
              </w:rPr>
              <w:t>Velge tynne snitt for skanning</w:t>
            </w:r>
          </w:p>
        </w:tc>
      </w:tr>
      <w:tr w14:paraId="75AEF04F" w14:textId="77777777" w:rsidTr="00EC626A">
        <w:tblPrEx>
          <w:tblW w:w="0" w:type="auto"/>
          <w:tblLook w:val="06A0"/>
        </w:tblPrEx>
        <w:trPr>
          <w:trHeight w:val="300"/>
        </w:trPr>
        <w:tc>
          <w:tcPr>
            <w:tcW w:w="0" w:type="auto"/>
          </w:tcPr>
          <w:p w:rsidR="00EC626A" w:rsidRPr="008F3DA3" w:rsidP="00576150" w14:paraId="66D013C1" w14:textId="77777777">
            <w:pPr>
              <w:shd w:val="clear" w:color="auto" w:fill="FFFFFF" w:themeFill="background1"/>
              <w:ind w:left="-20" w:right="-20"/>
              <w:rPr>
                <w:rFonts w:ascii="Calibri" w:eastAsia="Calibri" w:hAnsi="Calibri" w:cs="Calibri"/>
                <w:b w:val="0"/>
              </w:rPr>
            </w:pPr>
            <w:r w:rsidRPr="65E433EB">
              <w:rPr>
                <w:rFonts w:ascii="Calibri" w:eastAsia="Calibri" w:hAnsi="Calibri" w:cs="Calibri"/>
                <w:b w:val="0"/>
                <w:bCs w:val="0"/>
              </w:rPr>
              <w:t>Alias-</w:t>
            </w:r>
            <w:r w:rsidRPr="65E433EB">
              <w:rPr>
                <w:rFonts w:ascii="Calibri" w:eastAsia="Calibri" w:hAnsi="Calibri" w:cs="Calibri"/>
                <w:b w:val="0"/>
                <w:bCs w:val="0"/>
              </w:rPr>
              <w:t>ringsartefakter</w:t>
            </w:r>
          </w:p>
        </w:tc>
        <w:tc>
          <w:tcPr>
            <w:tcW w:w="0" w:type="auto"/>
          </w:tcPr>
          <w:p w:rsidR="00EC626A" w:rsidP="00576150" w14:paraId="5792CBF9" w14:textId="77777777">
            <w:pPr>
              <w:shd w:val="clear" w:color="auto" w:fill="FFFFFF" w:themeFill="background1"/>
              <w:ind w:left="-20" w:right="-20"/>
              <w:rPr>
                <w:rFonts w:ascii="Calibri" w:eastAsia="Calibri" w:hAnsi="Calibri" w:cs="Calibri"/>
              </w:rPr>
            </w:pPr>
            <w:r w:rsidRPr="263E654C">
              <w:rPr>
                <w:rFonts w:ascii="Calibri" w:eastAsia="Calibri" w:hAnsi="Calibri" w:cs="Calibri"/>
              </w:rPr>
              <w:t>Aliasing</w:t>
            </w:r>
            <w:r w:rsidRPr="263E654C">
              <w:rPr>
                <w:rFonts w:ascii="Calibri" w:eastAsia="Calibri" w:hAnsi="Calibri" w:cs="Calibri"/>
              </w:rPr>
              <w:t xml:space="preserve"> </w:t>
            </w:r>
            <w:r w:rsidRPr="263E654C">
              <w:rPr>
                <w:rFonts w:ascii="Calibri" w:eastAsia="Calibri" w:hAnsi="Calibri" w:cs="Calibri"/>
              </w:rPr>
              <w:t>Artifacts</w:t>
            </w:r>
          </w:p>
        </w:tc>
        <w:tc>
          <w:tcPr>
            <w:tcW w:w="0" w:type="auto"/>
          </w:tcPr>
          <w:p w:rsidR="00EC626A" w:rsidP="00576150" w14:paraId="35A7E8C6" w14:textId="77777777">
            <w:pPr>
              <w:shd w:val="clear" w:color="auto" w:fill="FFFFFF" w:themeFill="background1"/>
              <w:ind w:left="-20" w:right="-20"/>
              <w:rPr>
                <w:rFonts w:ascii="Calibri" w:eastAsia="Calibri" w:hAnsi="Calibri" w:cs="Calibri"/>
              </w:rPr>
            </w:pPr>
            <w:r w:rsidRPr="263E654C">
              <w:rPr>
                <w:rFonts w:ascii="Calibri" w:eastAsia="Calibri" w:hAnsi="Calibri" w:cs="Calibri"/>
              </w:rPr>
              <w:t xml:space="preserve">Kant- eller periferieffekt som forårsaker </w:t>
            </w:r>
            <w:r w:rsidRPr="65E433EB">
              <w:rPr>
                <w:rFonts w:ascii="Calibri" w:eastAsia="Calibri" w:hAnsi="Calibri" w:cs="Calibri"/>
              </w:rPr>
              <w:t xml:space="preserve">tynne </w:t>
            </w:r>
            <w:r w:rsidRPr="263E654C">
              <w:rPr>
                <w:rFonts w:ascii="Calibri" w:eastAsia="Calibri" w:hAnsi="Calibri" w:cs="Calibri"/>
              </w:rPr>
              <w:t>linjer</w:t>
            </w:r>
          </w:p>
        </w:tc>
        <w:tc>
          <w:tcPr>
            <w:tcW w:w="0" w:type="auto"/>
          </w:tcPr>
          <w:p w:rsidR="00EC626A" w:rsidP="00576150" w14:paraId="0599BB31" w14:textId="77777777">
            <w:pPr>
              <w:shd w:val="clear" w:color="auto" w:fill="FFFFFF" w:themeFill="background1"/>
              <w:ind w:left="-20" w:right="-20"/>
              <w:rPr>
                <w:rFonts w:ascii="Calibri" w:eastAsia="Calibri" w:hAnsi="Calibri" w:cs="Calibri"/>
              </w:rPr>
            </w:pPr>
            <w:r w:rsidRPr="65E433EB">
              <w:rPr>
                <w:rFonts w:ascii="Calibri" w:eastAsia="Calibri" w:hAnsi="Calibri" w:cs="Calibri"/>
              </w:rPr>
              <w:t>Øke skannetiden, bruke full</w:t>
            </w:r>
            <w:r w:rsidRPr="30211EFD">
              <w:rPr>
                <w:rFonts w:ascii="Calibri" w:eastAsia="Calibri" w:hAnsi="Calibri" w:cs="Calibri"/>
              </w:rPr>
              <w:t xml:space="preserve"> </w:t>
            </w:r>
            <w:r w:rsidRPr="4ED4E0BF">
              <w:rPr>
                <w:rFonts w:ascii="Calibri" w:eastAsia="Calibri" w:hAnsi="Calibri" w:cs="Calibri"/>
              </w:rPr>
              <w:t>bue</w:t>
            </w:r>
          </w:p>
        </w:tc>
      </w:tr>
      <w:tr w14:paraId="59935A61" w14:textId="77777777" w:rsidTr="00EC626A">
        <w:tblPrEx>
          <w:tblW w:w="0" w:type="auto"/>
          <w:tblLook w:val="06A0"/>
        </w:tblPrEx>
        <w:trPr>
          <w:trHeight w:val="300"/>
        </w:trPr>
        <w:tc>
          <w:tcPr>
            <w:tcW w:w="0" w:type="auto"/>
          </w:tcPr>
          <w:p w:rsidR="00EC626A" w:rsidRPr="008F3DA3" w:rsidP="00576150" w14:paraId="5345F8AA" w14:textId="77777777">
            <w:pPr>
              <w:shd w:val="clear" w:color="auto" w:fill="FFFFFF" w:themeFill="background1"/>
              <w:ind w:left="-20" w:right="-20"/>
              <w:rPr>
                <w:rFonts w:ascii="Calibri" w:eastAsia="Calibri" w:hAnsi="Calibri" w:cs="Calibri"/>
                <w:b w:val="0"/>
              </w:rPr>
            </w:pPr>
            <w:r w:rsidRPr="008F3DA3">
              <w:rPr>
                <w:rFonts w:ascii="Calibri" w:eastAsia="Calibri" w:hAnsi="Calibri" w:cs="Calibri"/>
                <w:b w:val="0"/>
              </w:rPr>
              <w:t>Fotonmangel/støy</w:t>
            </w:r>
          </w:p>
        </w:tc>
        <w:tc>
          <w:tcPr>
            <w:tcW w:w="0" w:type="auto"/>
          </w:tcPr>
          <w:p w:rsidR="00EC626A" w:rsidP="00576150" w14:paraId="3E61763D" w14:textId="77777777">
            <w:pPr>
              <w:shd w:val="clear" w:color="auto" w:fill="FFFFFF" w:themeFill="background1"/>
              <w:ind w:left="-20" w:right="-20"/>
              <w:rPr>
                <w:rFonts w:ascii="Calibri" w:eastAsia="Calibri" w:hAnsi="Calibri" w:cs="Calibri"/>
              </w:rPr>
            </w:pPr>
            <w:r w:rsidRPr="263E654C">
              <w:rPr>
                <w:rFonts w:ascii="Calibri" w:eastAsia="Calibri" w:hAnsi="Calibri" w:cs="Calibri"/>
              </w:rPr>
              <w:t>Photon</w:t>
            </w:r>
            <w:r w:rsidRPr="263E654C">
              <w:rPr>
                <w:rFonts w:ascii="Calibri" w:eastAsia="Calibri" w:hAnsi="Calibri" w:cs="Calibri"/>
              </w:rPr>
              <w:t xml:space="preserve"> </w:t>
            </w:r>
            <w:r w:rsidRPr="263E654C">
              <w:rPr>
                <w:rFonts w:ascii="Calibri" w:eastAsia="Calibri" w:hAnsi="Calibri" w:cs="Calibri"/>
              </w:rPr>
              <w:t>Starvation</w:t>
            </w:r>
            <w:r w:rsidRPr="263E654C">
              <w:rPr>
                <w:rFonts w:ascii="Calibri" w:eastAsia="Calibri" w:hAnsi="Calibri" w:cs="Calibri"/>
              </w:rPr>
              <w:t>/</w:t>
            </w:r>
            <w:r w:rsidRPr="263E654C">
              <w:rPr>
                <w:rFonts w:ascii="Calibri" w:eastAsia="Calibri" w:hAnsi="Calibri" w:cs="Calibri"/>
              </w:rPr>
              <w:t>Noise</w:t>
            </w:r>
          </w:p>
        </w:tc>
        <w:tc>
          <w:tcPr>
            <w:tcW w:w="0" w:type="auto"/>
          </w:tcPr>
          <w:p w:rsidR="00EC626A" w:rsidP="00576150" w14:paraId="3C01CBE4" w14:textId="77777777">
            <w:pPr>
              <w:shd w:val="clear" w:color="auto" w:fill="FFFFFF" w:themeFill="background1"/>
              <w:ind w:left="-20" w:right="-20"/>
              <w:rPr>
                <w:rFonts w:ascii="Calibri" w:eastAsia="Calibri" w:hAnsi="Calibri" w:cs="Calibri"/>
              </w:rPr>
            </w:pPr>
            <w:r w:rsidRPr="263E654C">
              <w:rPr>
                <w:rFonts w:ascii="Calibri" w:eastAsia="Calibri" w:hAnsi="Calibri" w:cs="Calibri"/>
              </w:rPr>
              <w:t>Statistisk fluktuasjon i fotonattenuasjon eller -absorpsjon</w:t>
            </w:r>
          </w:p>
        </w:tc>
        <w:tc>
          <w:tcPr>
            <w:tcW w:w="0" w:type="auto"/>
          </w:tcPr>
          <w:p w:rsidR="00EC626A" w:rsidP="00576150" w14:paraId="2BF7B97A" w14:textId="77777777">
            <w:pPr>
              <w:shd w:val="clear" w:color="auto" w:fill="FFFFFF" w:themeFill="background1"/>
              <w:ind w:left="-20" w:right="-20"/>
              <w:rPr>
                <w:rFonts w:ascii="Calibri" w:eastAsia="Calibri" w:hAnsi="Calibri" w:cs="Calibri"/>
              </w:rPr>
            </w:pPr>
            <w:r w:rsidRPr="263E654C">
              <w:rPr>
                <w:rFonts w:ascii="Calibri" w:eastAsia="Calibri" w:hAnsi="Calibri" w:cs="Calibri"/>
              </w:rPr>
              <w:t>Øke rørspenningen (</w:t>
            </w:r>
            <w:r w:rsidRPr="263E654C">
              <w:rPr>
                <w:rFonts w:ascii="Calibri" w:eastAsia="Calibri" w:hAnsi="Calibri" w:cs="Calibri"/>
              </w:rPr>
              <w:t>kVp</w:t>
            </w:r>
            <w:r w:rsidRPr="263E654C">
              <w:rPr>
                <w:rFonts w:ascii="Calibri" w:eastAsia="Calibri" w:hAnsi="Calibri" w:cs="Calibri"/>
              </w:rPr>
              <w:t xml:space="preserve">), øke </w:t>
            </w:r>
            <w:r w:rsidRPr="263E654C">
              <w:rPr>
                <w:rFonts w:ascii="Calibri" w:eastAsia="Calibri" w:hAnsi="Calibri" w:cs="Calibri"/>
              </w:rPr>
              <w:t>snittykkelsen</w:t>
            </w:r>
          </w:p>
        </w:tc>
      </w:tr>
      <w:tr w14:paraId="4ED0FEF1" w14:textId="77777777" w:rsidTr="00EC626A">
        <w:tblPrEx>
          <w:tblW w:w="0" w:type="auto"/>
          <w:tblLook w:val="06A0"/>
        </w:tblPrEx>
        <w:trPr>
          <w:trHeight w:val="300"/>
        </w:trPr>
        <w:tc>
          <w:tcPr>
            <w:tcW w:w="0" w:type="auto"/>
          </w:tcPr>
          <w:p w:rsidR="00EC626A" w:rsidRPr="008F3DA3" w:rsidP="00576150" w14:paraId="04FF2C02" w14:textId="77777777">
            <w:pPr>
              <w:shd w:val="clear" w:color="auto" w:fill="FFFFFF" w:themeFill="background1"/>
              <w:ind w:left="-20" w:right="-20"/>
              <w:rPr>
                <w:rFonts w:ascii="Calibri" w:eastAsia="Calibri" w:hAnsi="Calibri" w:cs="Calibri"/>
                <w:b w:val="0"/>
              </w:rPr>
            </w:pPr>
            <w:r w:rsidRPr="008F3DA3">
              <w:rPr>
                <w:rFonts w:ascii="Calibri" w:eastAsia="Calibri" w:hAnsi="Calibri" w:cs="Calibri"/>
                <w:b w:val="0"/>
              </w:rPr>
              <w:t>Ringartefakter</w:t>
            </w:r>
          </w:p>
        </w:tc>
        <w:tc>
          <w:tcPr>
            <w:tcW w:w="0" w:type="auto"/>
          </w:tcPr>
          <w:p w:rsidR="00EC626A" w:rsidP="00576150" w14:paraId="4C480A5D" w14:textId="77777777">
            <w:pPr>
              <w:shd w:val="clear" w:color="auto" w:fill="FFFFFF" w:themeFill="background1"/>
              <w:ind w:left="-20" w:right="-20"/>
              <w:rPr>
                <w:rFonts w:ascii="Calibri" w:eastAsia="Calibri" w:hAnsi="Calibri" w:cs="Calibri"/>
              </w:rPr>
            </w:pPr>
            <w:r w:rsidRPr="263E654C">
              <w:rPr>
                <w:rFonts w:ascii="Calibri" w:eastAsia="Calibri" w:hAnsi="Calibri" w:cs="Calibri"/>
              </w:rPr>
              <w:t xml:space="preserve">Ring </w:t>
            </w:r>
            <w:r w:rsidRPr="263E654C">
              <w:rPr>
                <w:rFonts w:ascii="Calibri" w:eastAsia="Calibri" w:hAnsi="Calibri" w:cs="Calibri"/>
              </w:rPr>
              <w:t>Artifacts</w:t>
            </w:r>
          </w:p>
        </w:tc>
        <w:tc>
          <w:tcPr>
            <w:tcW w:w="0" w:type="auto"/>
          </w:tcPr>
          <w:p w:rsidR="00EC626A" w:rsidP="00576150" w14:paraId="02C27020" w14:textId="77777777">
            <w:pPr>
              <w:shd w:val="clear" w:color="auto" w:fill="FFFFFF" w:themeFill="background1"/>
              <w:ind w:left="-20" w:right="-20"/>
              <w:rPr>
                <w:rFonts w:ascii="Calibri" w:eastAsia="Calibri" w:hAnsi="Calibri" w:cs="Calibri"/>
              </w:rPr>
            </w:pPr>
            <w:r w:rsidRPr="263E654C">
              <w:rPr>
                <w:rFonts w:ascii="Calibri" w:eastAsia="Calibri" w:hAnsi="Calibri" w:cs="Calibri"/>
              </w:rPr>
              <w:t>Kalibreringsproblemer med en eller flere detektorer</w:t>
            </w:r>
          </w:p>
        </w:tc>
        <w:tc>
          <w:tcPr>
            <w:tcW w:w="0" w:type="auto"/>
          </w:tcPr>
          <w:p w:rsidR="00EC626A" w:rsidP="00576150" w14:paraId="78542309" w14:textId="77777777">
            <w:pPr>
              <w:shd w:val="clear" w:color="auto" w:fill="FFFFFF" w:themeFill="background1"/>
              <w:ind w:left="-20" w:right="-20"/>
              <w:rPr>
                <w:rFonts w:ascii="Calibri" w:eastAsia="Calibri" w:hAnsi="Calibri" w:cs="Calibri"/>
              </w:rPr>
            </w:pPr>
            <w:r w:rsidRPr="263E654C">
              <w:rPr>
                <w:rFonts w:ascii="Calibri" w:eastAsia="Calibri" w:hAnsi="Calibri" w:cs="Calibri"/>
              </w:rPr>
              <w:t>Kalibrere eller erstatte problematisk detektor</w:t>
            </w:r>
          </w:p>
        </w:tc>
      </w:tr>
      <w:tr w14:paraId="0DAB0F13" w14:textId="77777777" w:rsidTr="00EC626A">
        <w:tblPrEx>
          <w:tblW w:w="0" w:type="auto"/>
          <w:tblLook w:val="06A0"/>
        </w:tblPrEx>
        <w:trPr>
          <w:trHeight w:val="300"/>
        </w:trPr>
        <w:tc>
          <w:tcPr>
            <w:tcW w:w="0" w:type="auto"/>
          </w:tcPr>
          <w:p w:rsidR="00EC626A" w:rsidRPr="008F3DA3" w:rsidP="00576150" w14:paraId="42D138E5" w14:textId="77777777">
            <w:pPr>
              <w:shd w:val="clear" w:color="auto" w:fill="FFFFFF" w:themeFill="background1"/>
              <w:ind w:left="-20" w:right="-20"/>
              <w:rPr>
                <w:rFonts w:ascii="Calibri" w:eastAsia="Calibri" w:hAnsi="Calibri" w:cs="Calibri"/>
                <w:b w:val="0"/>
              </w:rPr>
            </w:pPr>
            <w:r w:rsidRPr="008F3DA3">
              <w:rPr>
                <w:rFonts w:ascii="Calibri" w:eastAsia="Calibri" w:hAnsi="Calibri" w:cs="Calibri"/>
                <w:b w:val="0"/>
              </w:rPr>
              <w:t>Rørbueartefakter</w:t>
            </w:r>
          </w:p>
        </w:tc>
        <w:tc>
          <w:tcPr>
            <w:tcW w:w="0" w:type="auto"/>
          </w:tcPr>
          <w:p w:rsidR="00EC626A" w:rsidP="00576150" w14:paraId="6F807EC2" w14:textId="77777777">
            <w:pPr>
              <w:shd w:val="clear" w:color="auto" w:fill="FFFFFF" w:themeFill="background1"/>
              <w:ind w:left="-20" w:right="-20"/>
              <w:rPr>
                <w:rFonts w:ascii="Calibri" w:eastAsia="Calibri" w:hAnsi="Calibri" w:cs="Calibri"/>
              </w:rPr>
            </w:pPr>
            <w:r w:rsidRPr="263E654C">
              <w:rPr>
                <w:rFonts w:ascii="Calibri" w:eastAsia="Calibri" w:hAnsi="Calibri" w:cs="Calibri"/>
              </w:rPr>
              <w:t xml:space="preserve">Tube </w:t>
            </w:r>
            <w:r w:rsidRPr="263E654C">
              <w:rPr>
                <w:rFonts w:ascii="Calibri" w:eastAsia="Calibri" w:hAnsi="Calibri" w:cs="Calibri"/>
              </w:rPr>
              <w:t>Arcing</w:t>
            </w:r>
          </w:p>
        </w:tc>
        <w:tc>
          <w:tcPr>
            <w:tcW w:w="0" w:type="auto"/>
          </w:tcPr>
          <w:p w:rsidR="00EC626A" w:rsidP="00576150" w14:paraId="2F8BC2F3" w14:textId="77777777">
            <w:pPr>
              <w:shd w:val="clear" w:color="auto" w:fill="FFFFFF" w:themeFill="background1"/>
              <w:ind w:left="-20" w:right="-20"/>
              <w:rPr>
                <w:rFonts w:ascii="Calibri" w:eastAsia="Calibri" w:hAnsi="Calibri" w:cs="Calibri"/>
              </w:rPr>
            </w:pPr>
            <w:r w:rsidRPr="263E654C">
              <w:rPr>
                <w:rFonts w:ascii="Calibri" w:eastAsia="Calibri" w:hAnsi="Calibri" w:cs="Calibri"/>
              </w:rPr>
              <w:t>Tungstendamp</w:t>
            </w:r>
            <w:r w:rsidRPr="263E654C">
              <w:rPr>
                <w:rFonts w:ascii="Calibri" w:eastAsia="Calibri" w:hAnsi="Calibri" w:cs="Calibri"/>
              </w:rPr>
              <w:t xml:space="preserve"> fra e</w:t>
            </w:r>
            <w:r>
              <w:rPr>
                <w:rFonts w:ascii="Calibri" w:eastAsia="Calibri" w:hAnsi="Calibri" w:cs="Calibri"/>
              </w:rPr>
              <w:t>t</w:t>
            </w:r>
            <w:r w:rsidRPr="263E654C">
              <w:rPr>
                <w:rFonts w:ascii="Calibri" w:eastAsia="Calibri" w:hAnsi="Calibri" w:cs="Calibri"/>
              </w:rPr>
              <w:t xml:space="preserve"> gammel</w:t>
            </w:r>
            <w:r>
              <w:rPr>
                <w:rFonts w:ascii="Calibri" w:eastAsia="Calibri" w:hAnsi="Calibri" w:cs="Calibri"/>
              </w:rPr>
              <w:t xml:space="preserve">t </w:t>
            </w:r>
            <w:r w:rsidRPr="263E654C">
              <w:rPr>
                <w:rFonts w:ascii="Calibri" w:eastAsia="Calibri" w:hAnsi="Calibri" w:cs="Calibri"/>
              </w:rPr>
              <w:t>røntgenrør som avskjærer prosjektil-elektroner</w:t>
            </w:r>
          </w:p>
        </w:tc>
        <w:tc>
          <w:tcPr>
            <w:tcW w:w="0" w:type="auto"/>
          </w:tcPr>
          <w:p w:rsidR="00EC626A" w:rsidP="00576150" w14:paraId="1FC2C277" w14:textId="77777777">
            <w:pPr>
              <w:shd w:val="clear" w:color="auto" w:fill="FFFFFF" w:themeFill="background1"/>
              <w:ind w:left="-20" w:right="-20"/>
              <w:rPr>
                <w:rFonts w:ascii="Calibri" w:eastAsia="Calibri" w:hAnsi="Calibri" w:cs="Calibri"/>
              </w:rPr>
            </w:pPr>
            <w:r w:rsidRPr="263E654C">
              <w:rPr>
                <w:rFonts w:ascii="Calibri" w:eastAsia="Calibri" w:hAnsi="Calibri" w:cs="Calibri"/>
              </w:rPr>
              <w:t>Erstatte det gamle røntgenrøret</w:t>
            </w:r>
          </w:p>
        </w:tc>
      </w:tr>
      <w:tr w14:paraId="6D2935C9" w14:textId="77777777" w:rsidTr="00EC626A">
        <w:tblPrEx>
          <w:tblW w:w="0" w:type="auto"/>
          <w:tblLook w:val="06A0"/>
        </w:tblPrEx>
        <w:trPr>
          <w:trHeight w:val="300"/>
        </w:trPr>
        <w:tc>
          <w:tcPr>
            <w:tcW w:w="0" w:type="auto"/>
          </w:tcPr>
          <w:p w:rsidR="00EC626A" w:rsidRPr="008F3DA3" w:rsidP="00576150" w14:paraId="766DF615" w14:textId="77777777">
            <w:pPr>
              <w:shd w:val="clear" w:color="auto" w:fill="FFFFFF" w:themeFill="background1"/>
              <w:ind w:left="-20" w:right="-20"/>
              <w:rPr>
                <w:rFonts w:ascii="Calibri" w:eastAsia="Calibri" w:hAnsi="Calibri" w:cs="Calibri"/>
                <w:b w:val="0"/>
              </w:rPr>
            </w:pPr>
            <w:r w:rsidRPr="008F3DA3">
              <w:rPr>
                <w:rFonts w:ascii="Calibri" w:eastAsia="Calibri" w:hAnsi="Calibri" w:cs="Calibri"/>
                <w:b w:val="0"/>
              </w:rPr>
              <w:t xml:space="preserve">Linje i </w:t>
            </w:r>
            <w:r>
              <w:rPr>
                <w:rFonts w:ascii="Calibri" w:eastAsia="Calibri" w:hAnsi="Calibri" w:cs="Calibri"/>
                <w:b w:val="0"/>
              </w:rPr>
              <w:t>t</w:t>
            </w:r>
            <w:r w:rsidRPr="008F3DA3">
              <w:rPr>
                <w:rFonts w:ascii="Calibri" w:eastAsia="Calibri" w:hAnsi="Calibri" w:cs="Calibri"/>
                <w:b w:val="0"/>
              </w:rPr>
              <w:t>opogram</w:t>
            </w:r>
          </w:p>
        </w:tc>
        <w:tc>
          <w:tcPr>
            <w:tcW w:w="0" w:type="auto"/>
          </w:tcPr>
          <w:p w:rsidR="00EC626A" w:rsidP="00576150" w14:paraId="73868DF2" w14:textId="77777777">
            <w:pPr>
              <w:shd w:val="clear" w:color="auto" w:fill="FFFFFF" w:themeFill="background1"/>
              <w:ind w:left="-20" w:right="-20"/>
              <w:rPr>
                <w:rFonts w:ascii="Calibri" w:eastAsia="Calibri" w:hAnsi="Calibri" w:cs="Calibri"/>
              </w:rPr>
            </w:pPr>
            <w:r w:rsidRPr="263E654C">
              <w:rPr>
                <w:rFonts w:ascii="Calibri" w:eastAsia="Calibri" w:hAnsi="Calibri" w:cs="Calibri"/>
              </w:rPr>
              <w:t xml:space="preserve">Line in </w:t>
            </w:r>
            <w:r w:rsidRPr="263E654C">
              <w:rPr>
                <w:rFonts w:ascii="Calibri" w:eastAsia="Calibri" w:hAnsi="Calibri" w:cs="Calibri"/>
              </w:rPr>
              <w:t>Topogram</w:t>
            </w:r>
          </w:p>
        </w:tc>
        <w:tc>
          <w:tcPr>
            <w:tcW w:w="0" w:type="auto"/>
          </w:tcPr>
          <w:p w:rsidR="00EC626A" w:rsidP="00576150" w14:paraId="0C0062BF" w14:textId="77777777">
            <w:pPr>
              <w:shd w:val="clear" w:color="auto" w:fill="FFFFFF" w:themeFill="background1"/>
              <w:ind w:left="-20" w:right="-20"/>
              <w:rPr>
                <w:rFonts w:ascii="Calibri" w:eastAsia="Calibri" w:hAnsi="Calibri" w:cs="Calibri"/>
              </w:rPr>
            </w:pPr>
            <w:r w:rsidRPr="263E654C">
              <w:rPr>
                <w:rFonts w:ascii="Calibri" w:eastAsia="Calibri" w:hAnsi="Calibri" w:cs="Calibri"/>
              </w:rPr>
              <w:t>En dårlig detektor</w:t>
            </w:r>
          </w:p>
        </w:tc>
        <w:tc>
          <w:tcPr>
            <w:tcW w:w="0" w:type="auto"/>
          </w:tcPr>
          <w:p w:rsidR="00EC626A" w:rsidP="00576150" w14:paraId="05D8E72C" w14:textId="77777777">
            <w:pPr>
              <w:shd w:val="clear" w:color="auto" w:fill="FFFFFF" w:themeFill="background1"/>
              <w:ind w:left="-20" w:right="-20"/>
              <w:rPr>
                <w:rFonts w:ascii="Calibri" w:eastAsia="Calibri" w:hAnsi="Calibri" w:cs="Calibri"/>
              </w:rPr>
            </w:pPr>
            <w:r w:rsidRPr="263E654C">
              <w:rPr>
                <w:rFonts w:ascii="Calibri" w:eastAsia="Calibri" w:hAnsi="Calibri" w:cs="Calibri"/>
              </w:rPr>
              <w:t>Erstatte detektoren</w:t>
            </w:r>
          </w:p>
        </w:tc>
      </w:tr>
      <w:tr w14:paraId="2269FE5E" w14:textId="77777777" w:rsidTr="00EC626A">
        <w:tblPrEx>
          <w:tblW w:w="0" w:type="auto"/>
          <w:tblLook w:val="06A0"/>
        </w:tblPrEx>
        <w:trPr>
          <w:trHeight w:val="300"/>
        </w:trPr>
        <w:tc>
          <w:tcPr>
            <w:tcW w:w="0" w:type="auto"/>
          </w:tcPr>
          <w:p w:rsidR="00EC626A" w:rsidRPr="008F3DA3" w:rsidP="00576150" w14:paraId="61013FB4" w14:textId="77777777">
            <w:pPr>
              <w:shd w:val="clear" w:color="auto" w:fill="FFFFFF" w:themeFill="background1"/>
              <w:ind w:left="-20" w:right="-20"/>
              <w:rPr>
                <w:rFonts w:ascii="Calibri" w:eastAsia="Calibri" w:hAnsi="Calibri" w:cs="Calibri"/>
                <w:b w:val="0"/>
              </w:rPr>
            </w:pPr>
            <w:r w:rsidRPr="008F3DA3">
              <w:rPr>
                <w:rFonts w:ascii="Calibri" w:eastAsia="Calibri" w:hAnsi="Calibri" w:cs="Calibri"/>
                <w:b w:val="0"/>
              </w:rPr>
              <w:t>Trappetrinnsartefakter</w:t>
            </w:r>
          </w:p>
        </w:tc>
        <w:tc>
          <w:tcPr>
            <w:tcW w:w="0" w:type="auto"/>
          </w:tcPr>
          <w:p w:rsidR="00EC626A" w:rsidP="00576150" w14:paraId="07F5B496" w14:textId="77777777">
            <w:pPr>
              <w:shd w:val="clear" w:color="auto" w:fill="FFFFFF" w:themeFill="background1"/>
              <w:ind w:left="-20" w:right="-20"/>
              <w:rPr>
                <w:rFonts w:ascii="Calibri" w:eastAsia="Calibri" w:hAnsi="Calibri" w:cs="Calibri"/>
              </w:rPr>
            </w:pPr>
            <w:r w:rsidRPr="263E654C">
              <w:rPr>
                <w:rFonts w:ascii="Calibri" w:eastAsia="Calibri" w:hAnsi="Calibri" w:cs="Calibri"/>
              </w:rPr>
              <w:t>Staircase</w:t>
            </w:r>
          </w:p>
        </w:tc>
        <w:tc>
          <w:tcPr>
            <w:tcW w:w="0" w:type="auto"/>
          </w:tcPr>
          <w:p w:rsidR="00EC626A" w:rsidP="00576150" w14:paraId="781D89F3" w14:textId="77777777">
            <w:pPr>
              <w:shd w:val="clear" w:color="auto" w:fill="FFFFFF" w:themeFill="background1"/>
              <w:ind w:left="-20" w:right="-20"/>
              <w:rPr>
                <w:rFonts w:ascii="Calibri" w:eastAsia="Calibri" w:hAnsi="Calibri" w:cs="Calibri"/>
              </w:rPr>
            </w:pPr>
            <w:r w:rsidRPr="263E654C">
              <w:rPr>
                <w:rFonts w:ascii="Calibri" w:eastAsia="Calibri" w:hAnsi="Calibri" w:cs="Calibri"/>
              </w:rPr>
              <w:t xml:space="preserve">Feil valg av </w:t>
            </w:r>
            <w:r w:rsidRPr="263E654C">
              <w:rPr>
                <w:rFonts w:ascii="Calibri" w:eastAsia="Calibri" w:hAnsi="Calibri" w:cs="Calibri"/>
              </w:rPr>
              <w:t>snittykkelse</w:t>
            </w:r>
            <w:r w:rsidRPr="263E654C">
              <w:rPr>
                <w:rFonts w:ascii="Calibri" w:eastAsia="Calibri" w:hAnsi="Calibri" w:cs="Calibri"/>
              </w:rPr>
              <w:t xml:space="preserve"> og -inkrementering</w:t>
            </w:r>
          </w:p>
        </w:tc>
        <w:tc>
          <w:tcPr>
            <w:tcW w:w="0" w:type="auto"/>
          </w:tcPr>
          <w:p w:rsidR="00EC626A" w:rsidP="00576150" w14:paraId="2042169B" w14:textId="77777777">
            <w:pPr>
              <w:shd w:val="clear" w:color="auto" w:fill="FFFFFF" w:themeFill="background1"/>
              <w:ind w:left="-20" w:right="-20"/>
              <w:rPr>
                <w:rFonts w:ascii="Calibri" w:eastAsia="Calibri" w:hAnsi="Calibri" w:cs="Calibri"/>
              </w:rPr>
            </w:pPr>
            <w:r w:rsidRPr="263E654C">
              <w:rPr>
                <w:rFonts w:ascii="Calibri" w:eastAsia="Calibri" w:hAnsi="Calibri" w:cs="Calibri"/>
              </w:rPr>
              <w:t xml:space="preserve">Bruke tynne snitt og riktig overlapp </w:t>
            </w:r>
            <w:r w:rsidRPr="530F870D">
              <w:rPr>
                <w:rFonts w:ascii="Calibri" w:eastAsia="Calibri" w:hAnsi="Calibri" w:cs="Calibri"/>
              </w:rPr>
              <w:t xml:space="preserve">mellom </w:t>
            </w:r>
            <w:r w:rsidRPr="31F9624A">
              <w:rPr>
                <w:rFonts w:ascii="Calibri" w:eastAsia="Calibri" w:hAnsi="Calibri" w:cs="Calibri"/>
              </w:rPr>
              <w:t>snittene.</w:t>
            </w:r>
          </w:p>
        </w:tc>
      </w:tr>
    </w:tbl>
    <w:p w:rsidR="00EC626A" w:rsidP="00EC626A" w14:paraId="57502F9E" w14:textId="77777777"/>
    <w:p w:rsidR="00EC626A" w:rsidP="00EC626A" w14:paraId="3A3FA793" w14:textId="77777777">
      <w:pPr>
        <w:pStyle w:val="Heading3"/>
        <w:numPr>
          <w:ilvl w:val="2"/>
          <w:numId w:val="2"/>
        </w:numPr>
        <w:tabs>
          <w:tab w:val="num" w:pos="703"/>
        </w:tabs>
        <w:ind w:left="567" w:hanging="567"/>
      </w:pPr>
      <w:r>
        <w:t>Metallartefakter</w:t>
      </w:r>
    </w:p>
    <w:p w:rsidR="00EC626A" w:rsidRPr="005B7D79" w:rsidP="00EC626A" w14:paraId="370C90D0" w14:textId="4113401B">
      <w:pPr>
        <w:rPr>
          <w:bCs/>
        </w:rPr>
      </w:pPr>
      <w:r>
        <w:t xml:space="preserve">Metallimplantater kan forårsake betydelig forvrengning i CT-bildene i form av striper eller stjernemønstre, og i enkelte tilfeller vil det kunne hindre bruk av gunstige feltvinkler i doseplanleggingen og at pasienten kan behandles med protonterapi. Håndtering av metall er beskrevet i et separat dokument: </w:t>
      </w:r>
      <w:hyperlink r:id="rId9" w:tooltip="XDF78847" w:history="1">
        <w:r w:rsidRPr="0008660E" w:rsidR="0008660E">
          <w:rPr>
            <w:rStyle w:val="Hyperlink"/>
          </w:rPr>
          <w:fldChar w:fldCharType="begin" w:fldLock="1"/>
        </w:r>
        <w:r w:rsidRPr="0008660E" w:rsidR="0008660E">
          <w:rPr>
            <w:rStyle w:val="Hyperlink"/>
          </w:rPr>
          <w:instrText xml:space="preserve"> DOCPROPERTY XDT78847 *charformat * MERGEFORMAT </w:instrText>
        </w:r>
        <w:r w:rsidRPr="0008660E" w:rsidR="0008660E">
          <w:rPr>
            <w:rStyle w:val="Hyperlink"/>
          </w:rPr>
          <w:fldChar w:fldCharType="separate"/>
        </w:r>
        <w:r w:rsidRPr="0008660E" w:rsidR="0008660E">
          <w:rPr>
            <w:rStyle w:val="Hyperlink"/>
          </w:rPr>
          <w:t>Håndtering av implantat og artefakter ved protonbehandling</w:t>
        </w:r>
        <w:r w:rsidRPr="0008660E" w:rsidR="0008660E">
          <w:rPr>
            <w:rStyle w:val="Hyperlink"/>
          </w:rPr>
          <w:fldChar w:fldCharType="end"/>
        </w:r>
      </w:hyperlink>
      <w:r>
        <w:t>.</w:t>
      </w:r>
      <w:r w:rsidRPr="005B7D79">
        <w:t xml:space="preserve"> </w:t>
      </w:r>
      <w:r>
        <w:t>V</w:t>
      </w:r>
      <w:r w:rsidRPr="005B7D79">
        <w:t xml:space="preserve">i fokuserer her på </w:t>
      </w:r>
      <w:r>
        <w:t xml:space="preserve">hvordan </w:t>
      </w:r>
      <w:r w:rsidRPr="005B7D79">
        <w:t>artefaktene</w:t>
      </w:r>
      <w:r>
        <w:t xml:space="preserve"> kan reduseres:</w:t>
      </w:r>
    </w:p>
    <w:p w:rsidR="00EC626A" w:rsidP="00EC626A" w14:paraId="781C504E" w14:textId="77777777">
      <w:pPr>
        <w:pStyle w:val="ListParagraph"/>
        <w:numPr>
          <w:ilvl w:val="0"/>
          <w:numId w:val="4"/>
        </w:numPr>
        <w:spacing w:after="200" w:line="276" w:lineRule="auto"/>
        <w:rPr>
          <w:rFonts w:ascii="Calibri" w:eastAsia="Calibri" w:hAnsi="Calibri" w:cs="Calibri"/>
        </w:rPr>
      </w:pPr>
      <w:r w:rsidRPr="76F1FCEA">
        <w:rPr>
          <w:rFonts w:ascii="Calibri" w:eastAsia="Calibri" w:hAnsi="Calibri" w:cs="Calibri"/>
        </w:rPr>
        <w:t>Manuell</w:t>
      </w:r>
      <w:r w:rsidRPr="2595B8F0">
        <w:rPr>
          <w:rFonts w:ascii="Calibri" w:eastAsia="Calibri" w:hAnsi="Calibri" w:cs="Calibri"/>
        </w:rPr>
        <w:t xml:space="preserve"> overskriving </w:t>
      </w:r>
      <w:r w:rsidRPr="76F1FCEA">
        <w:rPr>
          <w:rFonts w:ascii="Calibri" w:eastAsia="Calibri" w:hAnsi="Calibri" w:cs="Calibri"/>
        </w:rPr>
        <w:t xml:space="preserve">av HU-verdier kan brukes i </w:t>
      </w:r>
      <w:r w:rsidRPr="2595B8F0">
        <w:rPr>
          <w:rFonts w:ascii="Calibri" w:eastAsia="Calibri" w:hAnsi="Calibri" w:cs="Calibri"/>
        </w:rPr>
        <w:t>brukes i områder der pasienter har metalliske implantater av kjent innhold, som hofteproteser, tannfyllinger, eller kirurgiske klips.</w:t>
      </w:r>
    </w:p>
    <w:p w:rsidR="00EC626A" w:rsidP="00EC626A" w14:paraId="7141AAE2" w14:textId="77777777">
      <w:pPr>
        <w:pStyle w:val="ListParagraph"/>
        <w:numPr>
          <w:ilvl w:val="0"/>
          <w:numId w:val="4"/>
        </w:numPr>
        <w:spacing w:after="200" w:line="276" w:lineRule="auto"/>
        <w:rPr>
          <w:rFonts w:ascii="Calibri" w:eastAsia="Calibri" w:hAnsi="Calibri" w:cs="Calibri"/>
        </w:rPr>
      </w:pPr>
      <w:r w:rsidRPr="2595B8F0">
        <w:rPr>
          <w:rFonts w:ascii="Calibri" w:eastAsia="Calibri" w:hAnsi="Calibri" w:cs="Calibri"/>
        </w:rPr>
        <w:t>Physics-based</w:t>
      </w:r>
      <w:r w:rsidRPr="2595B8F0">
        <w:rPr>
          <w:rFonts w:ascii="Calibri" w:eastAsia="Calibri" w:hAnsi="Calibri" w:cs="Calibri"/>
        </w:rPr>
        <w:t xml:space="preserve"> Pre-</w:t>
      </w:r>
      <w:r w:rsidRPr="2595B8F0">
        <w:rPr>
          <w:rFonts w:ascii="Calibri" w:eastAsia="Calibri" w:hAnsi="Calibri" w:cs="Calibri"/>
        </w:rPr>
        <w:t>processing</w:t>
      </w:r>
      <w:r w:rsidRPr="2595B8F0">
        <w:rPr>
          <w:rFonts w:ascii="Calibri" w:eastAsia="Calibri" w:hAnsi="Calibri" w:cs="Calibri"/>
        </w:rPr>
        <w:t xml:space="preserve"> - Fysikkbaserte teknikker </w:t>
      </w:r>
      <w:r>
        <w:rPr>
          <w:rFonts w:ascii="Calibri" w:eastAsia="Calibri" w:hAnsi="Calibri" w:cs="Calibri"/>
        </w:rPr>
        <w:t xml:space="preserve">som </w:t>
      </w:r>
      <w:r w:rsidRPr="2595B8F0">
        <w:rPr>
          <w:rFonts w:ascii="Calibri" w:eastAsia="Calibri" w:hAnsi="Calibri" w:cs="Calibri"/>
        </w:rPr>
        <w:t xml:space="preserve">modellerer årsaker til metallartefakter, som støy og </w:t>
      </w:r>
      <w:r>
        <w:rPr>
          <w:rFonts w:ascii="Calibri" w:eastAsia="Calibri" w:hAnsi="Calibri" w:cs="Calibri"/>
        </w:rPr>
        <w:t>beam hardening</w:t>
      </w:r>
      <w:r w:rsidRPr="2595B8F0">
        <w:rPr>
          <w:rFonts w:ascii="Calibri" w:eastAsia="Calibri" w:hAnsi="Calibri" w:cs="Calibri"/>
        </w:rPr>
        <w:t xml:space="preserve">, for å korrigere data før rekonstruksjon. Dette gjøres ofte før rekonstruksjon, men kan også </w:t>
      </w:r>
      <w:r w:rsidRPr="2595B8F0">
        <w:rPr>
          <w:rFonts w:ascii="Calibri" w:eastAsia="Calibri" w:hAnsi="Calibri" w:cs="Calibri"/>
        </w:rPr>
        <w:t>integreres</w:t>
      </w:r>
      <w:r w:rsidRPr="2595B8F0">
        <w:rPr>
          <w:rFonts w:ascii="Calibri" w:eastAsia="Calibri" w:hAnsi="Calibri" w:cs="Calibri"/>
        </w:rPr>
        <w:t xml:space="preserve"> i iterative algoritmer.</w:t>
      </w:r>
    </w:p>
    <w:p w:rsidR="00EC626A" w:rsidP="00EC626A" w14:paraId="7F458553" w14:textId="77777777">
      <w:pPr>
        <w:pStyle w:val="ListParagraph"/>
        <w:numPr>
          <w:ilvl w:val="0"/>
          <w:numId w:val="4"/>
        </w:numPr>
        <w:spacing w:after="200" w:line="276" w:lineRule="auto"/>
        <w:rPr>
          <w:rFonts w:ascii="Calibri" w:eastAsia="Calibri" w:hAnsi="Calibri" w:cs="Calibri"/>
        </w:rPr>
      </w:pPr>
      <w:r w:rsidRPr="0F6A1B97">
        <w:rPr>
          <w:rFonts w:ascii="Calibri" w:eastAsia="Calibri" w:hAnsi="Calibri" w:cs="Calibri"/>
        </w:rPr>
        <w:t xml:space="preserve">Iterativt metallartefakt reduksjon </w:t>
      </w:r>
      <w:r>
        <w:rPr>
          <w:rFonts w:ascii="Calibri" w:eastAsia="Calibri" w:hAnsi="Calibri" w:cs="Calibri"/>
        </w:rPr>
        <w:t>(I</w:t>
      </w:r>
      <w:r w:rsidRPr="0F6A1B97">
        <w:rPr>
          <w:rFonts w:ascii="Calibri" w:eastAsia="Calibri" w:hAnsi="Calibri" w:cs="Calibri"/>
        </w:rPr>
        <w:t>MAR</w:t>
      </w:r>
      <w:r>
        <w:rPr>
          <w:rFonts w:ascii="Calibri" w:eastAsia="Calibri" w:hAnsi="Calibri" w:cs="Calibri"/>
        </w:rPr>
        <w:t>)</w:t>
      </w:r>
      <w:r w:rsidRPr="0F6A1B97">
        <w:rPr>
          <w:rFonts w:ascii="Calibri" w:eastAsia="Calibri" w:hAnsi="Calibri" w:cs="Calibri"/>
        </w:rPr>
        <w:t xml:space="preserve"> minimerer metallartefakter i CT-bilder </w:t>
      </w:r>
      <w:r w:rsidRPr="6EFC7D92">
        <w:rPr>
          <w:rFonts w:ascii="Calibri" w:eastAsia="Calibri" w:hAnsi="Calibri" w:cs="Calibri"/>
        </w:rPr>
        <w:t>for</w:t>
      </w:r>
      <w:r w:rsidRPr="0F6A1B97">
        <w:rPr>
          <w:rFonts w:ascii="Calibri" w:eastAsia="Calibri" w:hAnsi="Calibri" w:cs="Calibri"/>
        </w:rPr>
        <w:t xml:space="preserve"> å forbedre </w:t>
      </w:r>
      <w:r w:rsidRPr="6EFC7D92">
        <w:rPr>
          <w:rFonts w:ascii="Calibri" w:eastAsia="Calibri" w:hAnsi="Calibri" w:cs="Calibri"/>
        </w:rPr>
        <w:t xml:space="preserve">bildekvaliteten. Det er likevel mulig at </w:t>
      </w:r>
      <w:r>
        <w:rPr>
          <w:rFonts w:ascii="Calibri" w:eastAsia="Calibri" w:hAnsi="Calibri" w:cs="Calibri"/>
        </w:rPr>
        <w:t>I</w:t>
      </w:r>
      <w:r w:rsidRPr="6EFC7D92">
        <w:rPr>
          <w:rFonts w:ascii="Calibri" w:eastAsia="Calibri" w:hAnsi="Calibri" w:cs="Calibri"/>
        </w:rPr>
        <w:t>MAR kan føre til feil andre steder i bildet. Derfor anbefales det å alltid sammenligne de korrigerte bildene med originalene.</w:t>
      </w:r>
    </w:p>
    <w:p w:rsidR="00EC626A" w:rsidP="00EC626A" w14:paraId="2918D0A4" w14:textId="77777777">
      <w:pPr>
        <w:pStyle w:val="ListParagraph"/>
        <w:numPr>
          <w:ilvl w:val="0"/>
          <w:numId w:val="4"/>
        </w:numPr>
        <w:spacing w:after="200" w:line="276" w:lineRule="auto"/>
        <w:rPr>
          <w:rFonts w:ascii="Calibri" w:eastAsia="Calibri" w:hAnsi="Calibri" w:cs="Calibri"/>
        </w:rPr>
      </w:pPr>
      <w:r w:rsidRPr="005B7D79">
        <w:rPr>
          <w:rFonts w:ascii="Calibri" w:eastAsia="Calibri" w:hAnsi="Calibri" w:cs="Calibri"/>
        </w:rPr>
        <w:t>DECT:</w:t>
      </w:r>
      <w:r w:rsidRPr="2595B8F0">
        <w:rPr>
          <w:rFonts w:ascii="Calibri" w:eastAsia="Calibri" w:hAnsi="Calibri" w:cs="Calibri"/>
        </w:rPr>
        <w:t xml:space="preserve"> Ett av bildene </w:t>
      </w:r>
      <w:r>
        <w:rPr>
          <w:rFonts w:ascii="Calibri" w:eastAsia="Calibri" w:hAnsi="Calibri" w:cs="Calibri"/>
        </w:rPr>
        <w:t>tas</w:t>
      </w:r>
      <w:r w:rsidRPr="2595B8F0">
        <w:rPr>
          <w:rFonts w:ascii="Calibri" w:eastAsia="Calibri" w:hAnsi="Calibri" w:cs="Calibri"/>
        </w:rPr>
        <w:t xml:space="preserve"> med høy energi, noe som forbedrer gjennomtrengningen av fotoner gjennom metallet.</w:t>
      </w:r>
    </w:p>
    <w:p w:rsidR="00EC626A" w:rsidP="00EC626A" w14:paraId="3808F76C" w14:textId="77777777">
      <w:pPr>
        <w:pStyle w:val="Heading3"/>
        <w:numPr>
          <w:ilvl w:val="2"/>
          <w:numId w:val="2"/>
        </w:numPr>
        <w:tabs>
          <w:tab w:val="num" w:pos="703"/>
        </w:tabs>
        <w:ind w:left="567" w:hanging="567"/>
      </w:pPr>
      <w:r>
        <w:t>Luft</w:t>
      </w:r>
    </w:p>
    <w:p w:rsidR="00EC626A" w:rsidRPr="005B7D79" w:rsidP="00EC626A" w14:paraId="4B08CDE3" w14:textId="77777777">
      <w:pPr>
        <w:rPr>
          <w:bCs/>
        </w:rPr>
      </w:pPr>
      <w:r>
        <w:t>Luftartefakter kan manifestere seg som mørke eller lyse områder som ikke er reell anatomi eller vevssammensetning. Luftartefakter kan være spesielt problematiske i områder hvor luft finnes naturlig, som i lungene eller tarmen</w:t>
      </w:r>
      <w:r>
        <w:t>.</w:t>
      </w:r>
      <w:r>
        <w:rPr>
          <w:b/>
        </w:rPr>
        <w:t xml:space="preserve"> </w:t>
      </w:r>
      <w:r w:rsidRPr="005B7D79">
        <w:rPr>
          <w:bCs/>
        </w:rPr>
        <w:t xml:space="preserve">Årsaker til </w:t>
      </w:r>
      <w:r>
        <w:t>l</w:t>
      </w:r>
      <w:r w:rsidRPr="005B7D79">
        <w:t>uftartefakter</w:t>
      </w:r>
      <w:r>
        <w:rPr>
          <w:bCs/>
        </w:rPr>
        <w:t xml:space="preserve"> kan være:</w:t>
      </w:r>
    </w:p>
    <w:p w:rsidR="00EC626A" w:rsidRPr="008C12F6" w:rsidP="00EC626A" w14:paraId="2BCF6DA2" w14:textId="77777777">
      <w:pPr>
        <w:pStyle w:val="ListParagraph"/>
        <w:numPr>
          <w:ilvl w:val="0"/>
          <w:numId w:val="5"/>
        </w:numPr>
        <w:spacing w:after="200" w:line="276" w:lineRule="auto"/>
      </w:pPr>
      <w:r w:rsidRPr="005B7D79">
        <w:t>Høy kontrastforskjell</w:t>
      </w:r>
      <w:r>
        <w:t>: Luft har betydelig lavere tetthet sammenlignet med omkringliggende vev eller væsker, noe som fører til store kontrastforskjeller på CT-bildene.</w:t>
      </w:r>
    </w:p>
    <w:p w:rsidR="00EC626A" w:rsidRPr="008C12F6" w:rsidP="00EC626A" w14:paraId="4FADB678" w14:textId="77777777">
      <w:pPr>
        <w:pStyle w:val="ListParagraph"/>
        <w:numPr>
          <w:ilvl w:val="0"/>
          <w:numId w:val="5"/>
        </w:numPr>
        <w:spacing w:after="200" w:line="276" w:lineRule="auto"/>
      </w:pPr>
      <w:r w:rsidRPr="005B7D79">
        <w:t>Skarpe grenser</w:t>
      </w:r>
      <w:r>
        <w:t xml:space="preserve">: Overganger mellom luft og vev eller væske er ofte veldig skarpe, noe som kan føre til artefakter på grunn av </w:t>
      </w:r>
      <w:r>
        <w:t>delvolumseffekter</w:t>
      </w:r>
      <w:r>
        <w:t xml:space="preserve">, der en enkelt </w:t>
      </w:r>
      <w:r>
        <w:t>voxel</w:t>
      </w:r>
      <w:r>
        <w:t xml:space="preserve"> inneholder flere typer vev eller materialer.</w:t>
      </w:r>
    </w:p>
    <w:p w:rsidR="00EC626A" w:rsidRPr="00460EAA" w:rsidP="00EC626A" w14:paraId="563DF288" w14:textId="77777777">
      <w:pPr>
        <w:pStyle w:val="ListParagraph"/>
        <w:numPr>
          <w:ilvl w:val="0"/>
          <w:numId w:val="5"/>
        </w:numPr>
        <w:spacing w:after="200" w:line="276" w:lineRule="auto"/>
      </w:pPr>
      <w:r w:rsidRPr="005B7D79">
        <w:t>Respirasjonsbevegelser</w:t>
      </w:r>
      <w:r w:rsidRPr="008C12F6">
        <w:t xml:space="preserve">: I </w:t>
      </w:r>
      <w:r w:rsidRPr="008C12F6">
        <w:t>thorax</w:t>
      </w:r>
      <w:r>
        <w:t>- og abdominalområdene kan respirasjonsbevegelser føre til at luftbevegelser skaper uskarpe bilder eller artefakter.</w:t>
      </w:r>
    </w:p>
    <w:p w:rsidR="00EC626A" w:rsidP="00EC626A" w14:paraId="218E3C8D" w14:textId="77777777">
      <w:r>
        <w:t>Håndtering av luftartefakter:</w:t>
      </w:r>
    </w:p>
    <w:p w:rsidR="00EC626A" w:rsidP="00EC626A" w14:paraId="68B5AB56" w14:textId="77777777">
      <w:pPr>
        <w:pStyle w:val="ListParagraph"/>
        <w:numPr>
          <w:ilvl w:val="0"/>
          <w:numId w:val="6"/>
        </w:numPr>
        <w:spacing w:after="200" w:line="276" w:lineRule="auto"/>
      </w:pPr>
      <w:r>
        <w:t>Informasjon om prosedyren: Pasientforberedelse, som inkluderer diettinstruksjoner eller toalettbesøk før skanningen for å redusere mengden gass i mage-tarmkanalen, kan være effektivt for å redusere luftartefakter ved abdominal- og bekken-CT. Gi pasienten klare instruksjoner om å unngå unødvendige bevegelser under skanningen. Alternativt kan 4D-CT-teknikken brukes hvis planleggingsprosedyren tillater det.</w:t>
      </w:r>
    </w:p>
    <w:p w:rsidR="00EC626A" w:rsidP="00EC626A" w14:paraId="1C7AF256" w14:textId="77777777">
      <w:pPr>
        <w:pStyle w:val="ListParagraph"/>
        <w:numPr>
          <w:ilvl w:val="0"/>
          <w:numId w:val="6"/>
        </w:numPr>
        <w:spacing w:after="200" w:line="276" w:lineRule="auto"/>
      </w:pPr>
      <w:r>
        <w:t xml:space="preserve">Skanneparametere: Justere parametere som </w:t>
      </w:r>
      <w:r>
        <w:t>snittykkelse</w:t>
      </w:r>
      <w:r>
        <w:t xml:space="preserve"> og oppløsning for å redusere </w:t>
      </w:r>
      <w:r>
        <w:t>delvolumseffekter</w:t>
      </w:r>
      <w:r>
        <w:t>.</w:t>
      </w:r>
    </w:p>
    <w:p w:rsidR="00EC626A" w:rsidP="00EC626A" w14:paraId="33AF9CE4" w14:textId="77777777">
      <w:pPr>
        <w:pStyle w:val="ListParagraph"/>
        <w:numPr>
          <w:ilvl w:val="0"/>
          <w:numId w:val="6"/>
        </w:numPr>
        <w:spacing w:after="200" w:line="276" w:lineRule="auto"/>
      </w:pPr>
      <w:r>
        <w:t>Postprosessering av bilder: Bruke programvarealgoritmer for å redusere eller korrigere artefakter i etterkant av skanningen.</w:t>
      </w:r>
    </w:p>
    <w:p w:rsidR="00EC626A" w:rsidP="00EC626A" w14:paraId="7322B3E3" w14:textId="77777777">
      <w:pPr>
        <w:pStyle w:val="Heading2"/>
      </w:pPr>
      <w:r>
        <w:t>Kontroll-CT</w:t>
      </w:r>
    </w:p>
    <w:p w:rsidR="00EC626A" w:rsidRPr="004E13FE" w:rsidP="00EC626A" w14:paraId="155BFC3C" w14:textId="77777777">
      <w:pPr>
        <w:rPr>
          <w:b/>
          <w:bCs/>
        </w:rPr>
      </w:pPr>
      <w:r>
        <w:t xml:space="preserve">Det vil være stort behov for kontroll-CT-skanninger underveis i behandlingsforløpet for å undersøke endringer i dose som oppstår ved anatomiske endringer, spesielt ved oppstart av en ny diagnose. Om disse protokollene skal være like omfattende som CT for doseplan må bestemmes i diagnosegruppene. </w:t>
      </w:r>
    </w:p>
    <w:p w:rsidR="00EC626A" w:rsidP="00EC626A" w14:paraId="04E84B83" w14:textId="77777777">
      <w:r>
        <w:t xml:space="preserve">Reberegning av dosefordelingen på </w:t>
      </w:r>
      <w:r>
        <w:t>cone</w:t>
      </w:r>
      <w:r>
        <w:t xml:space="preserve"> beam CT (CBCT) benyttes i stor grad som kontrollmetode innen </w:t>
      </w:r>
      <w:r>
        <w:t>fotonterapi</w:t>
      </w:r>
      <w:r>
        <w:t xml:space="preserve">. Mye støy, og dårlig HU-stabilitet gjør denne metoden mindre egnet for protonterapi. Ved god kvalitet på CBCT-skanninger kan man i stedet vurdere å bruke disse til å </w:t>
      </w:r>
      <w:r>
        <w:t>generere</w:t>
      </w:r>
      <w:r>
        <w:t xml:space="preserve"> en syntetisk CT for å raskt kunne kontrollere dosefordelingen. Det finnes ulike strategier for å lage syntetisk CT, og feltet er i stor utvikling </w:t>
      </w:r>
      <w:sdt>
        <w:sdtPr>
          <w:id w:val="-1107502179"/>
          <w:citation/>
        </w:sdtPr>
        <w:sdtContent>
          <w:r>
            <w:fldChar w:fldCharType="begin"/>
          </w:r>
          <w:r>
            <w:instrText xml:space="preserve">CITATION Har21 \m Val20 \l 1044 </w:instrText>
          </w:r>
          <w:r>
            <w:fldChar w:fldCharType="separate"/>
          </w:r>
          <w:r w:rsidRPr="00180E81">
            <w:rPr>
              <w:noProof/>
            </w:rPr>
            <w:t>[21, 22]</w:t>
          </w:r>
          <w:r>
            <w:fldChar w:fldCharType="end"/>
          </w:r>
        </w:sdtContent>
      </w:sdt>
      <w:r>
        <w:t xml:space="preserve">. </w:t>
      </w:r>
    </w:p>
    <w:p w:rsidR="00EC626A" w:rsidP="00EC626A" w14:paraId="7B94317E" w14:textId="77777777"/>
    <w:p w:rsidR="00EC626A" w:rsidRPr="00277058" w:rsidP="00EC626A" w14:paraId="5EA59F87" w14:textId="77777777">
      <w:pPr>
        <w:pStyle w:val="Heading2"/>
      </w:pPr>
      <w:r w:rsidRPr="00180E81">
        <w:t>Kvalitetskontroll</w:t>
      </w:r>
    </w:p>
    <w:p w:rsidR="00EC626A" w:rsidP="00EC626A" w14:paraId="12E5EE10" w14:textId="77777777">
      <w:r>
        <w:t xml:space="preserve">Regelmessig planlagt vedlikehold og kvalitetssikringstesting er nødvendig for å holde feil innenfor de angitte usikkerhetene for doseplanlegging som var gitt ved kommisjonering. Spesiell oppmerksomhet bør rettes mot CT-bildeparametere, som uniformitet av HU-verdier og støy i bildet, som kan påvirke rekkeviddeusikkerheten av protonstrålen </w:t>
      </w:r>
      <w:sdt>
        <w:sdtPr>
          <w:id w:val="198524572"/>
          <w:citation/>
        </w:sdtPr>
        <w:sdtContent>
          <w:r>
            <w:fldChar w:fldCharType="begin"/>
          </w:r>
          <w:r>
            <w:instrText xml:space="preserve"> CITATION AAPM \l 1044 </w:instrText>
          </w:r>
          <w:r>
            <w:fldChar w:fldCharType="separate"/>
          </w:r>
          <w:r w:rsidRPr="00180E81">
            <w:rPr>
              <w:noProof/>
            </w:rPr>
            <w:t>[23]</w:t>
          </w:r>
          <w:r>
            <w:fldChar w:fldCharType="end"/>
          </w:r>
        </w:sdtContent>
      </w:sdt>
      <w:r>
        <w:t xml:space="preserve">. Vi anbefaler at fysikere med kompetanse på kvalitetskontroll av CT tar seg av dette, mens fysikere som jobber med strålebehandling kan gjøre oppmåling og kontroll av HLUT. Kontroll av HLUT bør gjøres årlig og ellers ved endringer i de kliniske protokollene. </w:t>
      </w:r>
    </w:p>
    <w:p w:rsidR="00EC626A" w:rsidP="00EC626A" w14:paraId="19EAA47F" w14:textId="77777777">
      <w:r>
        <w:t xml:space="preserve">Oslo og Bergen skal kjøpe hvert sitt kalibreringsfantom. Man kan nyttiggjøre seg dette ved å gjøre </w:t>
      </w:r>
      <w:r>
        <w:t>audits</w:t>
      </w:r>
      <w:r>
        <w:t xml:space="preserve"> for hverandre.</w:t>
      </w:r>
    </w:p>
    <w:p w:rsidR="00EC626A" w:rsidP="00EC626A" w14:paraId="2E448F1F" w14:textId="77777777"/>
    <w:p w:rsidR="00EC626A" w:rsidP="00EC626A" w14:paraId="59B556F4" w14:textId="77777777">
      <w:pPr>
        <w:pStyle w:val="Heading1"/>
      </w:pPr>
      <w:r>
        <w:t>MR</w:t>
      </w:r>
    </w:p>
    <w:p w:rsidR="00EC626A" w:rsidP="00EC626A" w14:paraId="1CD5BF09" w14:textId="77777777">
      <w:r>
        <w:t xml:space="preserve">MR tatt i behandlingsposisjon kan </w:t>
      </w:r>
      <w:r>
        <w:t>ko</w:t>
      </w:r>
      <w:r>
        <w:t xml:space="preserve">-registreres til CT for doseplan. Dette kan bidra til å redusere variasjonen i inntegning av målvolum eller risikoorgan mellom onkologer, da MR gir bedre bløtvevskontrast enn CT. De generelle anbefalingene i denne rapporten er i stor grad hentet fra en nederlandsk rapport om kvalitetssikring ved bruk av MR for stråleterapi </w:t>
      </w:r>
      <w:sdt>
        <w:sdtPr>
          <w:id w:val="-1103484457"/>
          <w:citation/>
        </w:sdtPr>
        <w:sdtContent>
          <w:r>
            <w:fldChar w:fldCharType="begin"/>
          </w:r>
          <w:r>
            <w:instrText xml:space="preserve"> CITATION Net23 \l 1044 </w:instrText>
          </w:r>
          <w:r>
            <w:fldChar w:fldCharType="separate"/>
          </w:r>
          <w:r w:rsidRPr="00180E81">
            <w:rPr>
              <w:noProof/>
            </w:rPr>
            <w:t>[24]</w:t>
          </w:r>
          <w:r>
            <w:fldChar w:fldCharType="end"/>
          </w:r>
        </w:sdtContent>
      </w:sdt>
      <w:r>
        <w:t>.</w:t>
      </w:r>
    </w:p>
    <w:p w:rsidR="00EC626A" w:rsidP="00EC626A" w14:paraId="2B3A264B" w14:textId="77777777"/>
    <w:p w:rsidR="00EC626A" w:rsidP="00EC626A" w14:paraId="4F0E816E" w14:textId="77777777">
      <w:pPr>
        <w:pStyle w:val="Heading2"/>
      </w:pPr>
      <w:r w:rsidRPr="00180E81">
        <w:t>Protokoller</w:t>
      </w:r>
    </w:p>
    <w:p w:rsidR="00EC626A" w:rsidP="00EC626A" w14:paraId="7A882589" w14:textId="77777777">
      <w:r>
        <w:t xml:space="preserve">Det anbefales å benytte dedikerte MR protokoller for stråleterapi, utviklet i samarbeid mellom alle relevante yrkesgrupper. </w:t>
      </w:r>
    </w:p>
    <w:p w:rsidR="00EC626A" w:rsidP="00EC626A" w14:paraId="5414EB09" w14:textId="77777777">
      <w:r>
        <w:t xml:space="preserve">Pasientposisjonering bør være så lik doseplan CT som mulig, med likt fikseringsutstyr og flat bordtopp </w:t>
      </w:r>
      <w:sdt>
        <w:sdtPr>
          <w:id w:val="-647132807"/>
          <w:citation/>
        </w:sdtPr>
        <w:sdtContent>
          <w:r>
            <w:fldChar w:fldCharType="begin"/>
          </w:r>
          <w:r>
            <w:instrText xml:space="preserve"> CITATION Sch15 \l 1044  \m van19</w:instrText>
          </w:r>
          <w:r>
            <w:fldChar w:fldCharType="separate"/>
          </w:r>
          <w:r w:rsidRPr="00180E81">
            <w:rPr>
              <w:noProof/>
            </w:rPr>
            <w:t>[25, 26]</w:t>
          </w:r>
          <w:r>
            <w:fldChar w:fldCharType="end"/>
          </w:r>
        </w:sdtContent>
      </w:sdt>
      <w:r>
        <w:t xml:space="preserve">. Ved bruk av overflateskanning på CT må pasienten i tillegg markeres for innstilling ved hjelp av laser, slik at rotasjonsforskjeller minimeres. Overflateskanning er ikke tilgjengelig på MR. Det er anbefalt å plassere området som skal avbildes i isosenter av MR skanneren, der magnetfeltet er mest homogent og graden av geometriske distorsjoner er minst. MR spoler eller hørselsvern må ikke deformere pasientens ytterkontur dersom målvolumet ligger nærme hud. Pasienten bør følge blære og diettprotokoller på lik linje som ved CT og strålebehandling. </w:t>
      </w:r>
    </w:p>
    <w:p w:rsidR="00EC626A" w:rsidP="00EC626A" w14:paraId="41899242" w14:textId="77777777">
      <w:r>
        <w:t xml:space="preserve">Diagnostiske protokoller er generelt optimalisert for lavt signal-støyforhold (SNR), noe som kan gå på bekostning av geometrisk nøyaktighet. MR bildene for stråleterapi bør 3D korrigeres for å redusere geometriske forvrengninger </w:t>
      </w:r>
      <w:sdt>
        <w:sdtPr>
          <w:id w:val="-209571610"/>
          <w:citation/>
        </w:sdtPr>
        <w:sdtContent>
          <w:r>
            <w:fldChar w:fldCharType="begin"/>
          </w:r>
          <w:r>
            <w:instrText xml:space="preserve"> CITATION Gus16 \l 1044 </w:instrText>
          </w:r>
          <w:r>
            <w:fldChar w:fldCharType="separate"/>
          </w:r>
          <w:r w:rsidRPr="00180E81">
            <w:rPr>
              <w:noProof/>
            </w:rPr>
            <w:t>[27]</w:t>
          </w:r>
          <w:r>
            <w:fldChar w:fldCharType="end"/>
          </w:r>
        </w:sdtContent>
      </w:sdt>
      <w:r>
        <w:t xml:space="preserve">. CT og CBCT er alltid i ortogonale plan i stråleterapi, med transversale snitt. Det er derfor anbefalt for nøyaktig inntegning og registrering å benytte lik orientering ved MR. Vinklede snitt må utøves med forsiktighet. Volumopptak med isotrope </w:t>
      </w:r>
      <w:r>
        <w:t>voxler</w:t>
      </w:r>
      <w:r>
        <w:t>, uten vinkling og med “</w:t>
      </w:r>
      <w:r>
        <w:t>no</w:t>
      </w:r>
      <w:r>
        <w:t xml:space="preserve"> gap” kan bidra til mer presis registrering mot planleggings-CT </w:t>
      </w:r>
      <w:sdt>
        <w:sdtPr>
          <w:id w:val="1463996986"/>
          <w:citation/>
        </w:sdtPr>
        <w:sdtContent>
          <w:r>
            <w:fldChar w:fldCharType="begin"/>
          </w:r>
          <w:r>
            <w:instrText xml:space="preserve"> CITATION Gus16 \l 1044 </w:instrText>
          </w:r>
          <w:r>
            <w:fldChar w:fldCharType="separate"/>
          </w:r>
          <w:r w:rsidRPr="00180E81">
            <w:rPr>
              <w:noProof/>
            </w:rPr>
            <w:t>[27]</w:t>
          </w:r>
          <w:r>
            <w:fldChar w:fldCharType="end"/>
          </w:r>
        </w:sdtContent>
      </w:sdt>
      <w:r>
        <w:t xml:space="preserve">. En god registrering til CT krever videre at </w:t>
      </w:r>
      <w:r>
        <w:t>FoV</w:t>
      </w:r>
      <w:r>
        <w:t xml:space="preserve"> er stort nok til å inkludere viktige landmerker, og kan derfor ikke kun </w:t>
      </w:r>
      <w:r>
        <w:t>fokusere</w:t>
      </w:r>
      <w:r>
        <w:t xml:space="preserve"> på målvolum-området, slik tilfellet kan være for diagnostiske bilder. Deform registrering mellom CT og MR er generelt ikke anbefalt, da det per dags dato ikke er mulig å gjøre tilstrekkelig kvalitetskontroll av slike registreringer. </w:t>
      </w:r>
    </w:p>
    <w:p w:rsidR="00EC626A" w:rsidP="00EC626A" w14:paraId="55BCCD96" w14:textId="77777777">
      <w:r>
        <w:t xml:space="preserve">Vi anbefaler å bruke MR protokollene som er utviklet lokalt for stråleterapi, men tilpasset de nye maskinene. Opptakene er hovedsakelig spinn ekko baserte sekvenser (SE /TSE). Protokollene i tabellen er hentet fra Haukeland- og Oslo Universitetssykehus </w:t>
      </w:r>
      <w:r>
        <w:rPr>
          <w:rFonts w:ascii="Calibri" w:eastAsia="Calibri" w:hAnsi="Calibri" w:cs="Calibri"/>
        </w:rPr>
        <w:t xml:space="preserve">vinteren </w:t>
      </w:r>
      <w:r w:rsidRPr="1B3DCAF9">
        <w:rPr>
          <w:rFonts w:ascii="Calibri" w:eastAsia="Calibri" w:hAnsi="Calibri" w:cs="Calibri"/>
        </w:rPr>
        <w:t>2024</w:t>
      </w:r>
      <w:r>
        <w:rPr>
          <w:rFonts w:ascii="Calibri" w:eastAsia="Calibri" w:hAnsi="Calibri" w:cs="Calibri"/>
        </w:rPr>
        <w:t xml:space="preserve">, og gjelder diagnosene som i første omgang kan være aktuelle for protonplanlegging. Det er laget ytterligere protokoller for bekken (prostata, gynekologisk og </w:t>
      </w:r>
      <w:r>
        <w:rPr>
          <w:rFonts w:ascii="Calibri" w:eastAsia="Calibri" w:hAnsi="Calibri" w:cs="Calibri"/>
        </w:rPr>
        <w:t>vesica</w:t>
      </w:r>
      <w:r>
        <w:rPr>
          <w:rFonts w:ascii="Calibri" w:eastAsia="Calibri" w:hAnsi="Calibri" w:cs="Calibri"/>
        </w:rPr>
        <w:t>) ved HUS og OUS.</w:t>
      </w:r>
    </w:p>
    <w:tbl>
      <w:tblPr>
        <w:tblStyle w:val="GridTable1LightAccent1"/>
        <w:tblW w:w="0" w:type="auto"/>
        <w:tblLook w:val="04A0"/>
      </w:tblPr>
      <w:tblGrid>
        <w:gridCol w:w="1581"/>
        <w:gridCol w:w="2823"/>
        <w:gridCol w:w="2267"/>
        <w:gridCol w:w="2390"/>
      </w:tblGrid>
      <w:tr w14:paraId="07AE8D4B" w14:textId="77777777" w:rsidTr="00EC626A">
        <w:tblPrEx>
          <w:tblW w:w="0" w:type="auto"/>
          <w:tblLook w:val="04A0"/>
        </w:tblPrEx>
        <w:trPr>
          <w:trHeight w:val="340"/>
        </w:trPr>
        <w:tc>
          <w:tcPr>
            <w:tcW w:w="0" w:type="auto"/>
          </w:tcPr>
          <w:p w:rsidR="00EC626A" w:rsidRPr="000B0273" w:rsidP="00576150" w14:paraId="4727C4A4" w14:textId="77777777">
            <w:pPr>
              <w:spacing w:after="200" w:line="276" w:lineRule="auto"/>
              <w:rPr>
                <w:b w:val="0"/>
                <w:bCs w:val="0"/>
              </w:rPr>
            </w:pPr>
            <w:r w:rsidRPr="000B0273">
              <w:rPr>
                <w:b w:val="0"/>
                <w:bCs w:val="0"/>
              </w:rPr>
              <w:t>Anatomisk område</w:t>
            </w:r>
          </w:p>
        </w:tc>
        <w:tc>
          <w:tcPr>
            <w:tcW w:w="0" w:type="auto"/>
          </w:tcPr>
          <w:p w:rsidR="00EC626A" w:rsidRPr="000B0273" w:rsidP="00576150" w14:paraId="5BAF968D" w14:textId="77777777">
            <w:pPr>
              <w:rPr>
                <w:b w:val="0"/>
                <w:bCs w:val="0"/>
              </w:rPr>
            </w:pPr>
            <w:r w:rsidRPr="000B0273">
              <w:rPr>
                <w:b w:val="0"/>
                <w:bCs w:val="0"/>
              </w:rPr>
              <w:t>Vekting</w:t>
            </w:r>
          </w:p>
        </w:tc>
        <w:tc>
          <w:tcPr>
            <w:tcW w:w="0" w:type="auto"/>
          </w:tcPr>
          <w:p w:rsidR="00EC626A" w:rsidRPr="000B0273" w:rsidP="00576150" w14:paraId="7A2F8A4B" w14:textId="77777777">
            <w:pPr>
              <w:rPr>
                <w:b w:val="0"/>
                <w:bCs w:val="0"/>
              </w:rPr>
            </w:pPr>
            <w:r w:rsidRPr="000B0273">
              <w:rPr>
                <w:b w:val="0"/>
                <w:bCs w:val="0"/>
              </w:rPr>
              <w:t>Opptak</w:t>
            </w:r>
          </w:p>
        </w:tc>
        <w:tc>
          <w:tcPr>
            <w:tcW w:w="0" w:type="auto"/>
          </w:tcPr>
          <w:p w:rsidR="00EC626A" w:rsidRPr="000B0273" w:rsidP="00576150" w14:paraId="0CD94EBE" w14:textId="77777777">
            <w:pPr>
              <w:rPr>
                <w:b w:val="0"/>
                <w:bCs w:val="0"/>
              </w:rPr>
            </w:pPr>
            <w:r w:rsidRPr="000B0273">
              <w:rPr>
                <w:b w:val="0"/>
                <w:bCs w:val="0"/>
              </w:rPr>
              <w:t>Kontrast</w:t>
            </w:r>
            <w:r>
              <w:rPr>
                <w:b w:val="0"/>
                <w:bCs w:val="0"/>
              </w:rPr>
              <w:t xml:space="preserve"> (k)</w:t>
            </w:r>
          </w:p>
        </w:tc>
      </w:tr>
      <w:tr w14:paraId="0E466809" w14:textId="77777777" w:rsidTr="00EC626A">
        <w:tblPrEx>
          <w:tblW w:w="0" w:type="auto"/>
          <w:tblLook w:val="04A0"/>
        </w:tblPrEx>
        <w:trPr>
          <w:trHeight w:val="622"/>
        </w:trPr>
        <w:tc>
          <w:tcPr>
            <w:tcW w:w="0" w:type="auto"/>
          </w:tcPr>
          <w:p w:rsidR="00EC626A" w:rsidRPr="001E03F8" w:rsidP="00576150" w14:paraId="4E6F278C" w14:textId="77777777">
            <w:pPr>
              <w:rPr>
                <w:b w:val="0"/>
                <w:bCs w:val="0"/>
              </w:rPr>
            </w:pPr>
            <w:r w:rsidRPr="001E03F8">
              <w:rPr>
                <w:b w:val="0"/>
                <w:bCs w:val="0"/>
              </w:rPr>
              <w:t>CNS</w:t>
            </w:r>
          </w:p>
        </w:tc>
        <w:tc>
          <w:tcPr>
            <w:tcW w:w="0" w:type="auto"/>
          </w:tcPr>
          <w:p w:rsidR="00EC626A" w:rsidP="00576150" w14:paraId="194D13A2" w14:textId="77777777">
            <w:r>
              <w:t>T1+k</w:t>
            </w:r>
          </w:p>
        </w:tc>
        <w:tc>
          <w:tcPr>
            <w:tcW w:w="0" w:type="auto"/>
          </w:tcPr>
          <w:p w:rsidR="00EC626A" w:rsidP="00576150" w14:paraId="3CF6E54D" w14:textId="77777777">
            <w:r>
              <w:t>Sagittal</w:t>
            </w:r>
            <w:r>
              <w:t xml:space="preserve"> eller transversal </w:t>
            </w:r>
          </w:p>
        </w:tc>
        <w:tc>
          <w:tcPr>
            <w:tcW w:w="0" w:type="auto"/>
          </w:tcPr>
          <w:p w:rsidR="00EC626A" w:rsidP="00576150" w14:paraId="66C77E55" w14:textId="77777777">
            <w:r>
              <w:t>Gadolininium</w:t>
            </w:r>
          </w:p>
        </w:tc>
      </w:tr>
      <w:tr w14:paraId="31F86239" w14:textId="77777777" w:rsidTr="00EC626A">
        <w:tblPrEx>
          <w:tblW w:w="0" w:type="auto"/>
          <w:tblLook w:val="04A0"/>
        </w:tblPrEx>
        <w:trPr>
          <w:trHeight w:val="300"/>
        </w:trPr>
        <w:tc>
          <w:tcPr>
            <w:tcW w:w="0" w:type="auto"/>
          </w:tcPr>
          <w:p w:rsidR="00EC626A" w:rsidRPr="001E03F8" w:rsidP="00576150" w14:paraId="3E11DCFD" w14:textId="77777777">
            <w:pPr>
              <w:rPr>
                <w:b w:val="0"/>
                <w:bCs w:val="0"/>
              </w:rPr>
            </w:pPr>
            <w:r w:rsidRPr="001E03F8">
              <w:rPr>
                <w:b w:val="0"/>
                <w:bCs w:val="0"/>
              </w:rPr>
              <w:t>ØNH</w:t>
            </w:r>
          </w:p>
        </w:tc>
        <w:tc>
          <w:tcPr>
            <w:tcW w:w="0" w:type="auto"/>
          </w:tcPr>
          <w:p w:rsidR="00EC626A" w:rsidP="00576150" w14:paraId="4E57A6D5" w14:textId="77777777">
            <w:r>
              <w:t>T2 og T1+k</w:t>
            </w:r>
          </w:p>
        </w:tc>
        <w:tc>
          <w:tcPr>
            <w:tcW w:w="0" w:type="auto"/>
          </w:tcPr>
          <w:p w:rsidR="00EC626A" w:rsidP="00576150" w14:paraId="13A819D1" w14:textId="77777777">
            <w:pPr>
              <w:rPr>
                <w:color w:val="548DD4" w:themeColor="text2" w:themeTint="99"/>
              </w:rPr>
            </w:pPr>
            <w:r>
              <w:t>Transversal og 3D</w:t>
            </w:r>
          </w:p>
        </w:tc>
        <w:tc>
          <w:tcPr>
            <w:tcW w:w="0" w:type="auto"/>
          </w:tcPr>
          <w:p w:rsidR="00EC626A" w:rsidP="00576150" w14:paraId="32F311A3" w14:textId="77777777">
            <w:r>
              <w:t>Gadolininium</w:t>
            </w:r>
          </w:p>
        </w:tc>
      </w:tr>
      <w:tr w14:paraId="715D18D9" w14:textId="77777777" w:rsidTr="00EC626A">
        <w:tblPrEx>
          <w:tblW w:w="0" w:type="auto"/>
          <w:tblLook w:val="04A0"/>
        </w:tblPrEx>
        <w:trPr>
          <w:trHeight w:val="300"/>
        </w:trPr>
        <w:tc>
          <w:tcPr>
            <w:tcW w:w="0" w:type="auto"/>
          </w:tcPr>
          <w:p w:rsidR="00EC626A" w:rsidRPr="001E03F8" w:rsidP="00576150" w14:paraId="20DCED8A" w14:textId="77777777">
            <w:pPr>
              <w:rPr>
                <w:b w:val="0"/>
                <w:bCs w:val="0"/>
              </w:rPr>
            </w:pPr>
            <w:r w:rsidRPr="001E03F8">
              <w:rPr>
                <w:b w:val="0"/>
                <w:bCs w:val="0"/>
              </w:rPr>
              <w:t>Stereotaksi skjelett</w:t>
            </w:r>
          </w:p>
        </w:tc>
        <w:tc>
          <w:tcPr>
            <w:tcW w:w="0" w:type="auto"/>
          </w:tcPr>
          <w:p w:rsidR="00EC626A" w:rsidP="00576150" w14:paraId="56918FE3" w14:textId="77777777">
            <w:r>
              <w:rPr>
                <w:color w:val="FF0000"/>
              </w:rPr>
              <w:t>T1 + evt. k og T2</w:t>
            </w:r>
            <w:r w:rsidRPr="78EEA452">
              <w:rPr>
                <w:color w:val="FF0000"/>
              </w:rPr>
              <w:t xml:space="preserve"> </w:t>
            </w:r>
            <w:r w:rsidRPr="78EEA452">
              <w:t>(</w:t>
            </w:r>
            <w:r w:rsidRPr="00370BD4">
              <w:rPr>
                <w:color w:val="548DD4" w:themeColor="text2" w:themeTint="99"/>
              </w:rPr>
              <w:t>MV</w:t>
            </w:r>
            <w:r>
              <w:rPr>
                <w:color w:val="FF0000"/>
              </w:rPr>
              <w:t xml:space="preserve"> </w:t>
            </w:r>
            <w:r w:rsidRPr="3E3BF6EF">
              <w:t>og</w:t>
            </w:r>
            <w:r>
              <w:rPr>
                <w:color w:val="FF0000"/>
              </w:rPr>
              <w:t xml:space="preserve"> spinal cord</w:t>
            </w:r>
            <w:r w:rsidRPr="78EEA452">
              <w:t>),</w:t>
            </w:r>
            <w:r>
              <w:rPr>
                <w:color w:val="FF0000"/>
              </w:rPr>
              <w:t xml:space="preserve"> </w:t>
            </w:r>
            <w:r w:rsidRPr="009D4C3A">
              <w:rPr>
                <w:color w:val="FF0000"/>
              </w:rPr>
              <w:t>STIR</w:t>
            </w:r>
            <w:r>
              <w:rPr>
                <w:color w:val="FF0000"/>
              </w:rPr>
              <w:t xml:space="preserve"> </w:t>
            </w:r>
            <w:r w:rsidRPr="78EEA452">
              <w:t>og</w:t>
            </w:r>
            <w:r>
              <w:rPr>
                <w:color w:val="FF0000"/>
              </w:rPr>
              <w:t xml:space="preserve"> </w:t>
            </w:r>
            <w:r w:rsidRPr="00370BD4">
              <w:rPr>
                <w:color w:val="548DD4" w:themeColor="text2" w:themeTint="99"/>
              </w:rPr>
              <w:t>diffusjon</w:t>
            </w:r>
            <w:r>
              <w:rPr>
                <w:color w:val="548DD4" w:themeColor="text2" w:themeTint="99"/>
              </w:rPr>
              <w:t xml:space="preserve"> (MV)</w:t>
            </w:r>
          </w:p>
        </w:tc>
        <w:tc>
          <w:tcPr>
            <w:tcW w:w="0" w:type="auto"/>
          </w:tcPr>
          <w:p w:rsidR="00EC626A" w:rsidP="00576150" w14:paraId="2949DF9E" w14:textId="77777777">
            <w:r>
              <w:t xml:space="preserve">Transversal, </w:t>
            </w:r>
            <w:r w:rsidRPr="5605356B">
              <w:t xml:space="preserve">3D </w:t>
            </w:r>
            <w:r w:rsidRPr="78EEA452">
              <w:t>og</w:t>
            </w:r>
            <w:r w:rsidRPr="7A8A74B3">
              <w:rPr>
                <w:color w:val="FF0000"/>
              </w:rPr>
              <w:t xml:space="preserve"> </w:t>
            </w:r>
            <w:r w:rsidRPr="00370BD4">
              <w:rPr>
                <w:color w:val="548DD4" w:themeColor="text2" w:themeTint="99"/>
              </w:rPr>
              <w:t>Sagittal</w:t>
            </w:r>
            <w:r w:rsidRPr="00370BD4">
              <w:rPr>
                <w:color w:val="548DD4" w:themeColor="text2" w:themeTint="99"/>
              </w:rPr>
              <w:t xml:space="preserve"> (telleserie)</w:t>
            </w:r>
          </w:p>
        </w:tc>
        <w:tc>
          <w:tcPr>
            <w:tcW w:w="0" w:type="auto"/>
          </w:tcPr>
          <w:p w:rsidR="00EC626A" w:rsidP="00576150" w14:paraId="1214764F" w14:textId="77777777">
            <w:r>
              <w:t>Gadolininium</w:t>
            </w:r>
            <w:r>
              <w:t xml:space="preserve"> ved bløtdels-komponent</w:t>
            </w:r>
          </w:p>
          <w:p w:rsidR="00EC626A" w:rsidP="00576150" w14:paraId="360B7A3C" w14:textId="77777777"/>
        </w:tc>
      </w:tr>
      <w:tr w14:paraId="18174A46" w14:textId="77777777" w:rsidTr="00EC626A">
        <w:tblPrEx>
          <w:tblW w:w="0" w:type="auto"/>
          <w:tblLook w:val="04A0"/>
        </w:tblPrEx>
        <w:trPr>
          <w:trHeight w:val="300"/>
        </w:trPr>
        <w:tc>
          <w:tcPr>
            <w:tcW w:w="0" w:type="auto"/>
          </w:tcPr>
          <w:p w:rsidR="00EC626A" w:rsidRPr="001E03F8" w:rsidP="00576150" w14:paraId="1B8F40DC" w14:textId="77777777">
            <w:pPr>
              <w:rPr>
                <w:b w:val="0"/>
                <w:bCs w:val="0"/>
              </w:rPr>
            </w:pPr>
            <w:r w:rsidRPr="001E03F8">
              <w:rPr>
                <w:b w:val="0"/>
                <w:bCs w:val="0"/>
              </w:rPr>
              <w:t>Sarcom</w:t>
            </w:r>
          </w:p>
        </w:tc>
        <w:tc>
          <w:tcPr>
            <w:tcW w:w="0" w:type="auto"/>
          </w:tcPr>
          <w:p w:rsidR="00EC626A" w:rsidP="00576150" w14:paraId="61B7ED7E" w14:textId="77777777">
            <w:r>
              <w:t>T1 + evt. k og T2</w:t>
            </w:r>
          </w:p>
        </w:tc>
        <w:tc>
          <w:tcPr>
            <w:tcW w:w="0" w:type="auto"/>
          </w:tcPr>
          <w:p w:rsidR="00EC626A" w:rsidP="00576150" w14:paraId="681EF61A" w14:textId="77777777">
            <w:r>
              <w:t>Transversal og 3D</w:t>
            </w:r>
          </w:p>
        </w:tc>
        <w:tc>
          <w:tcPr>
            <w:tcW w:w="0" w:type="auto"/>
          </w:tcPr>
          <w:p w:rsidR="00EC626A" w:rsidP="00576150" w14:paraId="06D442E7" w14:textId="77777777">
            <w:r>
              <w:t>Gadolininium</w:t>
            </w:r>
          </w:p>
        </w:tc>
      </w:tr>
    </w:tbl>
    <w:p w:rsidR="00EC626A" w:rsidP="00EC626A" w14:paraId="5089154D" w14:textId="77777777">
      <w:r>
        <w:t xml:space="preserve">Tekst i </w:t>
      </w:r>
      <w:r w:rsidRPr="2B5BDC49">
        <w:rPr>
          <w:color w:val="FF0000"/>
        </w:rPr>
        <w:t>rødt</w:t>
      </w:r>
      <w:r>
        <w:t xml:space="preserve"> gjøres kun ved HUS, tekst i </w:t>
      </w:r>
      <w:r w:rsidRPr="2B5BDC49">
        <w:rPr>
          <w:color w:val="548DD4" w:themeColor="text2" w:themeTint="99"/>
        </w:rPr>
        <w:t>blått</w:t>
      </w:r>
      <w:r>
        <w:t xml:space="preserve"> gjøres kun ved RAD og OUS.</w:t>
      </w:r>
    </w:p>
    <w:p w:rsidR="00EC626A" w:rsidP="00EC626A" w14:paraId="3AD43DFF" w14:textId="77777777"/>
    <w:p w:rsidR="00EC626A" w:rsidP="00EC626A" w14:paraId="36031BD1" w14:textId="77777777">
      <w:pPr>
        <w:pStyle w:val="Heading2"/>
      </w:pPr>
      <w:r w:rsidRPr="00180E81">
        <w:t>Kvalitetskontroll</w:t>
      </w:r>
    </w:p>
    <w:p w:rsidR="00EC626A" w:rsidP="00EC626A" w14:paraId="304EE988" w14:textId="77777777">
      <w:r>
        <w:t xml:space="preserve">Kvalitetskontroll på MR utføres av fysiker eller radiograf med spesialkompetanse på MR. For å kunne bruke bildet til inntegning i stråleterapi, utføres ekstra kontroller for å verifisere korrekt geometri i bildet. Vi anbefaler at interne prosedyrer følger internasjonale anbefalinger med </w:t>
      </w:r>
      <w:r>
        <w:t>fokus</w:t>
      </w:r>
      <w:r>
        <w:t xml:space="preserve"> på bruk i stråleterapi </w:t>
      </w:r>
      <w:sdt>
        <w:sdtPr>
          <w:id w:val="537783011"/>
          <w:citation/>
        </w:sdtPr>
        <w:sdtContent>
          <w:r>
            <w:fldChar w:fldCharType="begin"/>
          </w:r>
          <w:r>
            <w:instrText>CITATION Net23 \l 1044  \m Gli21</w:instrText>
          </w:r>
          <w:r>
            <w:fldChar w:fldCharType="separate"/>
          </w:r>
          <w:r w:rsidRPr="00180E81">
            <w:rPr>
              <w:noProof/>
            </w:rPr>
            <w:t>[24, 28]</w:t>
          </w:r>
          <w:r>
            <w:fldChar w:fldCharType="end"/>
          </w:r>
        </w:sdtContent>
      </w:sdt>
      <w:r>
        <w:t xml:space="preserve">. De fleste testene behøver kun utføres etter vedlikehold eller oppdateringer, og inkluderer test av bildets uniformitet, </w:t>
      </w:r>
      <w:r>
        <w:t>ghosting</w:t>
      </w:r>
      <w:r>
        <w:t>, bilde-artefakter, gradient-relatert geometrisk forvrengning, resonans frekvens, RF transmisjons amplitude og orientering. Noen tester anbefales utført jevnlig, i tillegg til etter vedlikehold eller oppdateringer som kan påvirke dem. Disse inkluderer test av signal-støy-forhold, B</w:t>
      </w:r>
      <w:r>
        <w:rPr>
          <w:vertAlign w:val="subscript"/>
        </w:rPr>
        <w:t>0</w:t>
      </w:r>
      <w:r>
        <w:t>-homogenitet (</w:t>
      </w:r>
      <w:r>
        <w:t>shim</w:t>
      </w:r>
      <w:r>
        <w:t>) og kontroll av bordposisjon (dersom man tar opptak i flere bordposisjoner).</w:t>
      </w:r>
    </w:p>
    <w:p w:rsidR="00EC626A" w:rsidP="00EC626A" w14:paraId="77793AD0" w14:textId="77777777"/>
    <w:p w:rsidR="00EC626A" w:rsidP="00EC626A" w14:paraId="5E61E09E" w14:textId="77777777">
      <w:pPr>
        <w:pStyle w:val="Heading1"/>
      </w:pPr>
      <w:r>
        <w:t>PET</w:t>
      </w:r>
    </w:p>
    <w:p w:rsidR="00EC626A" w:rsidP="00EC626A" w14:paraId="6BF301E9" w14:textId="77777777">
      <w:pPr>
        <w:textAlignment w:val="baseline"/>
        <w:rPr>
          <w:rFonts w:ascii="Calibri" w:hAnsi="Calibri" w:cs="Calibri"/>
        </w:rPr>
      </w:pPr>
      <w:r w:rsidRPr="00754364">
        <w:rPr>
          <w:rFonts w:ascii="Calibri" w:hAnsi="Calibri" w:cs="Calibri"/>
        </w:rPr>
        <w:t>PET/CT og PET/MR kan brukes for å støtte inntegning av volumer. Dersom PET-modaliteten kun brukes som støtte til inntegning er det nyttig at det brukes eksisterende protokoller som er tilpasset den tilgjengelige maskinparken og ulike legegruppers behov. I de tilfellene man ønsker å bruke den tilhørende CT-serien direkte til doseplanlegging</w:t>
      </w:r>
      <w:r>
        <w:rPr>
          <w:rFonts w:ascii="Calibri" w:hAnsi="Calibri" w:cs="Calibri"/>
        </w:rPr>
        <w:t>,</w:t>
      </w:r>
      <w:r w:rsidRPr="00754364">
        <w:rPr>
          <w:rFonts w:ascii="Calibri" w:hAnsi="Calibri" w:cs="Calibri"/>
        </w:rPr>
        <w:t xml:space="preserve"> må det </w:t>
      </w:r>
      <w:r>
        <w:rPr>
          <w:rFonts w:ascii="Calibri" w:hAnsi="Calibri" w:cs="Calibri"/>
        </w:rPr>
        <w:t>finnes</w:t>
      </w:r>
      <w:r w:rsidRPr="00754364">
        <w:rPr>
          <w:rFonts w:ascii="Calibri" w:hAnsi="Calibri" w:cs="Calibri"/>
        </w:rPr>
        <w:t xml:space="preserve"> en SPR-kalibrering for individuell kurvetilpasning tilhørende PET/CT-systemet</w:t>
      </w:r>
      <w:r>
        <w:rPr>
          <w:rFonts w:ascii="Calibri" w:hAnsi="Calibri" w:cs="Calibri"/>
        </w:rPr>
        <w:t>, i tillegg til riktig fikseringsutstyr</w:t>
      </w:r>
      <w:r w:rsidRPr="00754364">
        <w:rPr>
          <w:rFonts w:ascii="Calibri" w:hAnsi="Calibri" w:cs="Calibri"/>
        </w:rPr>
        <w:t>.</w:t>
      </w:r>
      <w:r>
        <w:rPr>
          <w:rFonts w:ascii="Calibri" w:hAnsi="Calibri" w:cs="Calibri"/>
        </w:rPr>
        <w:t xml:space="preserve"> Det vil da være unødvendig å ta ny CT for doseplan.</w:t>
      </w:r>
      <w:r w:rsidRPr="00754364">
        <w:rPr>
          <w:rFonts w:ascii="Calibri" w:hAnsi="Calibri" w:cs="Calibri"/>
        </w:rPr>
        <w:t xml:space="preserve"> Det kan også være hensiktsmessig å sørge for at </w:t>
      </w:r>
      <w:r>
        <w:rPr>
          <w:rFonts w:ascii="Calibri" w:hAnsi="Calibri" w:cs="Calibri"/>
        </w:rPr>
        <w:t>PET/</w:t>
      </w:r>
      <w:r w:rsidRPr="00754364">
        <w:rPr>
          <w:rFonts w:ascii="Calibri" w:hAnsi="Calibri" w:cs="Calibri"/>
        </w:rPr>
        <w:t>CT-serien har eksponeringsparametere som i stor grad ligner på protokollene som brukes på CT</w:t>
      </w:r>
      <w:r>
        <w:rPr>
          <w:rFonts w:ascii="Calibri" w:hAnsi="Calibri" w:cs="Calibri"/>
        </w:rPr>
        <w:t xml:space="preserve"> for doseplan</w:t>
      </w:r>
      <w:r w:rsidRPr="00754364">
        <w:rPr>
          <w:rFonts w:ascii="Calibri" w:hAnsi="Calibri" w:cs="Calibri"/>
        </w:rPr>
        <w:t xml:space="preserve">. Noen leverandører kan ha løsninger for direkte SPR-beregning tilgjengelig på PET/CT-systemer, og disse kan benyttes på </w:t>
      </w:r>
      <w:r>
        <w:rPr>
          <w:rFonts w:ascii="Calibri" w:hAnsi="Calibri" w:cs="Calibri"/>
        </w:rPr>
        <w:t>samme måte som</w:t>
      </w:r>
      <w:r w:rsidRPr="00754364">
        <w:rPr>
          <w:rFonts w:ascii="Calibri" w:hAnsi="Calibri" w:cs="Calibri"/>
        </w:rPr>
        <w:t xml:space="preserve"> tilsvarende løsninger </w:t>
      </w:r>
      <w:r>
        <w:rPr>
          <w:rFonts w:ascii="Calibri" w:hAnsi="Calibri" w:cs="Calibri"/>
        </w:rPr>
        <w:t>tilgjengelig ved CT for doseplan</w:t>
      </w:r>
      <w:r w:rsidRPr="00754364">
        <w:rPr>
          <w:rFonts w:ascii="Calibri" w:hAnsi="Calibri" w:cs="Calibri"/>
        </w:rPr>
        <w:t>.  </w:t>
      </w:r>
    </w:p>
    <w:p w:rsidR="00EC626A" w:rsidRPr="00754364" w:rsidP="00EC626A" w14:paraId="649D32CA" w14:textId="77777777">
      <w:pPr>
        <w:textAlignment w:val="baseline"/>
        <w:rPr>
          <w:rFonts w:ascii="Segoe UI" w:hAnsi="Segoe UI" w:cs="Segoe UI"/>
          <w:sz w:val="18"/>
          <w:szCs w:val="18"/>
        </w:rPr>
      </w:pPr>
    </w:p>
    <w:p w:rsidR="00EC626A" w:rsidP="00EC626A" w14:paraId="7DB265FE" w14:textId="77777777">
      <w:pPr>
        <w:textAlignment w:val="baseline"/>
        <w:rPr>
          <w:rFonts w:ascii="Calibri" w:hAnsi="Calibri" w:cs="Calibri"/>
        </w:rPr>
      </w:pPr>
      <w:r w:rsidRPr="00754364">
        <w:rPr>
          <w:rFonts w:ascii="Calibri" w:hAnsi="Calibri" w:cs="Calibri"/>
        </w:rPr>
        <w:t>Dersom PET skal brukes som støtte til inntegning er det viktig å kontrollere fusjonering mellom doseplanleggings-CT og PET/CT.  Det vil også være fordelaktig dersom man har tilgang på samme fikseringsutstyr på PET/CT som på doseplanleggings-CT, slik at fusjoneringen blir best mulig.  </w:t>
      </w:r>
    </w:p>
    <w:p w:rsidR="00EC626A" w:rsidP="00EC626A" w14:paraId="3FFFAFB8" w14:textId="77777777">
      <w:pPr>
        <w:textAlignment w:val="baseline"/>
        <w:rPr>
          <w:rFonts w:ascii="Calibri" w:hAnsi="Calibri" w:cs="Calibri"/>
        </w:rPr>
      </w:pPr>
    </w:p>
    <w:p w:rsidR="00EC626A" w:rsidRPr="007B5EC3" w:rsidP="00EC626A" w14:paraId="4F04F5CB" w14:textId="77777777">
      <w:pPr>
        <w:pStyle w:val="Heading2"/>
        <w:rPr>
          <w:rFonts w:ascii="Calibri" w:hAnsi="Calibri" w:cs="Calibri"/>
          <w:sz w:val="22"/>
          <w:szCs w:val="22"/>
        </w:rPr>
      </w:pPr>
      <w:r w:rsidRPr="00180E81">
        <w:t>Kvalitetskontroll</w:t>
      </w:r>
      <w:r w:rsidRPr="212B0CB6">
        <w:t> </w:t>
      </w:r>
    </w:p>
    <w:p w:rsidR="00EC626A" w:rsidRPr="00754364" w:rsidP="00EC626A" w14:paraId="0C563F52" w14:textId="77777777">
      <w:pPr>
        <w:textAlignment w:val="baseline"/>
        <w:rPr>
          <w:rFonts w:ascii="Segoe UI" w:hAnsi="Segoe UI" w:cs="Segoe UI"/>
          <w:sz w:val="18"/>
          <w:szCs w:val="18"/>
        </w:rPr>
      </w:pPr>
      <w:r w:rsidRPr="00754364">
        <w:rPr>
          <w:rFonts w:ascii="Calibri" w:hAnsi="Calibri" w:cs="Calibri"/>
        </w:rPr>
        <w:t>Dersom PET-systemet kun brukes som en inntegningsstøtte</w:t>
      </w:r>
      <w:r>
        <w:rPr>
          <w:rFonts w:ascii="Calibri" w:hAnsi="Calibri" w:cs="Calibri"/>
        </w:rPr>
        <w:t>,</w:t>
      </w:r>
      <w:r w:rsidRPr="00754364">
        <w:rPr>
          <w:rFonts w:ascii="Calibri" w:hAnsi="Calibri" w:cs="Calibri"/>
        </w:rPr>
        <w:t xml:space="preserve"> vil det være nok at systemet følger en vanlig kvalitetskontrollrutine (som følger internasjonale anbefalinger) for både PET og CT. </w:t>
      </w:r>
      <w:r>
        <w:rPr>
          <w:rFonts w:ascii="Calibri" w:hAnsi="Calibri" w:cs="Calibri"/>
        </w:rPr>
        <w:t>Dersom</w:t>
      </w:r>
      <w:r w:rsidRPr="00754364">
        <w:rPr>
          <w:rFonts w:ascii="Calibri" w:hAnsi="Calibri" w:cs="Calibri"/>
        </w:rPr>
        <w:t xml:space="preserve"> CT brukes til doseplanlegging, kan det være nødvendig med ekstra oppfølging</w:t>
      </w:r>
      <w:r>
        <w:rPr>
          <w:rFonts w:ascii="Calibri" w:hAnsi="Calibri" w:cs="Calibri"/>
        </w:rPr>
        <w:t xml:space="preserve"> og </w:t>
      </w:r>
      <w:r w:rsidRPr="00754364">
        <w:rPr>
          <w:rFonts w:ascii="Calibri" w:hAnsi="Calibri" w:cs="Calibri"/>
        </w:rPr>
        <w:t>hyppigere</w:t>
      </w:r>
      <w:r>
        <w:rPr>
          <w:rFonts w:ascii="Calibri" w:hAnsi="Calibri" w:cs="Calibri"/>
        </w:rPr>
        <w:t xml:space="preserve"> </w:t>
      </w:r>
      <w:r w:rsidRPr="00754364">
        <w:rPr>
          <w:rFonts w:ascii="Calibri" w:hAnsi="Calibri" w:cs="Calibri"/>
        </w:rPr>
        <w:t>konstanskontroller</w:t>
      </w:r>
      <w:r>
        <w:rPr>
          <w:rFonts w:ascii="Calibri" w:hAnsi="Calibri" w:cs="Calibri"/>
        </w:rPr>
        <w:t>, i tillegg til regelmessig sjekk av SPR-kalibreringskurver.</w:t>
      </w:r>
    </w:p>
    <w:p w:rsidR="00EC626A" w:rsidP="00EC626A" w14:paraId="63C7E6B5" w14:textId="77777777"/>
    <w:p w:rsidR="00EC626A" w:rsidP="00EC626A" w14:paraId="06EA9742" w14:textId="77777777">
      <w:pPr>
        <w:pStyle w:val="Heading1"/>
      </w:pPr>
      <w:r w:rsidRPr="00180E81">
        <w:t>Studier</w:t>
      </w:r>
      <w:r>
        <w:t xml:space="preserve"> </w:t>
      </w:r>
    </w:p>
    <w:p w:rsidR="00EC626A" w:rsidP="00EC626A" w14:paraId="70B968DC" w14:textId="77777777">
      <w:r>
        <w:t>Med en målsetting om at 75% av pasientene som får protonterapi skal inngå i kliniske studier, vil behovet for ekstra bildeopptak være stort. Eksempelvis vil DAHANCA 35 kreve opp mot seks ekstra CT-skanninger per pasient</w:t>
      </w:r>
      <w:sdt>
        <w:sdtPr>
          <w:id w:val="-1877689490"/>
          <w:citation/>
        </w:sdtPr>
        <w:sdtContent>
          <w:r>
            <w:fldChar w:fldCharType="begin"/>
          </w:r>
          <w:r>
            <w:instrText xml:space="preserve"> CITATION Dan20 \l 1044 </w:instrText>
          </w:r>
          <w:r>
            <w:fldChar w:fldCharType="separate"/>
          </w:r>
          <w:r>
            <w:rPr>
              <w:noProof/>
            </w:rPr>
            <w:t xml:space="preserve"> </w:t>
          </w:r>
          <w:r w:rsidRPr="00180E81">
            <w:rPr>
              <w:noProof/>
            </w:rPr>
            <w:t>[29]</w:t>
          </w:r>
          <w:r>
            <w:fldChar w:fldCharType="end"/>
          </w:r>
        </w:sdtContent>
      </w:sdt>
      <w:r>
        <w:t xml:space="preserve">. </w:t>
      </w:r>
    </w:p>
    <w:p w:rsidR="00EC626A" w:rsidRPr="00EC626A" w:rsidP="00EC626A" w14:paraId="13F8AE5F" w14:textId="77777777">
      <w:pPr>
        <w:pStyle w:val="Heading1"/>
      </w:pPr>
      <w:r w:rsidRPr="00EC626A">
        <w:t>Tiltak</w:t>
      </w:r>
      <w:r w:rsidRPr="00EC626A">
        <w:rPr>
          <w:rStyle w:val="normaltextrun"/>
        </w:rPr>
        <w:t xml:space="preserve"> ved nedetid</w:t>
      </w:r>
      <w:r w:rsidRPr="00EC626A">
        <w:rPr>
          <w:rStyle w:val="eop"/>
        </w:rPr>
        <w:t> </w:t>
      </w:r>
    </w:p>
    <w:p w:rsidR="00EC626A" w:rsidP="00EC626A" w14:paraId="46461C1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Det anbefales at minst to CT-maskiner med nødvendig fikseringsutstyr har oppdaterte HLUT, slik at SPR-kalibrering er tilgjengelig ved nedetid på en av CT-maskinene.</w:t>
      </w:r>
    </w:p>
    <w:p w:rsidR="00EC626A" w:rsidP="00EC626A" w14:paraId="0AB0BDA8" w14:textId="77777777">
      <w:r>
        <w:t xml:space="preserve">Dersom pasienter skal flyttes mellom Oslo og Bergen ved nedetid på et av sentrene, ser vi for oss at dette kan løses uten at pasienten tar ny CT, ved at senteret som mottar pasienter importerer de relevante SPR-kalibreringskurvene. Dette forutsetter at identisk fikseringsutstyr er tilgjengelig, eller at det kan transporteres med pasienten (f.eks. masker). </w:t>
      </w:r>
    </w:p>
    <w:p w:rsidR="00EC626A" w:rsidRPr="000E5FFC" w:rsidP="00EC626A" w14:paraId="1719B4E1" w14:textId="77777777"/>
    <w:sdt>
      <w:sdtPr>
        <w:rPr>
          <w:rFonts w:eastAsia="SimSun" w:cstheme="minorBidi"/>
          <w:sz w:val="22"/>
          <w:szCs w:val="22"/>
        </w:rPr>
        <w:id w:val="-412322691"/>
        <w:docPartObj>
          <w:docPartGallery w:val="Bibliographies"/>
          <w:docPartUnique/>
        </w:docPartObj>
      </w:sdtPr>
      <w:sdtEndPr>
        <w:rPr>
          <w:rFonts w:eastAsia="Times New Roman" w:cs="Times New Roman"/>
          <w:b w:val="0"/>
          <w:sz w:val="24"/>
          <w:szCs w:val="20"/>
        </w:rPr>
      </w:sdtEndPr>
      <w:sdtContent>
        <w:p w:rsidR="00EC626A" w:rsidP="00EC626A" w14:paraId="39688FF4" w14:textId="77777777">
          <w:pPr>
            <w:pStyle w:val="Heading1"/>
          </w:pPr>
          <w:r w:rsidRPr="00180E81">
            <w:t>Referanser</w:t>
          </w:r>
        </w:p>
        <w:p w:rsidR="0008660E" w:rsidRPr="0008660E" w:rsidP="0008660E" w14:paraId="4946DCDA" w14:textId="77777777"/>
        <w:sdt>
          <w:sdtPr>
            <w:id w:val="126283027"/>
            <w:bibliography/>
          </w:sdtPr>
          <w:sdtContent>
            <w:p w:rsidR="0008660E" w:rsidP="00EC626A" w14:paraId="4E2364A1" w14:textId="37348F8B">
              <w:r>
                <w:t>Interne referanser</w:t>
              </w:r>
            </w:p>
            <w:p w:rsidR="0008660E" w:rsidP="00EC626A" w14:paraId="7F5DAAC2" w14:textId="65613CA3">
              <w:hyperlink r:id="rId9" w:tooltip="XDF78847" w:history="1">
                <w:r w:rsidRPr="0008660E">
                  <w:rPr>
                    <w:rStyle w:val="Hyperlink"/>
                  </w:rPr>
                  <w:fldChar w:fldCharType="begin" w:fldLock="1"/>
                </w:r>
                <w:r w:rsidRPr="0008660E">
                  <w:rPr>
                    <w:rStyle w:val="Hyperlink"/>
                  </w:rPr>
                  <w:instrText xml:space="preserve"> DOCPROPERTY XDL78847 *charformat * MERGEFORMAT </w:instrText>
                </w:r>
                <w:r w:rsidRPr="0008660E">
                  <w:rPr>
                    <w:rStyle w:val="Hyperlink"/>
                  </w:rPr>
                  <w:fldChar w:fldCharType="separate"/>
                </w:r>
                <w:r w:rsidRPr="0008660E">
                  <w:rPr>
                    <w:rStyle w:val="Hyperlink"/>
                  </w:rPr>
                  <w:t>3.1.2.5.9.4.1-09 Håndtering av implantat og artefakter ved protonbehandling</w:t>
                </w:r>
                <w:r w:rsidRPr="0008660E">
                  <w:rPr>
                    <w:rStyle w:val="Hyperlink"/>
                  </w:rPr>
                  <w:fldChar w:fldCharType="end"/>
                </w:r>
              </w:hyperlink>
              <w:r w:rsidRPr="0008660E">
                <w:t xml:space="preserve"> </w:t>
              </w:r>
            </w:p>
            <w:p w:rsidR="0008660E" w:rsidRPr="0008660E" w:rsidP="00EC626A" w14:paraId="27886918" w14:textId="77777777">
              <w:pPr>
                <w:rPr>
                  <w:rStyle w:val="Hyperlink"/>
                </w:rPr>
              </w:pPr>
            </w:p>
            <w:p w:rsidR="00EC626A" w:rsidP="00EC626A" w14:paraId="7B6746C6" w14:textId="2B1565A4">
              <w:pPr>
                <w:rPr>
                  <w:noProof/>
                </w:rPr>
              </w:pPr>
              <w:r>
                <w:t>Eksterne referanser</w:t>
              </w:r>
              <w:r>
                <w:fldChar w:fldCharType="begin"/>
              </w:r>
              <w:r>
                <w:instrText>BIBLIOGRAPHY</w:instrText>
              </w:r>
              <w:r>
                <w:fldChar w:fldCharType="separate"/>
              </w:r>
            </w:p>
            <w:tbl>
              <w:tblPr>
                <w:tblW w:w="5000" w:type="pct"/>
                <w:tblCellSpacing w:w="15" w:type="dxa"/>
                <w:tblCellMar>
                  <w:top w:w="15" w:type="dxa"/>
                  <w:left w:w="15" w:type="dxa"/>
                  <w:bottom w:w="15" w:type="dxa"/>
                  <w:right w:w="15" w:type="dxa"/>
                </w:tblCellMar>
                <w:tblLook w:val="04A0"/>
              </w:tblPr>
              <w:tblGrid>
                <w:gridCol w:w="466"/>
                <w:gridCol w:w="66"/>
                <w:gridCol w:w="8539"/>
              </w:tblGrid>
              <w:tr w14:paraId="694B196F" w14:textId="77777777" w:rsidTr="0008660E">
                <w:tblPrEx>
                  <w:tblW w:w="5000" w:type="pct"/>
                  <w:tblCellSpacing w:w="15" w:type="dxa"/>
                  <w:tblCellMar>
                    <w:top w:w="15" w:type="dxa"/>
                    <w:left w:w="15" w:type="dxa"/>
                    <w:bottom w:w="15" w:type="dxa"/>
                    <w:right w:w="15" w:type="dxa"/>
                  </w:tblCellMar>
                  <w:tblLook w:val="04A0"/>
                </w:tblPrEx>
                <w:trPr>
                  <w:tblCellSpacing w:w="15" w:type="dxa"/>
                </w:trPr>
                <w:tc>
                  <w:tcPr>
                    <w:tcW w:w="232" w:type="pct"/>
                    <w:hideMark/>
                  </w:tcPr>
                  <w:p w:rsidR="0008660E" w:rsidP="00576150" w14:paraId="4413108B" w14:textId="77777777">
                    <w:pPr>
                      <w:rPr>
                        <w:noProof/>
                        <w:szCs w:val="24"/>
                      </w:rPr>
                    </w:pPr>
                    <w:r>
                      <w:rPr>
                        <w:noProof/>
                      </w:rPr>
                      <w:t xml:space="preserve">[1] </w:t>
                    </w:r>
                  </w:p>
                </w:tc>
                <w:tc>
                  <w:tcPr>
                    <w:tcW w:w="20" w:type="pct"/>
                  </w:tcPr>
                  <w:p w:rsidR="0008660E" w:rsidRPr="00180E81" w:rsidP="00576150" w14:paraId="26B58AAD" w14:textId="77777777">
                    <w:pPr>
                      <w:rPr>
                        <w:noProof/>
                        <w:lang w:val="en-GB"/>
                      </w:rPr>
                    </w:pPr>
                  </w:p>
                </w:tc>
                <w:tc>
                  <w:tcPr>
                    <w:tcW w:w="4682" w:type="pct"/>
                    <w:hideMark/>
                  </w:tcPr>
                  <w:p w:rsidR="0008660E" w:rsidRPr="00180E81" w:rsidP="00576150" w14:paraId="2A6E6CA7" w14:textId="5F24ED6E">
                    <w:pPr>
                      <w:rPr>
                        <w:noProof/>
                        <w:lang w:val="en-GB"/>
                      </w:rPr>
                    </w:pPr>
                    <w:r w:rsidRPr="00180E81">
                      <w:rPr>
                        <w:noProof/>
                        <w:lang w:val="en-GB"/>
                      </w:rPr>
                      <w:t xml:space="preserve">M. Goitein, «Calculation of the uncertainty in the dose delivered during radiation therapy,» </w:t>
                    </w:r>
                    <w:r w:rsidRPr="00180E81">
                      <w:rPr>
                        <w:i/>
                        <w:iCs/>
                        <w:noProof/>
                        <w:lang w:val="en-GB"/>
                      </w:rPr>
                      <w:t xml:space="preserve">Medical Physics, </w:t>
                    </w:r>
                    <w:r w:rsidRPr="00180E81">
                      <w:rPr>
                        <w:noProof/>
                        <w:lang w:val="en-GB"/>
                      </w:rPr>
                      <w:t xml:space="preserve">1985. </w:t>
                    </w:r>
                  </w:p>
                </w:tc>
              </w:tr>
              <w:tr w14:paraId="22D781D4" w14:textId="77777777" w:rsidTr="0008660E">
                <w:tblPrEx>
                  <w:tblW w:w="5000" w:type="pct"/>
                  <w:tblCellSpacing w:w="15" w:type="dxa"/>
                  <w:tblCellMar>
                    <w:top w:w="15" w:type="dxa"/>
                    <w:left w:w="15" w:type="dxa"/>
                    <w:bottom w:w="15" w:type="dxa"/>
                    <w:right w:w="15" w:type="dxa"/>
                  </w:tblCellMar>
                  <w:tblLook w:val="04A0"/>
                </w:tblPrEx>
                <w:trPr>
                  <w:tblCellSpacing w:w="15" w:type="dxa"/>
                </w:trPr>
                <w:tc>
                  <w:tcPr>
                    <w:tcW w:w="232" w:type="pct"/>
                    <w:hideMark/>
                  </w:tcPr>
                  <w:p w:rsidR="0008660E" w:rsidP="00576150" w14:paraId="011B9E34" w14:textId="77777777">
                    <w:pPr>
                      <w:rPr>
                        <w:noProof/>
                      </w:rPr>
                    </w:pPr>
                    <w:r>
                      <w:rPr>
                        <w:noProof/>
                      </w:rPr>
                      <w:t xml:space="preserve">[2] </w:t>
                    </w:r>
                  </w:p>
                </w:tc>
                <w:tc>
                  <w:tcPr>
                    <w:tcW w:w="20" w:type="pct"/>
                  </w:tcPr>
                  <w:p w:rsidR="0008660E" w:rsidRPr="00180E81" w:rsidP="00576150" w14:paraId="175AC429" w14:textId="77777777">
                    <w:pPr>
                      <w:rPr>
                        <w:noProof/>
                        <w:lang w:val="en-GB"/>
                      </w:rPr>
                    </w:pPr>
                  </w:p>
                </w:tc>
                <w:tc>
                  <w:tcPr>
                    <w:tcW w:w="4682" w:type="pct"/>
                    <w:hideMark/>
                  </w:tcPr>
                  <w:p w:rsidR="0008660E" w:rsidRPr="00180E81" w:rsidP="00576150" w14:paraId="1B90F36E" w14:textId="1D95D00A">
                    <w:pPr>
                      <w:rPr>
                        <w:noProof/>
                        <w:lang w:val="en-GB"/>
                      </w:rPr>
                    </w:pPr>
                    <w:r w:rsidRPr="00180E81">
                      <w:rPr>
                        <w:noProof/>
                        <w:lang w:val="en-GB"/>
                      </w:rPr>
                      <w:t xml:space="preserve">V. T. Taasti , C. Bäumer, C. V. Dahlgren, A. J. Deisher, M. Ellerbrock, J. Free, J. Gora, A. Kozera, A. J. Lomax, L. De Marzi, S. Molinelli, B.-K. K. Teo, P. Wohlfahrt, J. B. B. Petersen, L. P. Muren, D. C. Hansen og C. Richter, «Inter-centre variability of CT-based stopping-power prediction in particle therapy: Survey-based evaluation,» pp. 25-30, April 2018. </w:t>
                    </w:r>
                  </w:p>
                </w:tc>
              </w:tr>
              <w:tr w14:paraId="4BC228DD" w14:textId="77777777" w:rsidTr="0008660E">
                <w:tblPrEx>
                  <w:tblW w:w="5000" w:type="pct"/>
                  <w:tblCellSpacing w:w="15" w:type="dxa"/>
                  <w:tblCellMar>
                    <w:top w:w="15" w:type="dxa"/>
                    <w:left w:w="15" w:type="dxa"/>
                    <w:bottom w:w="15" w:type="dxa"/>
                    <w:right w:w="15" w:type="dxa"/>
                  </w:tblCellMar>
                  <w:tblLook w:val="04A0"/>
                </w:tblPrEx>
                <w:trPr>
                  <w:tblCellSpacing w:w="15" w:type="dxa"/>
                </w:trPr>
                <w:tc>
                  <w:tcPr>
                    <w:tcW w:w="232" w:type="pct"/>
                    <w:hideMark/>
                  </w:tcPr>
                  <w:p w:rsidR="0008660E" w:rsidP="00576150" w14:paraId="409C7034" w14:textId="77777777">
                    <w:pPr>
                      <w:rPr>
                        <w:noProof/>
                      </w:rPr>
                    </w:pPr>
                    <w:r>
                      <w:rPr>
                        <w:noProof/>
                      </w:rPr>
                      <w:t xml:space="preserve">[3] </w:t>
                    </w:r>
                  </w:p>
                </w:tc>
                <w:tc>
                  <w:tcPr>
                    <w:tcW w:w="20" w:type="pct"/>
                  </w:tcPr>
                  <w:p w:rsidR="0008660E" w:rsidP="00576150" w14:paraId="53E13454" w14:textId="77777777">
                    <w:pPr>
                      <w:rPr>
                        <w:noProof/>
                      </w:rPr>
                    </w:pPr>
                  </w:p>
                </w:tc>
                <w:tc>
                  <w:tcPr>
                    <w:tcW w:w="4682" w:type="pct"/>
                    <w:hideMark/>
                  </w:tcPr>
                  <w:p w:rsidR="0008660E" w:rsidP="00576150" w14:paraId="4C895657" w14:textId="10241909">
                    <w:pPr>
                      <w:rPr>
                        <w:noProof/>
                      </w:rPr>
                    </w:pPr>
                    <w:r>
                      <w:rPr>
                        <w:noProof/>
                      </w:rPr>
                      <w:t>Direktoratet for strålevern og atomsikkerhet, «Veileder om medisinsk bruk av røntgen- og MR-apparatur,» 2023.</w:t>
                    </w:r>
                  </w:p>
                </w:tc>
              </w:tr>
              <w:tr w14:paraId="2A91F6E7" w14:textId="77777777" w:rsidTr="0008660E">
                <w:tblPrEx>
                  <w:tblW w:w="5000" w:type="pct"/>
                  <w:tblCellSpacing w:w="15" w:type="dxa"/>
                  <w:tblCellMar>
                    <w:top w:w="15" w:type="dxa"/>
                    <w:left w:w="15" w:type="dxa"/>
                    <w:bottom w:w="15" w:type="dxa"/>
                    <w:right w:w="15" w:type="dxa"/>
                  </w:tblCellMar>
                  <w:tblLook w:val="04A0"/>
                </w:tblPrEx>
                <w:trPr>
                  <w:tblCellSpacing w:w="15" w:type="dxa"/>
                </w:trPr>
                <w:tc>
                  <w:tcPr>
                    <w:tcW w:w="232" w:type="pct"/>
                    <w:hideMark/>
                  </w:tcPr>
                  <w:p w:rsidR="0008660E" w:rsidP="00576150" w14:paraId="72A67748" w14:textId="77777777">
                    <w:pPr>
                      <w:rPr>
                        <w:noProof/>
                      </w:rPr>
                    </w:pPr>
                    <w:r>
                      <w:rPr>
                        <w:noProof/>
                      </w:rPr>
                      <w:t xml:space="preserve">[4] </w:t>
                    </w:r>
                  </w:p>
                </w:tc>
                <w:tc>
                  <w:tcPr>
                    <w:tcW w:w="20" w:type="pct"/>
                  </w:tcPr>
                  <w:p w:rsidR="0008660E" w:rsidRPr="00180E81" w:rsidP="00576150" w14:paraId="2439A3BA" w14:textId="77777777">
                    <w:pPr>
                      <w:rPr>
                        <w:noProof/>
                        <w:lang w:val="en-GB"/>
                      </w:rPr>
                    </w:pPr>
                  </w:p>
                </w:tc>
                <w:tc>
                  <w:tcPr>
                    <w:tcW w:w="4682" w:type="pct"/>
                    <w:hideMark/>
                  </w:tcPr>
                  <w:p w:rsidR="0008660E" w:rsidRPr="00180E81" w:rsidP="00576150" w14:paraId="773AEC8E" w14:textId="01A14DFD">
                    <w:pPr>
                      <w:rPr>
                        <w:noProof/>
                        <w:lang w:val="en-GB"/>
                      </w:rPr>
                    </w:pPr>
                    <w:r w:rsidRPr="00180E81">
                      <w:rPr>
                        <w:noProof/>
                        <w:lang w:val="en-GB"/>
                      </w:rPr>
                      <w:t xml:space="preserve">U. Schneider, E. Pedroni og A. Lomax, «The calibration of CT Hounsfield units for radiotherapy treatment planning,» </w:t>
                    </w:r>
                    <w:r w:rsidRPr="00180E81">
                      <w:rPr>
                        <w:i/>
                        <w:iCs/>
                        <w:noProof/>
                        <w:lang w:val="en-GB"/>
                      </w:rPr>
                      <w:t xml:space="preserve">Phys Med Biol, </w:t>
                    </w:r>
                    <w:r w:rsidRPr="00180E81">
                      <w:rPr>
                        <w:noProof/>
                        <w:lang w:val="en-GB"/>
                      </w:rPr>
                      <w:t xml:space="preserve">vol. 41, nr. 1, pp. 111-24, January 1996. </w:t>
                    </w:r>
                  </w:p>
                </w:tc>
              </w:tr>
              <w:tr w14:paraId="0C7BA590" w14:textId="77777777" w:rsidTr="0008660E">
                <w:tblPrEx>
                  <w:tblW w:w="5000" w:type="pct"/>
                  <w:tblCellSpacing w:w="15" w:type="dxa"/>
                  <w:tblCellMar>
                    <w:top w:w="15" w:type="dxa"/>
                    <w:left w:w="15" w:type="dxa"/>
                    <w:bottom w:w="15" w:type="dxa"/>
                    <w:right w:w="15" w:type="dxa"/>
                  </w:tblCellMar>
                  <w:tblLook w:val="04A0"/>
                </w:tblPrEx>
                <w:trPr>
                  <w:tblCellSpacing w:w="15" w:type="dxa"/>
                </w:trPr>
                <w:tc>
                  <w:tcPr>
                    <w:tcW w:w="232" w:type="pct"/>
                    <w:hideMark/>
                  </w:tcPr>
                  <w:p w:rsidR="0008660E" w:rsidP="00576150" w14:paraId="3CB9C460" w14:textId="77777777">
                    <w:pPr>
                      <w:rPr>
                        <w:noProof/>
                      </w:rPr>
                    </w:pPr>
                    <w:r>
                      <w:rPr>
                        <w:noProof/>
                      </w:rPr>
                      <w:t xml:space="preserve">[5] </w:t>
                    </w:r>
                  </w:p>
                </w:tc>
                <w:tc>
                  <w:tcPr>
                    <w:tcW w:w="20" w:type="pct"/>
                  </w:tcPr>
                  <w:p w:rsidR="0008660E" w:rsidRPr="00180E81" w:rsidP="00576150" w14:paraId="1AE563A5" w14:textId="77777777">
                    <w:pPr>
                      <w:rPr>
                        <w:noProof/>
                        <w:lang w:val="en-GB"/>
                      </w:rPr>
                    </w:pPr>
                  </w:p>
                </w:tc>
                <w:tc>
                  <w:tcPr>
                    <w:tcW w:w="4682" w:type="pct"/>
                    <w:hideMark/>
                  </w:tcPr>
                  <w:p w:rsidR="0008660E" w:rsidRPr="00180E81" w:rsidP="00576150" w14:paraId="3DAF6327" w14:textId="524ACE9E">
                    <w:pPr>
                      <w:rPr>
                        <w:noProof/>
                        <w:lang w:val="en-GB"/>
                      </w:rPr>
                    </w:pPr>
                    <w:r w:rsidRPr="00180E81">
                      <w:rPr>
                        <w:noProof/>
                        <w:lang w:val="en-GB"/>
                      </w:rPr>
                      <w:t xml:space="preserve">N. Peters, V. T. Taasti, B. Ackermann, A. Bolsi, C. V. Dahlgren, M. Ellerbrock, F. Fracchiolla, C. Gomà, J. Góra, P. C. Lopes, I. Rinaldi, K. Salvo, I. S. Tarp og A. Vai, «Consensus guide on CT-based prediction of stopping-power ratio using a Hounsfield look-up table for proton therapy,» </w:t>
                    </w:r>
                    <w:r w:rsidRPr="00180E81">
                      <w:rPr>
                        <w:i/>
                        <w:iCs/>
                        <w:noProof/>
                        <w:lang w:val="en-GB"/>
                      </w:rPr>
                      <w:t xml:space="preserve">Radiotherapy and Oncology, </w:t>
                    </w:r>
                    <w:r w:rsidRPr="00180E81">
                      <w:rPr>
                        <w:noProof/>
                        <w:lang w:val="en-GB"/>
                      </w:rPr>
                      <w:t xml:space="preserve">vol. 184, 2023. </w:t>
                    </w:r>
                  </w:p>
                </w:tc>
              </w:tr>
              <w:tr w14:paraId="7D90AF62" w14:textId="77777777" w:rsidTr="0008660E">
                <w:tblPrEx>
                  <w:tblW w:w="5000" w:type="pct"/>
                  <w:tblCellSpacing w:w="15" w:type="dxa"/>
                  <w:tblCellMar>
                    <w:top w:w="15" w:type="dxa"/>
                    <w:left w:w="15" w:type="dxa"/>
                    <w:bottom w:w="15" w:type="dxa"/>
                    <w:right w:w="15" w:type="dxa"/>
                  </w:tblCellMar>
                  <w:tblLook w:val="04A0"/>
                </w:tblPrEx>
                <w:trPr>
                  <w:tblCellSpacing w:w="15" w:type="dxa"/>
                </w:trPr>
                <w:tc>
                  <w:tcPr>
                    <w:tcW w:w="232" w:type="pct"/>
                    <w:hideMark/>
                  </w:tcPr>
                  <w:p w:rsidR="0008660E" w:rsidP="00576150" w14:paraId="7E8B4958" w14:textId="77777777">
                    <w:pPr>
                      <w:rPr>
                        <w:noProof/>
                      </w:rPr>
                    </w:pPr>
                    <w:r>
                      <w:rPr>
                        <w:noProof/>
                      </w:rPr>
                      <w:t xml:space="preserve">[6] </w:t>
                    </w:r>
                  </w:p>
                </w:tc>
                <w:tc>
                  <w:tcPr>
                    <w:tcW w:w="20" w:type="pct"/>
                  </w:tcPr>
                  <w:p w:rsidR="0008660E" w:rsidRPr="00180E81" w:rsidP="00576150" w14:paraId="5FC9985B" w14:textId="77777777">
                    <w:pPr>
                      <w:rPr>
                        <w:noProof/>
                        <w:lang w:val="en-GB"/>
                      </w:rPr>
                    </w:pPr>
                  </w:p>
                </w:tc>
                <w:tc>
                  <w:tcPr>
                    <w:tcW w:w="4682" w:type="pct"/>
                    <w:hideMark/>
                  </w:tcPr>
                  <w:p w:rsidR="0008660E" w:rsidRPr="00180E81" w:rsidP="00576150" w14:paraId="4089B279" w14:textId="6D2C83CF">
                    <w:pPr>
                      <w:rPr>
                        <w:noProof/>
                        <w:lang w:val="en-GB"/>
                      </w:rPr>
                    </w:pPr>
                    <w:r w:rsidRPr="00180E81">
                      <w:rPr>
                        <w:noProof/>
                        <w:lang w:val="en-GB"/>
                      </w:rPr>
                      <w:t>RayStation, «RayStation 2023B Reference Manual».</w:t>
                    </w:r>
                  </w:p>
                </w:tc>
              </w:tr>
              <w:tr w14:paraId="28D9B248" w14:textId="77777777" w:rsidTr="0008660E">
                <w:tblPrEx>
                  <w:tblW w:w="5000" w:type="pct"/>
                  <w:tblCellSpacing w:w="15" w:type="dxa"/>
                  <w:tblCellMar>
                    <w:top w:w="15" w:type="dxa"/>
                    <w:left w:w="15" w:type="dxa"/>
                    <w:bottom w:w="15" w:type="dxa"/>
                    <w:right w:w="15" w:type="dxa"/>
                  </w:tblCellMar>
                  <w:tblLook w:val="04A0"/>
                </w:tblPrEx>
                <w:trPr>
                  <w:tblCellSpacing w:w="15" w:type="dxa"/>
                </w:trPr>
                <w:tc>
                  <w:tcPr>
                    <w:tcW w:w="232" w:type="pct"/>
                    <w:hideMark/>
                  </w:tcPr>
                  <w:p w:rsidR="0008660E" w:rsidP="00576150" w14:paraId="32A5443B" w14:textId="77777777">
                    <w:pPr>
                      <w:rPr>
                        <w:noProof/>
                      </w:rPr>
                    </w:pPr>
                    <w:r>
                      <w:rPr>
                        <w:noProof/>
                      </w:rPr>
                      <w:t xml:space="preserve">[7] </w:t>
                    </w:r>
                  </w:p>
                </w:tc>
                <w:tc>
                  <w:tcPr>
                    <w:tcW w:w="20" w:type="pct"/>
                  </w:tcPr>
                  <w:p w:rsidR="0008660E" w:rsidRPr="00180E81" w:rsidP="00576150" w14:paraId="5499EE85" w14:textId="77777777">
                    <w:pPr>
                      <w:rPr>
                        <w:noProof/>
                        <w:lang w:val="en-GB"/>
                      </w:rPr>
                    </w:pPr>
                  </w:p>
                </w:tc>
                <w:tc>
                  <w:tcPr>
                    <w:tcW w:w="4682" w:type="pct"/>
                    <w:hideMark/>
                  </w:tcPr>
                  <w:p w:rsidR="0008660E" w:rsidRPr="00180E81" w:rsidP="00576150" w14:paraId="09374834" w14:textId="53E6B426">
                    <w:pPr>
                      <w:rPr>
                        <w:noProof/>
                        <w:lang w:val="en-GB"/>
                      </w:rPr>
                    </w:pPr>
                    <w:r w:rsidRPr="00180E81">
                      <w:rPr>
                        <w:noProof/>
                        <w:lang w:val="en-GB"/>
                      </w:rPr>
                      <w:t xml:space="preserve">N. Hünemohr, B. Krauss, C. Tremmel, B. Ackermann, O. Jäkel og S. Greilich, «Experimental verification of ion stopping power prediction from dual energy CT data in tissue surrogates.,» </w:t>
                    </w:r>
                    <w:r w:rsidRPr="00180E81">
                      <w:rPr>
                        <w:i/>
                        <w:iCs/>
                        <w:noProof/>
                        <w:lang w:val="en-GB"/>
                      </w:rPr>
                      <w:t xml:space="preserve">Physics in medicine and biology, </w:t>
                    </w:r>
                    <w:r w:rsidRPr="00180E81">
                      <w:rPr>
                        <w:noProof/>
                        <w:lang w:val="en-GB"/>
                      </w:rPr>
                      <w:t xml:space="preserve">pp. 83-96, 2014. </w:t>
                    </w:r>
                  </w:p>
                </w:tc>
              </w:tr>
              <w:tr w14:paraId="4046BBAD" w14:textId="77777777" w:rsidTr="0008660E">
                <w:tblPrEx>
                  <w:tblW w:w="5000" w:type="pct"/>
                  <w:tblCellSpacing w:w="15" w:type="dxa"/>
                  <w:tblCellMar>
                    <w:top w:w="15" w:type="dxa"/>
                    <w:left w:w="15" w:type="dxa"/>
                    <w:bottom w:w="15" w:type="dxa"/>
                    <w:right w:w="15" w:type="dxa"/>
                  </w:tblCellMar>
                  <w:tblLook w:val="04A0"/>
                </w:tblPrEx>
                <w:trPr>
                  <w:tblCellSpacing w:w="15" w:type="dxa"/>
                </w:trPr>
                <w:tc>
                  <w:tcPr>
                    <w:tcW w:w="232" w:type="pct"/>
                    <w:hideMark/>
                  </w:tcPr>
                  <w:p w:rsidR="0008660E" w:rsidP="00576150" w14:paraId="42994142" w14:textId="77777777">
                    <w:pPr>
                      <w:rPr>
                        <w:noProof/>
                      </w:rPr>
                    </w:pPr>
                    <w:r>
                      <w:rPr>
                        <w:noProof/>
                      </w:rPr>
                      <w:t xml:space="preserve">[8] </w:t>
                    </w:r>
                  </w:p>
                </w:tc>
                <w:tc>
                  <w:tcPr>
                    <w:tcW w:w="20" w:type="pct"/>
                  </w:tcPr>
                  <w:p w:rsidR="0008660E" w:rsidRPr="00180E81" w:rsidP="00576150" w14:paraId="77995210" w14:textId="77777777">
                    <w:pPr>
                      <w:rPr>
                        <w:noProof/>
                        <w:lang w:val="en-GB"/>
                      </w:rPr>
                    </w:pPr>
                  </w:p>
                </w:tc>
                <w:tc>
                  <w:tcPr>
                    <w:tcW w:w="4682" w:type="pct"/>
                    <w:hideMark/>
                  </w:tcPr>
                  <w:p w:rsidR="0008660E" w:rsidP="00576150" w14:paraId="0C69574C" w14:textId="3060408E">
                    <w:pPr>
                      <w:rPr>
                        <w:noProof/>
                      </w:rPr>
                    </w:pPr>
                    <w:r w:rsidRPr="00180E81">
                      <w:rPr>
                        <w:noProof/>
                        <w:lang w:val="en-GB"/>
                      </w:rPr>
                      <w:t xml:space="preserve">Varian, «Eclipse Proton Reference Guide,» Mai 2022. </w:t>
                    </w:r>
                    <w:r>
                      <w:rPr>
                        <w:noProof/>
                      </w:rPr>
                      <w:t xml:space="preserve">[Internett]. </w:t>
                    </w:r>
                  </w:p>
                </w:tc>
              </w:tr>
              <w:tr w14:paraId="48FA000F" w14:textId="77777777" w:rsidTr="0008660E">
                <w:tblPrEx>
                  <w:tblW w:w="5000" w:type="pct"/>
                  <w:tblCellSpacing w:w="15" w:type="dxa"/>
                  <w:tblCellMar>
                    <w:top w:w="15" w:type="dxa"/>
                    <w:left w:w="15" w:type="dxa"/>
                    <w:bottom w:w="15" w:type="dxa"/>
                    <w:right w:w="15" w:type="dxa"/>
                  </w:tblCellMar>
                  <w:tblLook w:val="04A0"/>
                </w:tblPrEx>
                <w:trPr>
                  <w:tblCellSpacing w:w="15" w:type="dxa"/>
                </w:trPr>
                <w:tc>
                  <w:tcPr>
                    <w:tcW w:w="232" w:type="pct"/>
                    <w:hideMark/>
                  </w:tcPr>
                  <w:p w:rsidR="0008660E" w:rsidP="00576150" w14:paraId="749AB71C" w14:textId="77777777">
                    <w:pPr>
                      <w:rPr>
                        <w:noProof/>
                      </w:rPr>
                    </w:pPr>
                    <w:r>
                      <w:rPr>
                        <w:noProof/>
                      </w:rPr>
                      <w:t xml:space="preserve">[9] </w:t>
                    </w:r>
                  </w:p>
                </w:tc>
                <w:tc>
                  <w:tcPr>
                    <w:tcW w:w="20" w:type="pct"/>
                  </w:tcPr>
                  <w:p w:rsidR="0008660E" w:rsidRPr="00180E81" w:rsidP="00576150" w14:paraId="7D1FB8F1" w14:textId="77777777">
                    <w:pPr>
                      <w:rPr>
                        <w:noProof/>
                        <w:lang w:val="en-GB"/>
                      </w:rPr>
                    </w:pPr>
                  </w:p>
                </w:tc>
                <w:tc>
                  <w:tcPr>
                    <w:tcW w:w="4682" w:type="pct"/>
                    <w:hideMark/>
                  </w:tcPr>
                  <w:p w:rsidR="0008660E" w:rsidRPr="00180E81" w:rsidP="00576150" w14:paraId="6E6F9026" w14:textId="4FEE1EC8">
                    <w:pPr>
                      <w:rPr>
                        <w:noProof/>
                        <w:lang w:val="en-GB"/>
                      </w:rPr>
                    </w:pPr>
                    <w:r w:rsidRPr="00180E81">
                      <w:rPr>
                        <w:noProof/>
                        <w:lang w:val="en-GB"/>
                      </w:rPr>
                      <w:t xml:space="preserve">P. Wohlfahrt og C. Richter, «Status and innovations in pre-treatment CT imaging for proton therapy,» </w:t>
                    </w:r>
                    <w:r w:rsidRPr="00180E81">
                      <w:rPr>
                        <w:i/>
                        <w:iCs/>
                        <w:noProof/>
                        <w:lang w:val="en-GB"/>
                      </w:rPr>
                      <w:t xml:space="preserve">Br J Radiol., </w:t>
                    </w:r>
                    <w:r w:rsidRPr="00180E81">
                      <w:rPr>
                        <w:noProof/>
                        <w:lang w:val="en-GB"/>
                      </w:rPr>
                      <w:t xml:space="preserve">vol. 93, nr. 1107, p. 20190590, Mar 2020. </w:t>
                    </w:r>
                  </w:p>
                </w:tc>
              </w:tr>
              <w:tr w14:paraId="6CCD1A41" w14:textId="77777777" w:rsidTr="0008660E">
                <w:tblPrEx>
                  <w:tblW w:w="5000" w:type="pct"/>
                  <w:tblCellSpacing w:w="15" w:type="dxa"/>
                  <w:tblCellMar>
                    <w:top w:w="15" w:type="dxa"/>
                    <w:left w:w="15" w:type="dxa"/>
                    <w:bottom w:w="15" w:type="dxa"/>
                    <w:right w:w="15" w:type="dxa"/>
                  </w:tblCellMar>
                  <w:tblLook w:val="04A0"/>
                </w:tblPrEx>
                <w:trPr>
                  <w:tblCellSpacing w:w="15" w:type="dxa"/>
                </w:trPr>
                <w:tc>
                  <w:tcPr>
                    <w:tcW w:w="232" w:type="pct"/>
                    <w:hideMark/>
                  </w:tcPr>
                  <w:p w:rsidR="0008660E" w:rsidP="00576150" w14:paraId="39E11BD6" w14:textId="77777777">
                    <w:pPr>
                      <w:rPr>
                        <w:noProof/>
                      </w:rPr>
                    </w:pPr>
                    <w:r>
                      <w:rPr>
                        <w:noProof/>
                      </w:rPr>
                      <w:t xml:space="preserve">[10] </w:t>
                    </w:r>
                  </w:p>
                </w:tc>
                <w:tc>
                  <w:tcPr>
                    <w:tcW w:w="20" w:type="pct"/>
                  </w:tcPr>
                  <w:p w:rsidR="0008660E" w:rsidRPr="00180E81" w:rsidP="00576150" w14:paraId="3659A6EF" w14:textId="77777777">
                    <w:pPr>
                      <w:rPr>
                        <w:noProof/>
                        <w:lang w:val="en-GB"/>
                      </w:rPr>
                    </w:pPr>
                  </w:p>
                </w:tc>
                <w:tc>
                  <w:tcPr>
                    <w:tcW w:w="4682" w:type="pct"/>
                    <w:hideMark/>
                  </w:tcPr>
                  <w:p w:rsidR="0008660E" w:rsidRPr="00180E81" w:rsidP="00576150" w14:paraId="0BF5B929" w14:textId="4506F108">
                    <w:pPr>
                      <w:rPr>
                        <w:noProof/>
                        <w:lang w:val="en-GB"/>
                      </w:rPr>
                    </w:pPr>
                    <w:r w:rsidRPr="00180E81">
                      <w:rPr>
                        <w:noProof/>
                        <w:lang w:val="en-GB"/>
                      </w:rPr>
                      <w:t xml:space="preserve">P. Wohlfahrt, C. Möhler, V. Hietschold, S. Menkel, S. Greilich, M. Krause, M. Baumann, W. Enghardt og C. Richter, «Clinical Implementation of Dual-energy CT for Proton Treatment Planning on Pseudo-monoenergetic CT scans,» </w:t>
                    </w:r>
                    <w:r w:rsidRPr="00180E81">
                      <w:rPr>
                        <w:i/>
                        <w:iCs/>
                        <w:noProof/>
                        <w:lang w:val="en-GB"/>
                      </w:rPr>
                      <w:t xml:space="preserve">Int J Radiat Oncol Biol Phys, </w:t>
                    </w:r>
                    <w:r w:rsidRPr="00180E81">
                      <w:rPr>
                        <w:noProof/>
                        <w:lang w:val="en-GB"/>
                      </w:rPr>
                      <w:t xml:space="preserve">vol. 97, nr. 2, 1 February 2017. </w:t>
                    </w:r>
                  </w:p>
                </w:tc>
              </w:tr>
              <w:tr w14:paraId="59395912" w14:textId="77777777" w:rsidTr="0008660E">
                <w:tblPrEx>
                  <w:tblW w:w="5000" w:type="pct"/>
                  <w:tblCellSpacing w:w="15" w:type="dxa"/>
                  <w:tblCellMar>
                    <w:top w:w="15" w:type="dxa"/>
                    <w:left w:w="15" w:type="dxa"/>
                    <w:bottom w:w="15" w:type="dxa"/>
                    <w:right w:w="15" w:type="dxa"/>
                  </w:tblCellMar>
                  <w:tblLook w:val="04A0"/>
                </w:tblPrEx>
                <w:trPr>
                  <w:tblCellSpacing w:w="15" w:type="dxa"/>
                </w:trPr>
                <w:tc>
                  <w:tcPr>
                    <w:tcW w:w="232" w:type="pct"/>
                    <w:hideMark/>
                  </w:tcPr>
                  <w:p w:rsidR="0008660E" w:rsidP="00576150" w14:paraId="137530F1" w14:textId="77777777">
                    <w:pPr>
                      <w:rPr>
                        <w:noProof/>
                      </w:rPr>
                    </w:pPr>
                    <w:r>
                      <w:rPr>
                        <w:noProof/>
                      </w:rPr>
                      <w:t xml:space="preserve">[11] </w:t>
                    </w:r>
                  </w:p>
                </w:tc>
                <w:tc>
                  <w:tcPr>
                    <w:tcW w:w="20" w:type="pct"/>
                  </w:tcPr>
                  <w:p w:rsidR="0008660E" w:rsidRPr="00180E81" w:rsidP="00576150" w14:paraId="699A1398" w14:textId="77777777">
                    <w:pPr>
                      <w:rPr>
                        <w:noProof/>
                        <w:lang w:val="en-GB"/>
                      </w:rPr>
                    </w:pPr>
                  </w:p>
                </w:tc>
                <w:tc>
                  <w:tcPr>
                    <w:tcW w:w="4682" w:type="pct"/>
                    <w:hideMark/>
                  </w:tcPr>
                  <w:p w:rsidR="0008660E" w:rsidRPr="00180E81" w:rsidP="00576150" w14:paraId="11E354D0" w14:textId="2865EF4D">
                    <w:pPr>
                      <w:rPr>
                        <w:noProof/>
                        <w:lang w:val="en-GB"/>
                      </w:rPr>
                    </w:pPr>
                    <w:r w:rsidRPr="00180E81">
                      <w:rPr>
                        <w:noProof/>
                        <w:lang w:val="en-GB"/>
                      </w:rPr>
                      <w:t>«physicsworld.com,» Siemens Healthineers, 1 July 2021. [Internett]. Available: https://physicsworld.com/a/exploiting-dual-energy-ct-and-directspr-software-to-reduce-range-uncertainty-in-proton-therapy/.</w:t>
                    </w:r>
                  </w:p>
                </w:tc>
              </w:tr>
              <w:tr w14:paraId="4C444FD4" w14:textId="77777777" w:rsidTr="0008660E">
                <w:tblPrEx>
                  <w:tblW w:w="5000" w:type="pct"/>
                  <w:tblCellSpacing w:w="15" w:type="dxa"/>
                  <w:tblCellMar>
                    <w:top w:w="15" w:type="dxa"/>
                    <w:left w:w="15" w:type="dxa"/>
                    <w:bottom w:w="15" w:type="dxa"/>
                    <w:right w:w="15" w:type="dxa"/>
                  </w:tblCellMar>
                  <w:tblLook w:val="04A0"/>
                </w:tblPrEx>
                <w:trPr>
                  <w:tblCellSpacing w:w="15" w:type="dxa"/>
                </w:trPr>
                <w:tc>
                  <w:tcPr>
                    <w:tcW w:w="232" w:type="pct"/>
                    <w:hideMark/>
                  </w:tcPr>
                  <w:p w:rsidR="0008660E" w:rsidP="00576150" w14:paraId="081AF982" w14:textId="77777777">
                    <w:pPr>
                      <w:rPr>
                        <w:noProof/>
                      </w:rPr>
                    </w:pPr>
                    <w:r>
                      <w:rPr>
                        <w:noProof/>
                      </w:rPr>
                      <w:t xml:space="preserve">[12] </w:t>
                    </w:r>
                  </w:p>
                </w:tc>
                <w:tc>
                  <w:tcPr>
                    <w:tcW w:w="20" w:type="pct"/>
                  </w:tcPr>
                  <w:p w:rsidR="0008660E" w:rsidRPr="00180E81" w:rsidP="00576150" w14:paraId="1A4ABD94" w14:textId="77777777">
                    <w:pPr>
                      <w:rPr>
                        <w:noProof/>
                        <w:lang w:val="en-GB"/>
                      </w:rPr>
                    </w:pPr>
                  </w:p>
                </w:tc>
                <w:tc>
                  <w:tcPr>
                    <w:tcW w:w="4682" w:type="pct"/>
                    <w:hideMark/>
                  </w:tcPr>
                  <w:p w:rsidR="0008660E" w:rsidRPr="00180E81" w:rsidP="00576150" w14:paraId="0DE2AE45" w14:textId="56EE9804">
                    <w:pPr>
                      <w:rPr>
                        <w:noProof/>
                        <w:lang w:val="en-GB"/>
                      </w:rPr>
                    </w:pPr>
                    <w:r w:rsidRPr="00180E81">
                      <w:rPr>
                        <w:noProof/>
                        <w:lang w:val="en-GB"/>
                      </w:rPr>
                      <w:t xml:space="preserve">N. Peters, P. Wohlfahrt, C. Hofmann, C. Möhler, S. Menkel, M. Tschiche, M. Krause, E. G. C. Troost, W. Enghardt og C. Richter, «Reduction of clinical safety margins in proton therapy enabled by the clinical implementation of dual-energy CT for direct stopping-power prediction,» </w:t>
                    </w:r>
                    <w:r w:rsidRPr="00180E81">
                      <w:rPr>
                        <w:i/>
                        <w:iCs/>
                        <w:noProof/>
                        <w:lang w:val="en-GB"/>
                      </w:rPr>
                      <w:t xml:space="preserve">Radiotherapy and Oncology, </w:t>
                    </w:r>
                    <w:r w:rsidRPr="00180E81">
                      <w:rPr>
                        <w:noProof/>
                        <w:lang w:val="en-GB"/>
                      </w:rPr>
                      <w:t xml:space="preserve">vol. 166, pp. 71-78, 2022. </w:t>
                    </w:r>
                  </w:p>
                </w:tc>
              </w:tr>
              <w:tr w14:paraId="7D4FFFC0" w14:textId="77777777" w:rsidTr="0008660E">
                <w:tblPrEx>
                  <w:tblW w:w="5000" w:type="pct"/>
                  <w:tblCellSpacing w:w="15" w:type="dxa"/>
                  <w:tblCellMar>
                    <w:top w:w="15" w:type="dxa"/>
                    <w:left w:w="15" w:type="dxa"/>
                    <w:bottom w:w="15" w:type="dxa"/>
                    <w:right w:w="15" w:type="dxa"/>
                  </w:tblCellMar>
                  <w:tblLook w:val="04A0"/>
                </w:tblPrEx>
                <w:trPr>
                  <w:tblCellSpacing w:w="15" w:type="dxa"/>
                </w:trPr>
                <w:tc>
                  <w:tcPr>
                    <w:tcW w:w="232" w:type="pct"/>
                    <w:hideMark/>
                  </w:tcPr>
                  <w:p w:rsidR="0008660E" w:rsidP="00576150" w14:paraId="73B74BC8" w14:textId="77777777">
                    <w:pPr>
                      <w:rPr>
                        <w:noProof/>
                      </w:rPr>
                    </w:pPr>
                    <w:r>
                      <w:rPr>
                        <w:noProof/>
                      </w:rPr>
                      <w:t xml:space="preserve">[13] </w:t>
                    </w:r>
                  </w:p>
                </w:tc>
                <w:tc>
                  <w:tcPr>
                    <w:tcW w:w="20" w:type="pct"/>
                  </w:tcPr>
                  <w:p w:rsidR="0008660E" w:rsidRPr="00180E81" w:rsidP="00576150" w14:paraId="79FD5714" w14:textId="77777777">
                    <w:pPr>
                      <w:rPr>
                        <w:noProof/>
                        <w:lang w:val="en-GB"/>
                      </w:rPr>
                    </w:pPr>
                  </w:p>
                </w:tc>
                <w:tc>
                  <w:tcPr>
                    <w:tcW w:w="4682" w:type="pct"/>
                    <w:hideMark/>
                  </w:tcPr>
                  <w:p w:rsidR="0008660E" w:rsidRPr="00180E81" w:rsidP="00576150" w14:paraId="59E33AB4" w14:textId="40578E5D">
                    <w:pPr>
                      <w:rPr>
                        <w:noProof/>
                        <w:lang w:val="en-GB"/>
                      </w:rPr>
                    </w:pPr>
                    <w:r w:rsidRPr="00180E81">
                      <w:rPr>
                        <w:noProof/>
                        <w:lang w:val="en-GB"/>
                      </w:rPr>
                      <w:t xml:space="preserve">P. Wohlfahrt, C. Möhler, E. G. C. Troost, S. Greilich og C. Richter, «Dual-Energy Computed Tomography to Assess Intra- and Inter-Patient Tissue Variability for Proton Treatment Planning of Patients With Brain Tumor,» </w:t>
                    </w:r>
                    <w:r w:rsidRPr="00180E81">
                      <w:rPr>
                        <w:i/>
                        <w:iCs/>
                        <w:noProof/>
                        <w:lang w:val="en-GB"/>
                      </w:rPr>
                      <w:t xml:space="preserve">International Journal of Radiation Oncology Biology Physics, </w:t>
                    </w:r>
                    <w:r w:rsidRPr="00180E81">
                      <w:rPr>
                        <w:noProof/>
                        <w:lang w:val="en-GB"/>
                      </w:rPr>
                      <w:t xml:space="preserve">vol. 105, nr. 3, pp. 504-513, 1 November 2019. </w:t>
                    </w:r>
                  </w:p>
                </w:tc>
              </w:tr>
              <w:tr w14:paraId="76FAB588" w14:textId="77777777" w:rsidTr="0008660E">
                <w:tblPrEx>
                  <w:tblW w:w="5000" w:type="pct"/>
                  <w:tblCellSpacing w:w="15" w:type="dxa"/>
                  <w:tblCellMar>
                    <w:top w:w="15" w:type="dxa"/>
                    <w:left w:w="15" w:type="dxa"/>
                    <w:bottom w:w="15" w:type="dxa"/>
                    <w:right w:w="15" w:type="dxa"/>
                  </w:tblCellMar>
                  <w:tblLook w:val="04A0"/>
                </w:tblPrEx>
                <w:trPr>
                  <w:tblCellSpacing w:w="15" w:type="dxa"/>
                </w:trPr>
                <w:tc>
                  <w:tcPr>
                    <w:tcW w:w="232" w:type="pct"/>
                    <w:hideMark/>
                  </w:tcPr>
                  <w:p w:rsidR="0008660E" w:rsidP="00576150" w14:paraId="01136C54" w14:textId="77777777">
                    <w:pPr>
                      <w:rPr>
                        <w:noProof/>
                      </w:rPr>
                    </w:pPr>
                    <w:r>
                      <w:rPr>
                        <w:noProof/>
                      </w:rPr>
                      <w:t xml:space="preserve">[14] </w:t>
                    </w:r>
                  </w:p>
                </w:tc>
                <w:tc>
                  <w:tcPr>
                    <w:tcW w:w="20" w:type="pct"/>
                  </w:tcPr>
                  <w:p w:rsidR="0008660E" w:rsidRPr="00180E81" w:rsidP="00576150" w14:paraId="0A6299F8" w14:textId="77777777">
                    <w:pPr>
                      <w:rPr>
                        <w:noProof/>
                        <w:lang w:val="en-GB"/>
                      </w:rPr>
                    </w:pPr>
                  </w:p>
                </w:tc>
                <w:tc>
                  <w:tcPr>
                    <w:tcW w:w="4682" w:type="pct"/>
                    <w:hideMark/>
                  </w:tcPr>
                  <w:p w:rsidR="0008660E" w:rsidRPr="00180E81" w:rsidP="00576150" w14:paraId="612F847E" w14:textId="07029D8B">
                    <w:pPr>
                      <w:rPr>
                        <w:noProof/>
                        <w:lang w:val="en-GB"/>
                      </w:rPr>
                    </w:pPr>
                    <w:r w:rsidRPr="00180E81">
                      <w:rPr>
                        <w:noProof/>
                        <w:lang w:val="en-GB"/>
                      </w:rPr>
                      <w:t xml:space="preserve">A. Lalonde, Y. Xie, B. Burgdorf, S. O'Reilly, W. S. Ingram, L. Yin, W. Zou, L. Dong, H. Bouchard og B.-K. K. Teo, «Influence of intravenous contrast agent on dose calculation in proton therapy using dual energy CT,» </w:t>
                    </w:r>
                    <w:r w:rsidRPr="00180E81">
                      <w:rPr>
                        <w:i/>
                        <w:iCs/>
                        <w:noProof/>
                        <w:lang w:val="en-GB"/>
                      </w:rPr>
                      <w:t xml:space="preserve">Phys Med Biol, </w:t>
                    </w:r>
                    <w:r w:rsidRPr="00180E81">
                      <w:rPr>
                        <w:noProof/>
                        <w:lang w:val="en-GB"/>
                      </w:rPr>
                      <w:t xml:space="preserve">vol. 64, p. 125024, 21 June 2019. </w:t>
                    </w:r>
                  </w:p>
                </w:tc>
              </w:tr>
              <w:tr w14:paraId="09541AB4" w14:textId="77777777" w:rsidTr="0008660E">
                <w:tblPrEx>
                  <w:tblW w:w="5000" w:type="pct"/>
                  <w:tblCellSpacing w:w="15" w:type="dxa"/>
                  <w:tblCellMar>
                    <w:top w:w="15" w:type="dxa"/>
                    <w:left w:w="15" w:type="dxa"/>
                    <w:bottom w:w="15" w:type="dxa"/>
                    <w:right w:w="15" w:type="dxa"/>
                  </w:tblCellMar>
                  <w:tblLook w:val="04A0"/>
                </w:tblPrEx>
                <w:trPr>
                  <w:tblCellSpacing w:w="15" w:type="dxa"/>
                </w:trPr>
                <w:tc>
                  <w:tcPr>
                    <w:tcW w:w="232" w:type="pct"/>
                    <w:hideMark/>
                  </w:tcPr>
                  <w:p w:rsidR="0008660E" w:rsidP="00576150" w14:paraId="0B130CF5" w14:textId="77777777">
                    <w:pPr>
                      <w:rPr>
                        <w:noProof/>
                      </w:rPr>
                    </w:pPr>
                    <w:r>
                      <w:rPr>
                        <w:noProof/>
                      </w:rPr>
                      <w:t xml:space="preserve">[15] </w:t>
                    </w:r>
                  </w:p>
                </w:tc>
                <w:tc>
                  <w:tcPr>
                    <w:tcW w:w="20" w:type="pct"/>
                  </w:tcPr>
                  <w:p w:rsidR="0008660E" w:rsidRPr="00180E81" w:rsidP="00576150" w14:paraId="7A08D841" w14:textId="77777777">
                    <w:pPr>
                      <w:rPr>
                        <w:noProof/>
                        <w:lang w:val="en-GB"/>
                      </w:rPr>
                    </w:pPr>
                  </w:p>
                </w:tc>
                <w:tc>
                  <w:tcPr>
                    <w:tcW w:w="4682" w:type="pct"/>
                    <w:hideMark/>
                  </w:tcPr>
                  <w:p w:rsidR="0008660E" w:rsidRPr="0008660E" w:rsidP="00576150" w14:paraId="74E4D1DE" w14:textId="03B9629D">
                    <w:pPr>
                      <w:rPr>
                        <w:noProof/>
                        <w:lang w:val="en-GB"/>
                      </w:rPr>
                    </w:pPr>
                    <w:r w:rsidRPr="00180E81">
                      <w:rPr>
                        <w:noProof/>
                        <w:lang w:val="en-GB"/>
                      </w:rPr>
                      <w:t xml:space="preserve">A. Ritter og N. Mistry, «White Paper: DirectDensity - Technical principles and implications for radiotherapy,» 2020. </w:t>
                    </w:r>
                    <w:r w:rsidRPr="0008660E">
                      <w:rPr>
                        <w:noProof/>
                        <w:lang w:val="en-GB"/>
                      </w:rPr>
                      <w:t>[Internett]. Available: https://marketing.webassets.siemens-healthineers.com/1800000007414546/83f3c3bef1bd/sh-radiotherapy-ct-for-rt-direct-density-whitepaper_1800000007414546.pdf.</w:t>
                    </w:r>
                  </w:p>
                </w:tc>
              </w:tr>
              <w:tr w14:paraId="7BE28A22" w14:textId="77777777" w:rsidTr="0008660E">
                <w:tblPrEx>
                  <w:tblW w:w="5000" w:type="pct"/>
                  <w:tblCellSpacing w:w="15" w:type="dxa"/>
                  <w:tblCellMar>
                    <w:top w:w="15" w:type="dxa"/>
                    <w:left w:w="15" w:type="dxa"/>
                    <w:bottom w:w="15" w:type="dxa"/>
                    <w:right w:w="15" w:type="dxa"/>
                  </w:tblCellMar>
                  <w:tblLook w:val="04A0"/>
                </w:tblPrEx>
                <w:trPr>
                  <w:tblCellSpacing w:w="15" w:type="dxa"/>
                </w:trPr>
                <w:tc>
                  <w:tcPr>
                    <w:tcW w:w="232" w:type="pct"/>
                    <w:hideMark/>
                  </w:tcPr>
                  <w:p w:rsidR="0008660E" w:rsidP="00576150" w14:paraId="7A9111FA" w14:textId="77777777">
                    <w:pPr>
                      <w:rPr>
                        <w:noProof/>
                      </w:rPr>
                    </w:pPr>
                    <w:r>
                      <w:rPr>
                        <w:noProof/>
                      </w:rPr>
                      <w:t xml:space="preserve">[16] </w:t>
                    </w:r>
                  </w:p>
                </w:tc>
                <w:tc>
                  <w:tcPr>
                    <w:tcW w:w="20" w:type="pct"/>
                  </w:tcPr>
                  <w:p w:rsidR="0008660E" w:rsidRPr="00180E81" w:rsidP="00576150" w14:paraId="5225CD43" w14:textId="77777777">
                    <w:pPr>
                      <w:rPr>
                        <w:noProof/>
                        <w:lang w:val="en-GB"/>
                      </w:rPr>
                    </w:pPr>
                  </w:p>
                </w:tc>
                <w:tc>
                  <w:tcPr>
                    <w:tcW w:w="4682" w:type="pct"/>
                    <w:hideMark/>
                  </w:tcPr>
                  <w:p w:rsidR="0008660E" w:rsidRPr="00180E81" w:rsidP="00576150" w14:paraId="2A6B9291" w14:textId="405D30CC">
                    <w:pPr>
                      <w:rPr>
                        <w:noProof/>
                        <w:lang w:val="en-GB"/>
                      </w:rPr>
                    </w:pPr>
                    <w:r w:rsidRPr="00180E81">
                      <w:rPr>
                        <w:noProof/>
                        <w:lang w:val="en-GB"/>
                      </w:rPr>
                      <w:t xml:space="preserve">V. Sarkar, A. Paxton, F. Su, R. Price, G. Nelson, M. Szegedi, S. St. James og B. J. Salter, «An evaluation of the use of DirectSPR images for proton planning in the RayStation treatment planning software,» </w:t>
                    </w:r>
                    <w:r w:rsidRPr="00180E81">
                      <w:rPr>
                        <w:i/>
                        <w:iCs/>
                        <w:noProof/>
                        <w:lang w:val="en-GB"/>
                      </w:rPr>
                      <w:t xml:space="preserve">J Appl Clin Med Phys, </w:t>
                    </w:r>
                    <w:r w:rsidRPr="00180E81">
                      <w:rPr>
                        <w:noProof/>
                        <w:lang w:val="en-GB"/>
                      </w:rPr>
                      <w:t xml:space="preserve">vol. 5, 10 Jan 2023. </w:t>
                    </w:r>
                  </w:p>
                </w:tc>
              </w:tr>
              <w:tr w14:paraId="232DFCC5" w14:textId="77777777" w:rsidTr="0008660E">
                <w:tblPrEx>
                  <w:tblW w:w="5000" w:type="pct"/>
                  <w:tblCellSpacing w:w="15" w:type="dxa"/>
                  <w:tblCellMar>
                    <w:top w:w="15" w:type="dxa"/>
                    <w:left w:w="15" w:type="dxa"/>
                    <w:bottom w:w="15" w:type="dxa"/>
                    <w:right w:w="15" w:type="dxa"/>
                  </w:tblCellMar>
                  <w:tblLook w:val="04A0"/>
                </w:tblPrEx>
                <w:trPr>
                  <w:tblCellSpacing w:w="15" w:type="dxa"/>
                </w:trPr>
                <w:tc>
                  <w:tcPr>
                    <w:tcW w:w="232" w:type="pct"/>
                    <w:hideMark/>
                  </w:tcPr>
                  <w:p w:rsidR="0008660E" w:rsidP="00576150" w14:paraId="3CDA22CD" w14:textId="77777777">
                    <w:pPr>
                      <w:rPr>
                        <w:noProof/>
                      </w:rPr>
                    </w:pPr>
                    <w:r>
                      <w:rPr>
                        <w:noProof/>
                      </w:rPr>
                      <w:t xml:space="preserve">[17] </w:t>
                    </w:r>
                  </w:p>
                </w:tc>
                <w:tc>
                  <w:tcPr>
                    <w:tcW w:w="20" w:type="pct"/>
                  </w:tcPr>
                  <w:p w:rsidR="0008660E" w:rsidRPr="00180E81" w:rsidP="00576150" w14:paraId="34549319" w14:textId="77777777">
                    <w:pPr>
                      <w:rPr>
                        <w:noProof/>
                        <w:lang w:val="en-GB"/>
                      </w:rPr>
                    </w:pPr>
                  </w:p>
                </w:tc>
                <w:tc>
                  <w:tcPr>
                    <w:tcW w:w="4682" w:type="pct"/>
                    <w:hideMark/>
                  </w:tcPr>
                  <w:p w:rsidR="0008660E" w:rsidRPr="00180E81" w:rsidP="00576150" w14:paraId="1775F468" w14:textId="0F40644D">
                    <w:pPr>
                      <w:rPr>
                        <w:noProof/>
                        <w:lang w:val="en-GB"/>
                      </w:rPr>
                    </w:pPr>
                    <w:r w:rsidRPr="00180E81">
                      <w:rPr>
                        <w:noProof/>
                        <w:lang w:val="en-GB"/>
                      </w:rPr>
                      <w:t xml:space="preserve">G. P. Fonseca, M. Baer-Beck, E. Fournie, C. Hofmann, I. Rinaldi, M. C. Ollers, W. C. J. van Elmpt og F. Verhaegen, «Evaluation of novel AI-based extended field-of-view CT reconstructions,» </w:t>
                    </w:r>
                    <w:r w:rsidRPr="00180E81">
                      <w:rPr>
                        <w:i/>
                        <w:iCs/>
                        <w:noProof/>
                        <w:lang w:val="en-GB"/>
                      </w:rPr>
                      <w:t xml:space="preserve">Medical Physics, </w:t>
                    </w:r>
                    <w:r w:rsidRPr="00180E81">
                      <w:rPr>
                        <w:noProof/>
                        <w:lang w:val="en-GB"/>
                      </w:rPr>
                      <w:t xml:space="preserve">vol. 48(7), pp. 3583-3594, July 2021. </w:t>
                    </w:r>
                  </w:p>
                </w:tc>
              </w:tr>
              <w:tr w14:paraId="378947DD" w14:textId="77777777" w:rsidTr="0008660E">
                <w:tblPrEx>
                  <w:tblW w:w="5000" w:type="pct"/>
                  <w:tblCellSpacing w:w="15" w:type="dxa"/>
                  <w:tblCellMar>
                    <w:top w:w="15" w:type="dxa"/>
                    <w:left w:w="15" w:type="dxa"/>
                    <w:bottom w:w="15" w:type="dxa"/>
                    <w:right w:w="15" w:type="dxa"/>
                  </w:tblCellMar>
                  <w:tblLook w:val="04A0"/>
                </w:tblPrEx>
                <w:trPr>
                  <w:tblCellSpacing w:w="15" w:type="dxa"/>
                </w:trPr>
                <w:tc>
                  <w:tcPr>
                    <w:tcW w:w="232" w:type="pct"/>
                    <w:hideMark/>
                  </w:tcPr>
                  <w:p w:rsidR="0008660E" w:rsidP="00576150" w14:paraId="3646D3E1" w14:textId="77777777">
                    <w:pPr>
                      <w:rPr>
                        <w:noProof/>
                      </w:rPr>
                    </w:pPr>
                    <w:r>
                      <w:rPr>
                        <w:noProof/>
                      </w:rPr>
                      <w:t xml:space="preserve">[18] </w:t>
                    </w:r>
                  </w:p>
                </w:tc>
                <w:tc>
                  <w:tcPr>
                    <w:tcW w:w="20" w:type="pct"/>
                  </w:tcPr>
                  <w:p w:rsidR="0008660E" w:rsidRPr="00180E81" w:rsidP="00576150" w14:paraId="1976C0C4" w14:textId="77777777">
                    <w:pPr>
                      <w:rPr>
                        <w:noProof/>
                        <w:lang w:val="en-GB"/>
                      </w:rPr>
                    </w:pPr>
                  </w:p>
                </w:tc>
                <w:tc>
                  <w:tcPr>
                    <w:tcW w:w="4682" w:type="pct"/>
                    <w:hideMark/>
                  </w:tcPr>
                  <w:p w:rsidR="0008660E" w:rsidRPr="00180E81" w:rsidP="00576150" w14:paraId="563B2F0F" w14:textId="2B9BF79B">
                    <w:pPr>
                      <w:rPr>
                        <w:noProof/>
                        <w:lang w:val="en-GB"/>
                      </w:rPr>
                    </w:pPr>
                    <w:r w:rsidRPr="00180E81">
                      <w:rPr>
                        <w:noProof/>
                        <w:lang w:val="en-GB"/>
                      </w:rPr>
                      <w:t xml:space="preserve">B. Beeksma, D. Truant, L. Holloway og S. Arumugam, «An assessment of image distortion and CT number accuracy within a wide-bore CT extended field of view,» </w:t>
                    </w:r>
                    <w:r w:rsidRPr="00180E81">
                      <w:rPr>
                        <w:i/>
                        <w:iCs/>
                        <w:noProof/>
                        <w:lang w:val="en-GB"/>
                      </w:rPr>
                      <w:t xml:space="preserve">Australas Phys Eng Sci Med, </w:t>
                    </w:r>
                    <w:r w:rsidRPr="00180E81">
                      <w:rPr>
                        <w:noProof/>
                        <w:lang w:val="en-GB"/>
                      </w:rPr>
                      <w:t xml:space="preserve">vol. 38, pp. 255-261, 2015. </w:t>
                    </w:r>
                  </w:p>
                </w:tc>
              </w:tr>
              <w:tr w14:paraId="4D2633AA" w14:textId="77777777" w:rsidTr="0008660E">
                <w:tblPrEx>
                  <w:tblW w:w="5000" w:type="pct"/>
                  <w:tblCellSpacing w:w="15" w:type="dxa"/>
                  <w:tblCellMar>
                    <w:top w:w="15" w:type="dxa"/>
                    <w:left w:w="15" w:type="dxa"/>
                    <w:bottom w:w="15" w:type="dxa"/>
                    <w:right w:w="15" w:type="dxa"/>
                  </w:tblCellMar>
                  <w:tblLook w:val="04A0"/>
                </w:tblPrEx>
                <w:trPr>
                  <w:tblCellSpacing w:w="15" w:type="dxa"/>
                </w:trPr>
                <w:tc>
                  <w:tcPr>
                    <w:tcW w:w="232" w:type="pct"/>
                    <w:hideMark/>
                  </w:tcPr>
                  <w:p w:rsidR="0008660E" w:rsidP="00576150" w14:paraId="2896B4F7" w14:textId="77777777">
                    <w:pPr>
                      <w:rPr>
                        <w:noProof/>
                      </w:rPr>
                    </w:pPr>
                    <w:r>
                      <w:rPr>
                        <w:noProof/>
                      </w:rPr>
                      <w:t xml:space="preserve">[19] </w:t>
                    </w:r>
                  </w:p>
                </w:tc>
                <w:tc>
                  <w:tcPr>
                    <w:tcW w:w="20" w:type="pct"/>
                  </w:tcPr>
                  <w:p w:rsidR="0008660E" w:rsidRPr="00180E81" w:rsidP="00576150" w14:paraId="2196D4B4" w14:textId="77777777">
                    <w:pPr>
                      <w:rPr>
                        <w:noProof/>
                        <w:lang w:val="en-GB"/>
                      </w:rPr>
                    </w:pPr>
                  </w:p>
                </w:tc>
                <w:tc>
                  <w:tcPr>
                    <w:tcW w:w="4682" w:type="pct"/>
                    <w:hideMark/>
                  </w:tcPr>
                  <w:p w:rsidR="0008660E" w:rsidRPr="00180E81" w:rsidP="00576150" w14:paraId="38A92CBD" w14:textId="7BCDCF4E">
                    <w:pPr>
                      <w:rPr>
                        <w:noProof/>
                        <w:lang w:val="en-GB"/>
                      </w:rPr>
                    </w:pPr>
                    <w:r w:rsidRPr="00180E81">
                      <w:rPr>
                        <w:noProof/>
                        <w:lang w:val="en-GB"/>
                      </w:rPr>
                      <w:t xml:space="preserve">A. J. Olch, L. Gerig, H. Li, I. Mihaylov og A. Morgan, «Dosimetric effects caused by couch tops and immobilization devices: Report of AAPM Task Group 176,» </w:t>
                    </w:r>
                    <w:r w:rsidRPr="00180E81">
                      <w:rPr>
                        <w:i/>
                        <w:iCs/>
                        <w:noProof/>
                        <w:lang w:val="en-GB"/>
                      </w:rPr>
                      <w:t xml:space="preserve">Medical Physics, </w:t>
                    </w:r>
                    <w:r w:rsidRPr="00180E81">
                      <w:rPr>
                        <w:noProof/>
                        <w:lang w:val="en-GB"/>
                      </w:rPr>
                      <w:t xml:space="preserve">vol. 41, pp. 1-14, June 2014. </w:t>
                    </w:r>
                  </w:p>
                </w:tc>
              </w:tr>
              <w:tr w14:paraId="747AB44F" w14:textId="77777777" w:rsidTr="0008660E">
                <w:tblPrEx>
                  <w:tblW w:w="5000" w:type="pct"/>
                  <w:tblCellSpacing w:w="15" w:type="dxa"/>
                  <w:tblCellMar>
                    <w:top w:w="15" w:type="dxa"/>
                    <w:left w:w="15" w:type="dxa"/>
                    <w:bottom w:w="15" w:type="dxa"/>
                    <w:right w:w="15" w:type="dxa"/>
                  </w:tblCellMar>
                  <w:tblLook w:val="04A0"/>
                </w:tblPrEx>
                <w:trPr>
                  <w:tblCellSpacing w:w="15" w:type="dxa"/>
                </w:trPr>
                <w:tc>
                  <w:tcPr>
                    <w:tcW w:w="232" w:type="pct"/>
                    <w:hideMark/>
                  </w:tcPr>
                  <w:p w:rsidR="0008660E" w:rsidP="00576150" w14:paraId="4D98D4E7" w14:textId="77777777">
                    <w:pPr>
                      <w:rPr>
                        <w:noProof/>
                      </w:rPr>
                    </w:pPr>
                    <w:r>
                      <w:rPr>
                        <w:noProof/>
                      </w:rPr>
                      <w:t xml:space="preserve">[20] </w:t>
                    </w:r>
                  </w:p>
                </w:tc>
                <w:tc>
                  <w:tcPr>
                    <w:tcW w:w="20" w:type="pct"/>
                  </w:tcPr>
                  <w:p w:rsidR="0008660E" w:rsidRPr="00180E81" w:rsidP="00576150" w14:paraId="46CD0FBF" w14:textId="77777777">
                    <w:pPr>
                      <w:rPr>
                        <w:noProof/>
                        <w:lang w:val="en-GB"/>
                      </w:rPr>
                    </w:pPr>
                  </w:p>
                </w:tc>
                <w:tc>
                  <w:tcPr>
                    <w:tcW w:w="4682" w:type="pct"/>
                    <w:hideMark/>
                  </w:tcPr>
                  <w:p w:rsidR="0008660E" w:rsidRPr="00180E81" w:rsidP="00576150" w14:paraId="7B2C7B14" w14:textId="326AD07D">
                    <w:pPr>
                      <w:rPr>
                        <w:noProof/>
                        <w:lang w:val="en-GB"/>
                      </w:rPr>
                    </w:pPr>
                    <w:r w:rsidRPr="00180E81">
                      <w:rPr>
                        <w:noProof/>
                        <w:lang w:val="en-GB"/>
                      </w:rPr>
                      <w:t xml:space="preserve">F. Fellin, R. Righetto, G. Fava, D. Trevisan, D. Amelio og P. Farace, «Water equivalent thickness of immobilization devices in proton therapy planning – Modelling at treatment planning and validation by measurements with a multi-layer ionization chamber,» </w:t>
                    </w:r>
                    <w:r w:rsidRPr="00180E81">
                      <w:rPr>
                        <w:i/>
                        <w:iCs/>
                        <w:noProof/>
                        <w:lang w:val="en-GB"/>
                      </w:rPr>
                      <w:t xml:space="preserve">Physica Medica, </w:t>
                    </w:r>
                    <w:r w:rsidRPr="00180E81">
                      <w:rPr>
                        <w:noProof/>
                        <w:lang w:val="en-GB"/>
                      </w:rPr>
                      <w:t xml:space="preserve">vol. 35, pp. 31-38, March 2017. </w:t>
                    </w:r>
                  </w:p>
                </w:tc>
              </w:tr>
              <w:tr w14:paraId="51521D85" w14:textId="77777777" w:rsidTr="0008660E">
                <w:tblPrEx>
                  <w:tblW w:w="5000" w:type="pct"/>
                  <w:tblCellSpacing w:w="15" w:type="dxa"/>
                  <w:tblCellMar>
                    <w:top w:w="15" w:type="dxa"/>
                    <w:left w:w="15" w:type="dxa"/>
                    <w:bottom w:w="15" w:type="dxa"/>
                    <w:right w:w="15" w:type="dxa"/>
                  </w:tblCellMar>
                  <w:tblLook w:val="04A0"/>
                </w:tblPrEx>
                <w:trPr>
                  <w:tblCellSpacing w:w="15" w:type="dxa"/>
                </w:trPr>
                <w:tc>
                  <w:tcPr>
                    <w:tcW w:w="232" w:type="pct"/>
                    <w:hideMark/>
                  </w:tcPr>
                  <w:p w:rsidR="0008660E" w:rsidP="00576150" w14:paraId="22643941" w14:textId="77777777">
                    <w:pPr>
                      <w:rPr>
                        <w:noProof/>
                      </w:rPr>
                    </w:pPr>
                    <w:r>
                      <w:rPr>
                        <w:noProof/>
                      </w:rPr>
                      <w:t xml:space="preserve">[21] </w:t>
                    </w:r>
                  </w:p>
                </w:tc>
                <w:tc>
                  <w:tcPr>
                    <w:tcW w:w="20" w:type="pct"/>
                  </w:tcPr>
                  <w:p w:rsidR="0008660E" w:rsidRPr="00180E81" w:rsidP="00576150" w14:paraId="4B365581" w14:textId="77777777">
                    <w:pPr>
                      <w:rPr>
                        <w:noProof/>
                        <w:lang w:val="en-GB"/>
                      </w:rPr>
                    </w:pPr>
                  </w:p>
                </w:tc>
                <w:tc>
                  <w:tcPr>
                    <w:tcW w:w="4682" w:type="pct"/>
                    <w:hideMark/>
                  </w:tcPr>
                  <w:p w:rsidR="0008660E" w:rsidRPr="00180E81" w:rsidP="00576150" w14:paraId="79F54482" w14:textId="43E1DF0A">
                    <w:pPr>
                      <w:rPr>
                        <w:noProof/>
                        <w:lang w:val="en-GB"/>
                      </w:rPr>
                    </w:pPr>
                    <w:r w:rsidRPr="00180E81">
                      <w:rPr>
                        <w:noProof/>
                        <w:lang w:val="en-GB"/>
                      </w:rPr>
                      <w:t xml:space="preserve">H. Paganetti, P. Botas, G. S. Sharp og B. Winey, «Adaptive proton therapy,» </w:t>
                    </w:r>
                    <w:r w:rsidRPr="00180E81">
                      <w:rPr>
                        <w:i/>
                        <w:iCs/>
                        <w:noProof/>
                        <w:lang w:val="en-GB"/>
                      </w:rPr>
                      <w:t xml:space="preserve">Physics in Medicine &amp; Biology, </w:t>
                    </w:r>
                    <w:r w:rsidRPr="00180E81">
                      <w:rPr>
                        <w:noProof/>
                        <w:lang w:val="en-GB"/>
                      </w:rPr>
                      <w:t xml:space="preserve">vol. 66, 15 November 2021. </w:t>
                    </w:r>
                  </w:p>
                </w:tc>
              </w:tr>
              <w:tr w14:paraId="4D413849" w14:textId="77777777" w:rsidTr="0008660E">
                <w:tblPrEx>
                  <w:tblW w:w="5000" w:type="pct"/>
                  <w:tblCellSpacing w:w="15" w:type="dxa"/>
                  <w:tblCellMar>
                    <w:top w:w="15" w:type="dxa"/>
                    <w:left w:w="15" w:type="dxa"/>
                    <w:bottom w:w="15" w:type="dxa"/>
                    <w:right w:w="15" w:type="dxa"/>
                  </w:tblCellMar>
                  <w:tblLook w:val="04A0"/>
                </w:tblPrEx>
                <w:trPr>
                  <w:tblCellSpacing w:w="15" w:type="dxa"/>
                </w:trPr>
                <w:tc>
                  <w:tcPr>
                    <w:tcW w:w="232" w:type="pct"/>
                    <w:hideMark/>
                  </w:tcPr>
                  <w:p w:rsidR="0008660E" w:rsidP="00576150" w14:paraId="56435F8A" w14:textId="77777777">
                    <w:pPr>
                      <w:rPr>
                        <w:noProof/>
                      </w:rPr>
                    </w:pPr>
                    <w:r>
                      <w:rPr>
                        <w:noProof/>
                      </w:rPr>
                      <w:t xml:space="preserve">[22] </w:t>
                    </w:r>
                  </w:p>
                </w:tc>
                <w:tc>
                  <w:tcPr>
                    <w:tcW w:w="20" w:type="pct"/>
                  </w:tcPr>
                  <w:p w:rsidR="0008660E" w:rsidRPr="00180E81" w:rsidP="00576150" w14:paraId="517B050C" w14:textId="77777777">
                    <w:pPr>
                      <w:rPr>
                        <w:noProof/>
                        <w:lang w:val="en-GB"/>
                      </w:rPr>
                    </w:pPr>
                  </w:p>
                </w:tc>
                <w:tc>
                  <w:tcPr>
                    <w:tcW w:w="4682" w:type="pct"/>
                    <w:hideMark/>
                  </w:tcPr>
                  <w:p w:rsidR="0008660E" w:rsidRPr="00180E81" w:rsidP="00576150" w14:paraId="71B5245F" w14:textId="7E7B0BA7">
                    <w:pPr>
                      <w:rPr>
                        <w:noProof/>
                        <w:lang w:val="en-GB"/>
                      </w:rPr>
                    </w:pPr>
                    <w:r w:rsidRPr="00180E81">
                      <w:rPr>
                        <w:noProof/>
                        <w:lang w:val="en-GB"/>
                      </w:rPr>
                      <w:t xml:space="preserve">V. Giacometti, A. R. Hounsell og C. K. McG, «A review of dose calculation approaches with cone beam CT in photon and proton therapy,» </w:t>
                    </w:r>
                    <w:r w:rsidRPr="00180E81">
                      <w:rPr>
                        <w:i/>
                        <w:iCs/>
                        <w:noProof/>
                        <w:lang w:val="en-GB"/>
                      </w:rPr>
                      <w:t xml:space="preserve">Physica Medica, </w:t>
                    </w:r>
                    <w:r w:rsidRPr="00180E81">
                      <w:rPr>
                        <w:noProof/>
                        <w:lang w:val="en-GB"/>
                      </w:rPr>
                      <w:t xml:space="preserve">pp. 243-276, August 2020. </w:t>
                    </w:r>
                  </w:p>
                </w:tc>
              </w:tr>
              <w:tr w14:paraId="35700EF7" w14:textId="77777777" w:rsidTr="0008660E">
                <w:tblPrEx>
                  <w:tblW w:w="5000" w:type="pct"/>
                  <w:tblCellSpacing w:w="15" w:type="dxa"/>
                  <w:tblCellMar>
                    <w:top w:w="15" w:type="dxa"/>
                    <w:left w:w="15" w:type="dxa"/>
                    <w:bottom w:w="15" w:type="dxa"/>
                    <w:right w:w="15" w:type="dxa"/>
                  </w:tblCellMar>
                  <w:tblLook w:val="04A0"/>
                </w:tblPrEx>
                <w:trPr>
                  <w:tblCellSpacing w:w="15" w:type="dxa"/>
                </w:trPr>
                <w:tc>
                  <w:tcPr>
                    <w:tcW w:w="232" w:type="pct"/>
                    <w:hideMark/>
                  </w:tcPr>
                  <w:p w:rsidR="0008660E" w:rsidP="00576150" w14:paraId="5A193863" w14:textId="77777777">
                    <w:pPr>
                      <w:rPr>
                        <w:noProof/>
                      </w:rPr>
                    </w:pPr>
                    <w:r>
                      <w:rPr>
                        <w:noProof/>
                      </w:rPr>
                      <w:t xml:space="preserve">[23] </w:t>
                    </w:r>
                  </w:p>
                </w:tc>
                <w:tc>
                  <w:tcPr>
                    <w:tcW w:w="20" w:type="pct"/>
                  </w:tcPr>
                  <w:p w:rsidR="0008660E" w:rsidRPr="00180E81" w:rsidP="00576150" w14:paraId="221C3F2B" w14:textId="77777777">
                    <w:pPr>
                      <w:rPr>
                        <w:noProof/>
                        <w:lang w:val="en-GB"/>
                      </w:rPr>
                    </w:pPr>
                  </w:p>
                </w:tc>
                <w:tc>
                  <w:tcPr>
                    <w:tcW w:w="4682" w:type="pct"/>
                    <w:hideMark/>
                  </w:tcPr>
                  <w:p w:rsidR="0008660E" w:rsidRPr="00180E81" w:rsidP="00576150" w14:paraId="14950F13" w14:textId="777D6F1A">
                    <w:pPr>
                      <w:rPr>
                        <w:noProof/>
                        <w:lang w:val="en-GB"/>
                      </w:rPr>
                    </w:pPr>
                    <w:r w:rsidRPr="00180E81">
                      <w:rPr>
                        <w:noProof/>
                        <w:lang w:val="en-GB"/>
                      </w:rPr>
                      <w:t>AAPM Task Group 202, «Physical Uncertainties in the Planning and Delivery of Light Ion Beam Treatments,» 2020.</w:t>
                    </w:r>
                  </w:p>
                </w:tc>
              </w:tr>
              <w:tr w14:paraId="17D52AAC" w14:textId="77777777" w:rsidTr="0008660E">
                <w:tblPrEx>
                  <w:tblW w:w="5000" w:type="pct"/>
                  <w:tblCellSpacing w:w="15" w:type="dxa"/>
                  <w:tblCellMar>
                    <w:top w:w="15" w:type="dxa"/>
                    <w:left w:w="15" w:type="dxa"/>
                    <w:bottom w:w="15" w:type="dxa"/>
                    <w:right w:w="15" w:type="dxa"/>
                  </w:tblCellMar>
                  <w:tblLook w:val="04A0"/>
                </w:tblPrEx>
                <w:trPr>
                  <w:tblCellSpacing w:w="15" w:type="dxa"/>
                </w:trPr>
                <w:tc>
                  <w:tcPr>
                    <w:tcW w:w="232" w:type="pct"/>
                    <w:hideMark/>
                  </w:tcPr>
                  <w:p w:rsidR="0008660E" w:rsidP="00576150" w14:paraId="26FAE303" w14:textId="77777777">
                    <w:pPr>
                      <w:rPr>
                        <w:noProof/>
                      </w:rPr>
                    </w:pPr>
                    <w:r>
                      <w:rPr>
                        <w:noProof/>
                      </w:rPr>
                      <w:t xml:space="preserve">[24] </w:t>
                    </w:r>
                  </w:p>
                </w:tc>
                <w:tc>
                  <w:tcPr>
                    <w:tcW w:w="20" w:type="pct"/>
                  </w:tcPr>
                  <w:p w:rsidR="0008660E" w:rsidRPr="00180E81" w:rsidP="00576150" w14:paraId="6F9D5170" w14:textId="77777777">
                    <w:pPr>
                      <w:rPr>
                        <w:noProof/>
                        <w:lang w:val="en-GB"/>
                      </w:rPr>
                    </w:pPr>
                  </w:p>
                </w:tc>
                <w:tc>
                  <w:tcPr>
                    <w:tcW w:w="4682" w:type="pct"/>
                    <w:hideMark/>
                  </w:tcPr>
                  <w:p w:rsidR="0008660E" w:rsidRPr="00180E81" w:rsidP="00576150" w14:paraId="01E3B64C" w14:textId="30B01EE0">
                    <w:pPr>
                      <w:rPr>
                        <w:noProof/>
                        <w:lang w:val="en-GB"/>
                      </w:rPr>
                    </w:pPr>
                    <w:r w:rsidRPr="00180E81">
                      <w:rPr>
                        <w:noProof/>
                        <w:lang w:val="en-GB"/>
                      </w:rPr>
                      <w:t>Report 36 of the Netherlands Commission on Radiation Dosimetry, «Quality Assurance of MRI for Radiotherapy,» 2023.</w:t>
                    </w:r>
                  </w:p>
                </w:tc>
              </w:tr>
              <w:tr w14:paraId="60F56124" w14:textId="77777777" w:rsidTr="0008660E">
                <w:tblPrEx>
                  <w:tblW w:w="5000" w:type="pct"/>
                  <w:tblCellSpacing w:w="15" w:type="dxa"/>
                  <w:tblCellMar>
                    <w:top w:w="15" w:type="dxa"/>
                    <w:left w:w="15" w:type="dxa"/>
                    <w:bottom w:w="15" w:type="dxa"/>
                    <w:right w:w="15" w:type="dxa"/>
                  </w:tblCellMar>
                  <w:tblLook w:val="04A0"/>
                </w:tblPrEx>
                <w:trPr>
                  <w:tblCellSpacing w:w="15" w:type="dxa"/>
                </w:trPr>
                <w:tc>
                  <w:tcPr>
                    <w:tcW w:w="232" w:type="pct"/>
                    <w:hideMark/>
                  </w:tcPr>
                  <w:p w:rsidR="0008660E" w:rsidP="00576150" w14:paraId="67D2D0A4" w14:textId="77777777">
                    <w:pPr>
                      <w:rPr>
                        <w:noProof/>
                      </w:rPr>
                    </w:pPr>
                    <w:r>
                      <w:rPr>
                        <w:noProof/>
                      </w:rPr>
                      <w:t xml:space="preserve">[25] </w:t>
                    </w:r>
                  </w:p>
                </w:tc>
                <w:tc>
                  <w:tcPr>
                    <w:tcW w:w="20" w:type="pct"/>
                  </w:tcPr>
                  <w:p w:rsidR="0008660E" w:rsidP="00576150" w14:paraId="132B29CF" w14:textId="77777777">
                    <w:pPr>
                      <w:rPr>
                        <w:noProof/>
                      </w:rPr>
                    </w:pPr>
                  </w:p>
                </w:tc>
                <w:tc>
                  <w:tcPr>
                    <w:tcW w:w="4682" w:type="pct"/>
                    <w:hideMark/>
                  </w:tcPr>
                  <w:p w:rsidR="0008660E" w:rsidP="00576150" w14:paraId="1D9B115A" w14:textId="014A1C45">
                    <w:pPr>
                      <w:rPr>
                        <w:noProof/>
                      </w:rPr>
                    </w:pPr>
                    <w:r>
                      <w:rPr>
                        <w:noProof/>
                      </w:rPr>
                      <w:t xml:space="preserve">M. Schmidt og G. S. Payne, «Radiotherapy planning using MRI,» </w:t>
                    </w:r>
                    <w:r>
                      <w:rPr>
                        <w:i/>
                        <w:iCs/>
                        <w:noProof/>
                      </w:rPr>
                      <w:t xml:space="preserve">Phys. Med. Biol., </w:t>
                    </w:r>
                    <w:r>
                      <w:rPr>
                        <w:noProof/>
                      </w:rPr>
                      <w:t xml:space="preserve">pp. R323-361, 2015. </w:t>
                    </w:r>
                  </w:p>
                </w:tc>
              </w:tr>
              <w:tr w14:paraId="75D30834" w14:textId="77777777" w:rsidTr="0008660E">
                <w:tblPrEx>
                  <w:tblW w:w="5000" w:type="pct"/>
                  <w:tblCellSpacing w:w="15" w:type="dxa"/>
                  <w:tblCellMar>
                    <w:top w:w="15" w:type="dxa"/>
                    <w:left w:w="15" w:type="dxa"/>
                    <w:bottom w:w="15" w:type="dxa"/>
                    <w:right w:w="15" w:type="dxa"/>
                  </w:tblCellMar>
                  <w:tblLook w:val="04A0"/>
                </w:tblPrEx>
                <w:trPr>
                  <w:tblCellSpacing w:w="15" w:type="dxa"/>
                </w:trPr>
                <w:tc>
                  <w:tcPr>
                    <w:tcW w:w="232" w:type="pct"/>
                    <w:hideMark/>
                  </w:tcPr>
                  <w:p w:rsidR="0008660E" w:rsidP="00576150" w14:paraId="409C8BCD" w14:textId="77777777">
                    <w:pPr>
                      <w:rPr>
                        <w:noProof/>
                      </w:rPr>
                    </w:pPr>
                    <w:r>
                      <w:rPr>
                        <w:noProof/>
                      </w:rPr>
                      <w:t xml:space="preserve">[26] </w:t>
                    </w:r>
                  </w:p>
                </w:tc>
                <w:tc>
                  <w:tcPr>
                    <w:tcW w:w="20" w:type="pct"/>
                  </w:tcPr>
                  <w:p w:rsidR="0008660E" w:rsidP="00576150" w14:paraId="77F9B919" w14:textId="77777777">
                    <w:pPr>
                      <w:rPr>
                        <w:noProof/>
                      </w:rPr>
                    </w:pPr>
                  </w:p>
                </w:tc>
                <w:tc>
                  <w:tcPr>
                    <w:tcW w:w="4682" w:type="pct"/>
                    <w:hideMark/>
                  </w:tcPr>
                  <w:p w:rsidR="0008660E" w:rsidP="00576150" w14:paraId="50AC1CA0" w14:textId="79EF9A27">
                    <w:pPr>
                      <w:rPr>
                        <w:noProof/>
                      </w:rPr>
                    </w:pPr>
                    <w:r>
                      <w:rPr>
                        <w:noProof/>
                      </w:rPr>
                      <w:t xml:space="preserve">U. A. van der Heide, M. Frantzen-Steneker, E. Astreinidou, M. E. Nowee og P. J. van Houdt, «MRI basics for radiation oncologists,» </w:t>
                    </w:r>
                    <w:r>
                      <w:rPr>
                        <w:i/>
                        <w:iCs/>
                        <w:noProof/>
                      </w:rPr>
                      <w:t xml:space="preserve">Clin Transl Radiat Oncol., </w:t>
                    </w:r>
                    <w:r>
                      <w:rPr>
                        <w:noProof/>
                      </w:rPr>
                      <w:t xml:space="preserve">pp. 74-79, 18 Sept 2019. </w:t>
                    </w:r>
                  </w:p>
                </w:tc>
              </w:tr>
              <w:tr w14:paraId="72A4A9BA" w14:textId="77777777" w:rsidTr="0008660E">
                <w:tblPrEx>
                  <w:tblW w:w="5000" w:type="pct"/>
                  <w:tblCellSpacing w:w="15" w:type="dxa"/>
                  <w:tblCellMar>
                    <w:top w:w="15" w:type="dxa"/>
                    <w:left w:w="15" w:type="dxa"/>
                    <w:bottom w:w="15" w:type="dxa"/>
                    <w:right w:w="15" w:type="dxa"/>
                  </w:tblCellMar>
                  <w:tblLook w:val="04A0"/>
                </w:tblPrEx>
                <w:trPr>
                  <w:tblCellSpacing w:w="15" w:type="dxa"/>
                </w:trPr>
                <w:tc>
                  <w:tcPr>
                    <w:tcW w:w="232" w:type="pct"/>
                    <w:hideMark/>
                  </w:tcPr>
                  <w:p w:rsidR="0008660E" w:rsidP="00576150" w14:paraId="3BEEAA2D" w14:textId="77777777">
                    <w:pPr>
                      <w:rPr>
                        <w:noProof/>
                      </w:rPr>
                    </w:pPr>
                    <w:r>
                      <w:rPr>
                        <w:noProof/>
                      </w:rPr>
                      <w:t xml:space="preserve">[27] </w:t>
                    </w:r>
                  </w:p>
                </w:tc>
                <w:tc>
                  <w:tcPr>
                    <w:tcW w:w="20" w:type="pct"/>
                  </w:tcPr>
                  <w:p w:rsidR="0008660E" w:rsidRPr="00180E81" w:rsidP="00576150" w14:paraId="00DB8C8D" w14:textId="77777777">
                    <w:pPr>
                      <w:rPr>
                        <w:noProof/>
                        <w:lang w:val="en-GB"/>
                      </w:rPr>
                    </w:pPr>
                  </w:p>
                </w:tc>
                <w:tc>
                  <w:tcPr>
                    <w:tcW w:w="4682" w:type="pct"/>
                    <w:hideMark/>
                  </w:tcPr>
                  <w:p w:rsidR="0008660E" w:rsidRPr="0008660E" w:rsidP="00576150" w14:paraId="4E0360C8" w14:textId="423EDE1B">
                    <w:pPr>
                      <w:rPr>
                        <w:noProof/>
                        <w:lang w:val="en-GB"/>
                      </w:rPr>
                    </w:pPr>
                    <w:r w:rsidRPr="00180E81">
                      <w:rPr>
                        <w:noProof/>
                        <w:lang w:val="en-GB"/>
                      </w:rPr>
                      <w:t xml:space="preserve">C. Gustafsson, M. Sohlin og L. Filipsson, «Method book for the use of MRI in radiotherapy,» 15 12 2016. </w:t>
                    </w:r>
                    <w:r w:rsidRPr="0008660E">
                      <w:rPr>
                        <w:noProof/>
                        <w:lang w:val="en-GB"/>
                      </w:rPr>
                      <w:t xml:space="preserve">[Internett]. </w:t>
                    </w:r>
                  </w:p>
                </w:tc>
              </w:tr>
              <w:tr w14:paraId="4FA7283A" w14:textId="77777777" w:rsidTr="0008660E">
                <w:tblPrEx>
                  <w:tblW w:w="5000" w:type="pct"/>
                  <w:tblCellSpacing w:w="15" w:type="dxa"/>
                  <w:tblCellMar>
                    <w:top w:w="15" w:type="dxa"/>
                    <w:left w:w="15" w:type="dxa"/>
                    <w:bottom w:w="15" w:type="dxa"/>
                    <w:right w:w="15" w:type="dxa"/>
                  </w:tblCellMar>
                  <w:tblLook w:val="04A0"/>
                </w:tblPrEx>
                <w:trPr>
                  <w:tblCellSpacing w:w="15" w:type="dxa"/>
                </w:trPr>
                <w:tc>
                  <w:tcPr>
                    <w:tcW w:w="232" w:type="pct"/>
                    <w:hideMark/>
                  </w:tcPr>
                  <w:p w:rsidR="0008660E" w:rsidP="00576150" w14:paraId="321032F1" w14:textId="77777777">
                    <w:pPr>
                      <w:rPr>
                        <w:noProof/>
                      </w:rPr>
                    </w:pPr>
                    <w:r>
                      <w:rPr>
                        <w:noProof/>
                      </w:rPr>
                      <w:t xml:space="preserve">[28] </w:t>
                    </w:r>
                  </w:p>
                </w:tc>
                <w:tc>
                  <w:tcPr>
                    <w:tcW w:w="20" w:type="pct"/>
                  </w:tcPr>
                  <w:p w:rsidR="0008660E" w:rsidRPr="00180E81" w:rsidP="00576150" w14:paraId="3275B6E6" w14:textId="77777777">
                    <w:pPr>
                      <w:rPr>
                        <w:noProof/>
                        <w:lang w:val="en-GB"/>
                      </w:rPr>
                    </w:pPr>
                  </w:p>
                </w:tc>
                <w:tc>
                  <w:tcPr>
                    <w:tcW w:w="4682" w:type="pct"/>
                    <w:hideMark/>
                  </w:tcPr>
                  <w:p w:rsidR="0008660E" w:rsidRPr="00180E81" w:rsidP="00576150" w14:paraId="327F1075" w14:textId="01ABAF6E">
                    <w:pPr>
                      <w:rPr>
                        <w:noProof/>
                        <w:lang w:val="en-GB"/>
                      </w:rPr>
                    </w:pPr>
                    <w:r w:rsidRPr="00180E81">
                      <w:rPr>
                        <w:noProof/>
                        <w:lang w:val="en-GB"/>
                      </w:rPr>
                      <w:t xml:space="preserve">C. K. Glide-Hurst, E. S. Paulson, K. McGee, N. Tyagi, Y. Hu, J. Balter og J. Bayouth, «Task group 284 report: magnetic resonance imaging simulation in radiotherapy: considerations for clinical implementation, optimization, and quality assurance,» </w:t>
                    </w:r>
                    <w:r w:rsidRPr="00180E81">
                      <w:rPr>
                        <w:i/>
                        <w:iCs/>
                        <w:noProof/>
                        <w:lang w:val="en-GB"/>
                      </w:rPr>
                      <w:t xml:space="preserve">Med Phys, </w:t>
                    </w:r>
                    <w:r w:rsidRPr="00180E81">
                      <w:rPr>
                        <w:noProof/>
                        <w:lang w:val="en-GB"/>
                      </w:rPr>
                      <w:t xml:space="preserve">vol. 48, pp. e636-e670, Jul 2021. </w:t>
                    </w:r>
                  </w:p>
                </w:tc>
              </w:tr>
              <w:tr w14:paraId="650FABF2" w14:textId="77777777" w:rsidTr="0008660E">
                <w:tblPrEx>
                  <w:tblW w:w="5000" w:type="pct"/>
                  <w:tblCellSpacing w:w="15" w:type="dxa"/>
                  <w:tblCellMar>
                    <w:top w:w="15" w:type="dxa"/>
                    <w:left w:w="15" w:type="dxa"/>
                    <w:bottom w:w="15" w:type="dxa"/>
                    <w:right w:w="15" w:type="dxa"/>
                  </w:tblCellMar>
                  <w:tblLook w:val="04A0"/>
                </w:tblPrEx>
                <w:trPr>
                  <w:tblCellSpacing w:w="15" w:type="dxa"/>
                </w:trPr>
                <w:tc>
                  <w:tcPr>
                    <w:tcW w:w="232" w:type="pct"/>
                    <w:hideMark/>
                  </w:tcPr>
                  <w:p w:rsidR="0008660E" w:rsidP="00576150" w14:paraId="5ABF1D19" w14:textId="77777777">
                    <w:pPr>
                      <w:rPr>
                        <w:noProof/>
                      </w:rPr>
                    </w:pPr>
                    <w:r>
                      <w:rPr>
                        <w:noProof/>
                      </w:rPr>
                      <w:t xml:space="preserve">[29] </w:t>
                    </w:r>
                  </w:p>
                </w:tc>
                <w:tc>
                  <w:tcPr>
                    <w:tcW w:w="20" w:type="pct"/>
                  </w:tcPr>
                  <w:p w:rsidR="0008660E" w:rsidRPr="00180E81" w:rsidP="00576150" w14:paraId="51C458CB" w14:textId="77777777">
                    <w:pPr>
                      <w:rPr>
                        <w:noProof/>
                        <w:lang w:val="en-GB"/>
                      </w:rPr>
                    </w:pPr>
                  </w:p>
                </w:tc>
                <w:tc>
                  <w:tcPr>
                    <w:tcW w:w="4682" w:type="pct"/>
                    <w:hideMark/>
                  </w:tcPr>
                  <w:p w:rsidR="0008660E" w:rsidRPr="00180E81" w:rsidP="00576150" w14:paraId="70CC34BA" w14:textId="68F673C6">
                    <w:pPr>
                      <w:rPr>
                        <w:noProof/>
                        <w:lang w:val="en-GB"/>
                      </w:rPr>
                    </w:pPr>
                    <w:r w:rsidRPr="00180E81">
                      <w:rPr>
                        <w:noProof/>
                        <w:lang w:val="en-GB"/>
                      </w:rPr>
                      <w:t>Danish Head and Neck Cancer Group, «DAHANCA 35,» 2020.</w:t>
                    </w:r>
                  </w:p>
                </w:tc>
              </w:tr>
              <w:tr w14:paraId="1A1B87E2" w14:textId="77777777" w:rsidTr="0008660E">
                <w:tblPrEx>
                  <w:tblW w:w="5000" w:type="pct"/>
                  <w:tblCellSpacing w:w="15" w:type="dxa"/>
                  <w:tblCellMar>
                    <w:top w:w="15" w:type="dxa"/>
                    <w:left w:w="15" w:type="dxa"/>
                    <w:bottom w:w="15" w:type="dxa"/>
                    <w:right w:w="15" w:type="dxa"/>
                  </w:tblCellMar>
                  <w:tblLook w:val="04A0"/>
                </w:tblPrEx>
                <w:trPr>
                  <w:tblCellSpacing w:w="15" w:type="dxa"/>
                </w:trPr>
                <w:tc>
                  <w:tcPr>
                    <w:tcW w:w="232" w:type="pct"/>
                    <w:hideMark/>
                  </w:tcPr>
                  <w:p w:rsidR="0008660E" w:rsidP="00576150" w14:paraId="25443DCE" w14:textId="77777777">
                    <w:pPr>
                      <w:rPr>
                        <w:noProof/>
                      </w:rPr>
                    </w:pPr>
                    <w:r>
                      <w:rPr>
                        <w:noProof/>
                      </w:rPr>
                      <w:t xml:space="preserve">[30] </w:t>
                    </w:r>
                  </w:p>
                </w:tc>
                <w:tc>
                  <w:tcPr>
                    <w:tcW w:w="20" w:type="pct"/>
                  </w:tcPr>
                  <w:p w:rsidR="0008660E" w:rsidRPr="00180E81" w:rsidP="00576150" w14:paraId="38C13811" w14:textId="77777777">
                    <w:pPr>
                      <w:rPr>
                        <w:noProof/>
                        <w:lang w:val="en-GB"/>
                      </w:rPr>
                    </w:pPr>
                  </w:p>
                </w:tc>
                <w:tc>
                  <w:tcPr>
                    <w:tcW w:w="4682" w:type="pct"/>
                    <w:hideMark/>
                  </w:tcPr>
                  <w:p w:rsidR="0008660E" w:rsidRPr="00180E81" w:rsidP="00576150" w14:paraId="4603C7F9" w14:textId="748F4E71">
                    <w:pPr>
                      <w:rPr>
                        <w:noProof/>
                        <w:lang w:val="en-GB"/>
                      </w:rPr>
                    </w:pPr>
                    <w:r w:rsidRPr="00180E81">
                      <w:rPr>
                        <w:noProof/>
                        <w:lang w:val="en-GB"/>
                      </w:rPr>
                      <w:t xml:space="preserve">R. A. Rutherford, B. R. Pullan og I. Isherwood, «Measurement of effective atomic number and electron density using an EMI scanner,» </w:t>
                    </w:r>
                    <w:r w:rsidRPr="00180E81">
                      <w:rPr>
                        <w:i/>
                        <w:iCs/>
                        <w:noProof/>
                        <w:lang w:val="en-GB"/>
                      </w:rPr>
                      <w:t xml:space="preserve">Neuroradiology, </w:t>
                    </w:r>
                    <w:r w:rsidRPr="00180E81">
                      <w:rPr>
                        <w:noProof/>
                        <w:lang w:val="en-GB"/>
                      </w:rPr>
                      <w:t xml:space="preserve">nr. 11, pp. 15-21, May 1976. </w:t>
                    </w:r>
                  </w:p>
                </w:tc>
              </w:tr>
              <w:tr w14:paraId="3BEB985F" w14:textId="77777777" w:rsidTr="0008660E">
                <w:tblPrEx>
                  <w:tblW w:w="5000" w:type="pct"/>
                  <w:tblCellSpacing w:w="15" w:type="dxa"/>
                  <w:tblCellMar>
                    <w:top w:w="15" w:type="dxa"/>
                    <w:left w:w="15" w:type="dxa"/>
                    <w:bottom w:w="15" w:type="dxa"/>
                    <w:right w:w="15" w:type="dxa"/>
                  </w:tblCellMar>
                  <w:tblLook w:val="04A0"/>
                </w:tblPrEx>
                <w:trPr>
                  <w:tblCellSpacing w:w="15" w:type="dxa"/>
                </w:trPr>
                <w:tc>
                  <w:tcPr>
                    <w:tcW w:w="232" w:type="pct"/>
                    <w:hideMark/>
                  </w:tcPr>
                  <w:p w:rsidR="0008660E" w:rsidP="00576150" w14:paraId="2D389636" w14:textId="77777777">
                    <w:pPr>
                      <w:rPr>
                        <w:noProof/>
                      </w:rPr>
                    </w:pPr>
                    <w:r>
                      <w:rPr>
                        <w:noProof/>
                      </w:rPr>
                      <w:t xml:space="preserve">[31] </w:t>
                    </w:r>
                  </w:p>
                </w:tc>
                <w:tc>
                  <w:tcPr>
                    <w:tcW w:w="20" w:type="pct"/>
                  </w:tcPr>
                  <w:p w:rsidR="0008660E" w:rsidRPr="00180E81" w:rsidP="00576150" w14:paraId="35CDFD06" w14:textId="77777777">
                    <w:pPr>
                      <w:rPr>
                        <w:noProof/>
                        <w:lang w:val="en-GB"/>
                      </w:rPr>
                    </w:pPr>
                  </w:p>
                </w:tc>
                <w:tc>
                  <w:tcPr>
                    <w:tcW w:w="4682" w:type="pct"/>
                    <w:hideMark/>
                  </w:tcPr>
                  <w:p w:rsidR="0008660E" w:rsidRPr="00180E81" w:rsidP="00576150" w14:paraId="6EE7566D" w14:textId="6790B71F">
                    <w:pPr>
                      <w:rPr>
                        <w:noProof/>
                        <w:lang w:val="en-GB"/>
                      </w:rPr>
                    </w:pPr>
                    <w:r w:rsidRPr="00180E81">
                      <w:rPr>
                        <w:noProof/>
                        <w:lang w:val="en-GB"/>
                      </w:rPr>
                      <w:t xml:space="preserve">B. van der Heyden, M. Öllers, A. Ritter, F. Verhaegen og W. van Elmpt, «Clinical evaluation of a novel CT image reconstruction algorithm for direct dose calculations,» </w:t>
                    </w:r>
                    <w:r w:rsidRPr="00180E81">
                      <w:rPr>
                        <w:i/>
                        <w:iCs/>
                        <w:noProof/>
                        <w:lang w:val="en-GB"/>
                      </w:rPr>
                      <w:t xml:space="preserve">Physics and Imaging in Radiation Oncology, </w:t>
                    </w:r>
                    <w:r w:rsidRPr="00180E81">
                      <w:rPr>
                        <w:noProof/>
                        <w:lang w:val="en-GB"/>
                      </w:rPr>
                      <w:t xml:space="preserve">vol. 2, pp. 11-16, March 2017. </w:t>
                    </w:r>
                  </w:p>
                </w:tc>
              </w:tr>
              <w:tr w14:paraId="446562F9" w14:textId="77777777" w:rsidTr="0008660E">
                <w:tblPrEx>
                  <w:tblW w:w="5000" w:type="pct"/>
                  <w:tblCellSpacing w:w="15" w:type="dxa"/>
                  <w:tblCellMar>
                    <w:top w:w="15" w:type="dxa"/>
                    <w:left w:w="15" w:type="dxa"/>
                    <w:bottom w:w="15" w:type="dxa"/>
                    <w:right w:w="15" w:type="dxa"/>
                  </w:tblCellMar>
                  <w:tblLook w:val="04A0"/>
                </w:tblPrEx>
                <w:trPr>
                  <w:tblCellSpacing w:w="15" w:type="dxa"/>
                </w:trPr>
                <w:tc>
                  <w:tcPr>
                    <w:tcW w:w="232" w:type="pct"/>
                    <w:hideMark/>
                  </w:tcPr>
                  <w:p w:rsidR="0008660E" w:rsidP="00576150" w14:paraId="58414941" w14:textId="77777777">
                    <w:pPr>
                      <w:rPr>
                        <w:noProof/>
                      </w:rPr>
                    </w:pPr>
                    <w:r>
                      <w:rPr>
                        <w:noProof/>
                      </w:rPr>
                      <w:t xml:space="preserve">[32] </w:t>
                    </w:r>
                  </w:p>
                </w:tc>
                <w:tc>
                  <w:tcPr>
                    <w:tcW w:w="20" w:type="pct"/>
                  </w:tcPr>
                  <w:p w:rsidR="0008660E" w:rsidRPr="00180E81" w:rsidP="00576150" w14:paraId="0E533F07" w14:textId="77777777">
                    <w:pPr>
                      <w:rPr>
                        <w:noProof/>
                        <w:lang w:val="en-GB"/>
                      </w:rPr>
                    </w:pPr>
                  </w:p>
                </w:tc>
                <w:tc>
                  <w:tcPr>
                    <w:tcW w:w="4682" w:type="pct"/>
                    <w:hideMark/>
                  </w:tcPr>
                  <w:p w:rsidR="0008660E" w:rsidRPr="00180E81" w:rsidP="00576150" w14:paraId="5BA42D29" w14:textId="3A70A413">
                    <w:pPr>
                      <w:rPr>
                        <w:noProof/>
                        <w:lang w:val="en-GB"/>
                      </w:rPr>
                    </w:pPr>
                    <w:r w:rsidRPr="00180E81">
                      <w:rPr>
                        <w:noProof/>
                        <w:lang w:val="en-GB"/>
                      </w:rPr>
                      <w:t xml:space="preserve">K. Jiang, M. MacFarlane, S. Mossahebi og M. J. Zakhary, «Evaluation of treatment planning system accuracy in estimating the stopping-power ratio of immobilization devices for proton therapy,» </w:t>
                    </w:r>
                    <w:r w:rsidRPr="00180E81">
                      <w:rPr>
                        <w:i/>
                        <w:iCs/>
                        <w:noProof/>
                        <w:lang w:val="en-GB"/>
                      </w:rPr>
                      <w:t xml:space="preserve">Journal of Applied Clinical Medical Physics, </w:t>
                    </w:r>
                    <w:r w:rsidRPr="00180E81">
                      <w:rPr>
                        <w:noProof/>
                        <w:lang w:val="en-GB"/>
                      </w:rPr>
                      <w:t xml:space="preserve">vol. 24, February 2023. </w:t>
                    </w:r>
                  </w:p>
                </w:tc>
              </w:tr>
              <w:tr w14:paraId="675DD0B0" w14:textId="77777777" w:rsidTr="0008660E">
                <w:tblPrEx>
                  <w:tblW w:w="5000" w:type="pct"/>
                  <w:tblCellSpacing w:w="15" w:type="dxa"/>
                  <w:tblCellMar>
                    <w:top w:w="15" w:type="dxa"/>
                    <w:left w:w="15" w:type="dxa"/>
                    <w:bottom w:w="15" w:type="dxa"/>
                    <w:right w:w="15" w:type="dxa"/>
                  </w:tblCellMar>
                  <w:tblLook w:val="04A0"/>
                </w:tblPrEx>
                <w:trPr>
                  <w:tblCellSpacing w:w="15" w:type="dxa"/>
                </w:trPr>
                <w:tc>
                  <w:tcPr>
                    <w:tcW w:w="232" w:type="pct"/>
                    <w:hideMark/>
                  </w:tcPr>
                  <w:p w:rsidR="0008660E" w:rsidP="00576150" w14:paraId="0092C593" w14:textId="77777777">
                    <w:pPr>
                      <w:rPr>
                        <w:noProof/>
                      </w:rPr>
                    </w:pPr>
                    <w:r>
                      <w:rPr>
                        <w:noProof/>
                      </w:rPr>
                      <w:t xml:space="preserve">[33] </w:t>
                    </w:r>
                  </w:p>
                </w:tc>
                <w:tc>
                  <w:tcPr>
                    <w:tcW w:w="20" w:type="pct"/>
                  </w:tcPr>
                  <w:p w:rsidR="0008660E" w:rsidRPr="00180E81" w:rsidP="00576150" w14:paraId="2FDEC351" w14:textId="77777777">
                    <w:pPr>
                      <w:rPr>
                        <w:noProof/>
                        <w:lang w:val="en-GB"/>
                      </w:rPr>
                    </w:pPr>
                  </w:p>
                </w:tc>
                <w:tc>
                  <w:tcPr>
                    <w:tcW w:w="4682" w:type="pct"/>
                    <w:hideMark/>
                  </w:tcPr>
                  <w:p w:rsidR="0008660E" w:rsidRPr="00180E81" w:rsidP="00576150" w14:paraId="19B24716" w14:textId="2AA5A604">
                    <w:pPr>
                      <w:rPr>
                        <w:noProof/>
                        <w:lang w:val="en-GB"/>
                      </w:rPr>
                    </w:pPr>
                    <w:r w:rsidRPr="00180E81">
                      <w:rPr>
                        <w:noProof/>
                        <w:lang w:val="en-GB"/>
                      </w:rPr>
                      <w:t xml:space="preserve">M. Yang, P. Wohlfahrt, C. Shen og H. Bouchard, «Dual- and multi-energy CT for particle stopping-power estimation: current state, challenges and potential,» </w:t>
                    </w:r>
                    <w:r w:rsidRPr="00180E81">
                      <w:rPr>
                        <w:i/>
                        <w:iCs/>
                        <w:noProof/>
                        <w:lang w:val="en-GB"/>
                      </w:rPr>
                      <w:t xml:space="preserve">Physics in Medicine and Biology, </w:t>
                    </w:r>
                    <w:r w:rsidRPr="00180E81">
                      <w:rPr>
                        <w:noProof/>
                        <w:lang w:val="en-GB"/>
                      </w:rPr>
                      <w:t xml:space="preserve">vol. 68, 6 February 2023. </w:t>
                    </w:r>
                  </w:p>
                </w:tc>
              </w:tr>
              <w:tr w14:paraId="530FDEED" w14:textId="77777777" w:rsidTr="0008660E">
                <w:tblPrEx>
                  <w:tblW w:w="5000" w:type="pct"/>
                  <w:tblCellSpacing w:w="15" w:type="dxa"/>
                  <w:tblCellMar>
                    <w:top w:w="15" w:type="dxa"/>
                    <w:left w:w="15" w:type="dxa"/>
                    <w:bottom w:w="15" w:type="dxa"/>
                    <w:right w:w="15" w:type="dxa"/>
                  </w:tblCellMar>
                  <w:tblLook w:val="04A0"/>
                </w:tblPrEx>
                <w:trPr>
                  <w:tblCellSpacing w:w="15" w:type="dxa"/>
                </w:trPr>
                <w:tc>
                  <w:tcPr>
                    <w:tcW w:w="232" w:type="pct"/>
                    <w:hideMark/>
                  </w:tcPr>
                  <w:p w:rsidR="0008660E" w:rsidP="00576150" w14:paraId="151BD009" w14:textId="77777777">
                    <w:pPr>
                      <w:rPr>
                        <w:noProof/>
                      </w:rPr>
                    </w:pPr>
                    <w:r>
                      <w:rPr>
                        <w:noProof/>
                      </w:rPr>
                      <w:t xml:space="preserve">[34] </w:t>
                    </w:r>
                  </w:p>
                </w:tc>
                <w:tc>
                  <w:tcPr>
                    <w:tcW w:w="20" w:type="pct"/>
                  </w:tcPr>
                  <w:p w:rsidR="0008660E" w:rsidRPr="00180E81" w:rsidP="00576150" w14:paraId="2FD0DACF" w14:textId="77777777">
                    <w:pPr>
                      <w:rPr>
                        <w:noProof/>
                        <w:lang w:val="en-GB"/>
                      </w:rPr>
                    </w:pPr>
                  </w:p>
                </w:tc>
                <w:tc>
                  <w:tcPr>
                    <w:tcW w:w="4682" w:type="pct"/>
                    <w:hideMark/>
                  </w:tcPr>
                  <w:p w:rsidR="0008660E" w:rsidRPr="00180E81" w:rsidP="00576150" w14:paraId="6708AE34" w14:textId="0FF7C86E">
                    <w:pPr>
                      <w:rPr>
                        <w:noProof/>
                        <w:lang w:val="en-GB"/>
                      </w:rPr>
                    </w:pPr>
                    <w:r w:rsidRPr="00180E81">
                      <w:rPr>
                        <w:noProof/>
                        <w:lang w:val="en-GB"/>
                      </w:rPr>
                      <w:t xml:space="preserve">P. Wohlfahrt, E. G. C. Troost, C. Hofmann, C. Richter og A. Jakobi, «Clinical Feasibility of Single-Source Dual-spiral 4D Dual-Energy CT for Proton Treatment Planning Within the Thoracic Region,» </w:t>
                    </w:r>
                    <w:r w:rsidRPr="00180E81">
                      <w:rPr>
                        <w:i/>
                        <w:iCs/>
                        <w:noProof/>
                        <w:lang w:val="en-GB"/>
                      </w:rPr>
                      <w:t xml:space="preserve">Int J Radiat Oncol Biol Phys, </w:t>
                    </w:r>
                    <w:r w:rsidRPr="00180E81">
                      <w:rPr>
                        <w:noProof/>
                        <w:lang w:val="en-GB"/>
                      </w:rPr>
                      <w:t xml:space="preserve">vol. 102, nr. 4, pp. 830-840, 15 Nov 2018. </w:t>
                    </w:r>
                  </w:p>
                </w:tc>
              </w:tr>
              <w:tr w14:paraId="1D31249C" w14:textId="77777777" w:rsidTr="0008660E">
                <w:tblPrEx>
                  <w:tblW w:w="5000" w:type="pct"/>
                  <w:tblCellSpacing w:w="15" w:type="dxa"/>
                  <w:tblCellMar>
                    <w:top w:w="15" w:type="dxa"/>
                    <w:left w:w="15" w:type="dxa"/>
                    <w:bottom w:w="15" w:type="dxa"/>
                    <w:right w:w="15" w:type="dxa"/>
                  </w:tblCellMar>
                  <w:tblLook w:val="04A0"/>
                </w:tblPrEx>
                <w:trPr>
                  <w:tblCellSpacing w:w="15" w:type="dxa"/>
                </w:trPr>
                <w:tc>
                  <w:tcPr>
                    <w:tcW w:w="232" w:type="pct"/>
                    <w:hideMark/>
                  </w:tcPr>
                  <w:p w:rsidR="0008660E" w:rsidP="00576150" w14:paraId="22E8025E" w14:textId="77777777">
                    <w:pPr>
                      <w:rPr>
                        <w:noProof/>
                      </w:rPr>
                    </w:pPr>
                    <w:r>
                      <w:rPr>
                        <w:noProof/>
                      </w:rPr>
                      <w:t xml:space="preserve">[35] </w:t>
                    </w:r>
                  </w:p>
                </w:tc>
                <w:tc>
                  <w:tcPr>
                    <w:tcW w:w="20" w:type="pct"/>
                  </w:tcPr>
                  <w:p w:rsidR="0008660E" w:rsidRPr="00180E81" w:rsidP="00576150" w14:paraId="5ECC00E4" w14:textId="77777777">
                    <w:pPr>
                      <w:rPr>
                        <w:noProof/>
                        <w:lang w:val="en-GB"/>
                      </w:rPr>
                    </w:pPr>
                  </w:p>
                </w:tc>
                <w:tc>
                  <w:tcPr>
                    <w:tcW w:w="4682" w:type="pct"/>
                    <w:hideMark/>
                  </w:tcPr>
                  <w:p w:rsidR="0008660E" w:rsidRPr="00180E81" w:rsidP="00576150" w14:paraId="39AF8293" w14:textId="7A670F89">
                    <w:pPr>
                      <w:rPr>
                        <w:noProof/>
                        <w:lang w:val="en-GB"/>
                      </w:rPr>
                    </w:pPr>
                    <w:r w:rsidRPr="00180E81">
                      <w:rPr>
                        <w:noProof/>
                        <w:lang w:val="en-GB"/>
                      </w:rPr>
                      <w:t xml:space="preserve">Z. Long, M. R. Bruesewitz, D. R. DeLone, J. M. Morris, K. K. Amrami, M. C. Adkins, K. N. Glazebrook, J. M. Kofler, S. Leng, C. H. McCollough, J. G. Fletcher, A. F. Halaweish og L. Yu, «Evaluation of projection- and dual-energy-based methods for metal artifact reduction in CT using a phantom study,» </w:t>
                    </w:r>
                    <w:r w:rsidRPr="00180E81">
                      <w:rPr>
                        <w:i/>
                        <w:iCs/>
                        <w:noProof/>
                        <w:lang w:val="en-GB"/>
                      </w:rPr>
                      <w:t xml:space="preserve">Journal of Applied Clinical Medical Physics, </w:t>
                    </w:r>
                    <w:r w:rsidRPr="00180E81">
                      <w:rPr>
                        <w:noProof/>
                        <w:lang w:val="en-GB"/>
                      </w:rPr>
                      <w:t xml:space="preserve">vol. 19, pp. 252-260, Jul 2018. </w:t>
                    </w:r>
                  </w:p>
                </w:tc>
              </w:tr>
            </w:tbl>
            <w:p w:rsidR="00EC626A" w:rsidRPr="00180E81" w:rsidP="00EC626A" w14:paraId="01563B09" w14:textId="77777777">
              <w:pPr>
                <w:rPr>
                  <w:noProof/>
                  <w:lang w:val="en-GB"/>
                </w:rPr>
              </w:pPr>
            </w:p>
            <w:p w:rsidR="00EC626A" w:rsidP="00EC626A" w14:paraId="64236AE2" w14:textId="77777777">
              <w:r>
                <w:rPr>
                  <w:b/>
                  <w:bCs/>
                </w:rPr>
                <w:fldChar w:fldCharType="end"/>
              </w:r>
            </w:p>
          </w:sdtContent>
        </w:sdt>
      </w:sdtContent>
    </w:sdt>
    <w:p w:rsidR="009D023B" w:rsidRPr="00EC626A" w:rsidP="00EC626A" w14:paraId="0ED75640" w14:textId="77777777"/>
    <w:sectPr w:rsidSect="00D03EED">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0ED75649"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0ED75647" w14:textId="5F463424">
          <w:pPr>
            <w:pStyle w:val="Footer"/>
            <w:rPr>
              <w:sz w:val="16"/>
            </w:rPr>
          </w:pPr>
          <w:r>
            <w:rPr>
              <w:noProof/>
              <w:sz w:val="16"/>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443865" cy="443865"/>
                    <wp:effectExtent l="0" t="0" r="4445" b="0"/>
                    <wp:wrapNone/>
                    <wp:docPr id="3" name="Tekstboks 3"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FF4193" w:rsidRPr="00FF4193" w:rsidP="00FF4193" w14:textId="77777777">
                                <w:pPr>
                                  <w:rPr>
                                    <w:rFonts w:ascii="Calibri" w:eastAsia="Calibri" w:hAnsi="Calibri" w:cs="Calibri"/>
                                    <w:noProof/>
                                    <w:color w:val="000000"/>
                                    <w:sz w:val="20"/>
                                  </w:rPr>
                                </w:pPr>
                                <w:r w:rsidRPr="00FF4193">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3" o:spid="_x0000_s2049"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1312" filled="f" stroked="f">
                    <v:textbox style="mso-fit-shape-to-text:t" inset="20pt,0,0,15pt">
                      <w:txbxContent>
                        <w:p w:rsidR="00FF4193" w:rsidRPr="00FF4193" w:rsidP="00FF4193" w14:paraId="421EAD2D" w14:textId="77777777">
                          <w:pPr>
                            <w:rPr>
                              <w:rFonts w:ascii="Calibri" w:eastAsia="Calibri" w:hAnsi="Calibri" w:cs="Calibri"/>
                              <w:noProof/>
                              <w:color w:val="000000"/>
                              <w:sz w:val="20"/>
                            </w:rPr>
                          </w:pPr>
                          <w:r w:rsidRPr="00FF4193">
                            <w:rPr>
                              <w:rFonts w:ascii="Calibri" w:eastAsia="Calibri" w:hAnsi="Calibri" w:cs="Calibri"/>
                              <w:noProof/>
                              <w:color w:val="000000"/>
                              <w:sz w:val="20"/>
                            </w:rPr>
                            <w:t>Følsomhet Intern (gul)</w:t>
                          </w:r>
                        </w:p>
                      </w:txbxContent>
                    </v:textbox>
                  </v:shape>
                </w:pict>
              </mc:Fallback>
            </mc:AlternateContent>
          </w: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8A218A">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8A218A">
            <w:rPr>
              <w:rStyle w:val="PageNumber"/>
              <w:noProof/>
              <w:sz w:val="16"/>
            </w:rPr>
            <w:t>1</w:t>
          </w:r>
          <w:r>
            <w:rPr>
              <w:rStyle w:val="PageNumber"/>
              <w:sz w:val="16"/>
            </w:rPr>
            <w:fldChar w:fldCharType="end"/>
          </w:r>
        </w:p>
      </w:tc>
      <w:tc>
        <w:tcPr>
          <w:tcW w:w="4074" w:type="dxa"/>
          <w:tcBorders>
            <w:left w:val="single" w:sz="4" w:space="0" w:color="auto"/>
          </w:tcBorders>
        </w:tcPr>
        <w:p w:rsidR="00485214" w14:paraId="0ED75648"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3.1.2.5.9.4.1-08</w:t>
          </w:r>
          <w:r>
            <w:rPr>
              <w:color w:val="000080"/>
              <w:sz w:val="16"/>
            </w:rPr>
            <w:fldChar w:fldCharType="end"/>
          </w:r>
        </w:p>
      </w:tc>
    </w:tr>
  </w:tbl>
  <w:p w:rsidR="00485214" w14:paraId="0ED7564A"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0ED7564F"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14:paraId="0ED7564B" w14:textId="7F5CFCEC">
          <w:pPr>
            <w:pStyle w:val="Footer"/>
            <w:rPr>
              <w:color w:val="000080"/>
              <w:sz w:val="16"/>
            </w:rPr>
          </w:pPr>
          <w:r>
            <w:rPr>
              <w:noProof/>
              <w:sz w:val="16"/>
            </w:rP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443865" cy="443865"/>
                    <wp:effectExtent l="0" t="0" r="18415" b="0"/>
                    <wp:wrapNone/>
                    <wp:docPr id="4" name="Tekstboks 4"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FF4193" w:rsidRPr="00FF4193" w:rsidP="00FF4193" w14:textId="77777777">
                                <w:pPr>
                                  <w:rPr>
                                    <w:rFonts w:ascii="Calibri" w:eastAsia="Calibri" w:hAnsi="Calibri" w:cs="Calibri"/>
                                    <w:noProof/>
                                    <w:color w:val="000000"/>
                                    <w:sz w:val="20"/>
                                  </w:rPr>
                                </w:pPr>
                                <w:r w:rsidRPr="00FF4193">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4" o:spid="_x0000_s2050"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3360" filled="f" stroked="f">
                    <v:textbox style="mso-fit-shape-to-text:t" inset="20pt,0,0,15pt">
                      <w:txbxContent>
                        <w:p w:rsidR="00FF4193" w:rsidRPr="00FF4193" w:rsidP="00FF4193" w14:paraId="7F836CBE" w14:textId="77777777">
                          <w:pPr>
                            <w:rPr>
                              <w:rFonts w:ascii="Calibri" w:eastAsia="Calibri" w:hAnsi="Calibri" w:cs="Calibri"/>
                              <w:noProof/>
                              <w:color w:val="000000"/>
                              <w:sz w:val="20"/>
                            </w:rPr>
                          </w:pPr>
                          <w:r w:rsidRPr="00FF4193">
                            <w:rPr>
                              <w:rFonts w:ascii="Calibri" w:eastAsia="Calibri" w:hAnsi="Calibri" w:cs="Calibri"/>
                              <w:noProof/>
                              <w:color w:val="000000"/>
                              <w:sz w:val="20"/>
                            </w:rPr>
                            <w:t>Følsomhet Intern (gul)</w:t>
                          </w:r>
                        </w:p>
                      </w:txbxContent>
                    </v:textbox>
                  </v:shape>
                </w:pict>
              </mc:Fallback>
            </mc:AlternateContent>
          </w: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D78863</w:t>
          </w:r>
          <w:r>
            <w:rPr>
              <w:color w:val="000080"/>
              <w:sz w:val="16"/>
            </w:rPr>
            <w:fldChar w:fldCharType="end"/>
          </w:r>
        </w:p>
      </w:tc>
      <w:tc>
        <w:tcPr>
          <w:tcW w:w="2268" w:type="dxa"/>
          <w:tcBorders>
            <w:right w:val="single" w:sz="4" w:space="0" w:color="auto"/>
          </w:tcBorders>
        </w:tcPr>
        <w:p w:rsidR="009B041D" w:rsidRPr="009B041D" w:rsidP="007E4125" w14:paraId="0ED7564C"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3.1.2.5.9.4.1-08</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0ED7564D"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0ED7564E"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13</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13</w:t>
          </w:r>
          <w:r>
            <w:rPr>
              <w:rStyle w:val="PageNumber"/>
              <w:sz w:val="16"/>
            </w:rPr>
            <w:fldChar w:fldCharType="end"/>
          </w:r>
        </w:p>
      </w:tc>
    </w:tr>
  </w:tbl>
  <w:p w:rsidR="00B24A00" w:rsidRPr="009E0D59" w:rsidP="00B24A00" w14:paraId="0ED75650"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0ED75664"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14:paraId="0ED75661" w14:textId="6A3F1712">
          <w:pPr>
            <w:pStyle w:val="Footer"/>
            <w:rPr>
              <w:color w:val="000080"/>
              <w:sz w:val="16"/>
            </w:rPr>
          </w:pPr>
          <w:r>
            <w:rPr>
              <w:noProof/>
              <w:color w:val="000080"/>
              <w:sz w:val="16"/>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443865" cy="443865"/>
                    <wp:effectExtent l="0" t="0" r="1270" b="0"/>
                    <wp:wrapNone/>
                    <wp:docPr id="2" name="Tekstboks 2"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FF4193" w:rsidRPr="00FF4193" w:rsidP="00FF4193" w14:textId="77777777">
                                <w:pPr>
                                  <w:rPr>
                                    <w:rFonts w:ascii="Calibri" w:eastAsia="Calibri" w:hAnsi="Calibri" w:cs="Calibri"/>
                                    <w:noProof/>
                                    <w:color w:val="000000"/>
                                    <w:sz w:val="20"/>
                                  </w:rPr>
                                </w:pPr>
                                <w:r w:rsidRPr="00FF4193">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2" o:spid="_x0000_s2051"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59264" filled="f" stroked="f">
                    <v:textbox style="mso-fit-shape-to-text:t" inset="20pt,0,0,15pt">
                      <w:txbxContent>
                        <w:p w:rsidR="00FF4193" w:rsidRPr="00FF4193" w:rsidP="00FF4193" w14:paraId="531F9543" w14:textId="77777777">
                          <w:pPr>
                            <w:rPr>
                              <w:rFonts w:ascii="Calibri" w:eastAsia="Calibri" w:hAnsi="Calibri" w:cs="Calibri"/>
                              <w:noProof/>
                              <w:color w:val="000000"/>
                              <w:sz w:val="20"/>
                            </w:rPr>
                          </w:pPr>
                          <w:r w:rsidRPr="00FF4193">
                            <w:rPr>
                              <w:rFonts w:ascii="Calibri" w:eastAsia="Calibri" w:hAnsi="Calibri" w:cs="Calibri"/>
                              <w:noProof/>
                              <w:color w:val="000000"/>
                              <w:sz w:val="20"/>
                            </w:rPr>
                            <w:t>Følsomhet Intern (gul)</w:t>
                          </w:r>
                        </w:p>
                      </w:txbxContent>
                    </v:textbox>
                  </v:shape>
                </w:pict>
              </mc:Fallback>
            </mc:AlternateContent>
          </w: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3.1.2.5.9.4.1-08</w:t>
          </w:r>
          <w:r>
            <w:rPr>
              <w:color w:val="000080"/>
              <w:sz w:val="16"/>
            </w:rPr>
            <w:fldChar w:fldCharType="end"/>
          </w:r>
        </w:p>
      </w:tc>
      <w:tc>
        <w:tcPr>
          <w:tcW w:w="4395" w:type="dxa"/>
          <w:tcBorders>
            <w:left w:val="single" w:sz="4" w:space="0" w:color="auto"/>
            <w:right w:val="single" w:sz="4" w:space="0" w:color="auto"/>
          </w:tcBorders>
        </w:tcPr>
        <w:p w:rsidR="004B40D7" w:rsidRPr="00D320CC" w:rsidP="007E4125" w14:paraId="0ED75662"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14:paraId="0ED75663"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13</w:t>
          </w:r>
          <w:r>
            <w:rPr>
              <w:rStyle w:val="PageNumber"/>
              <w:sz w:val="16"/>
            </w:rPr>
            <w:fldChar w:fldCharType="end"/>
          </w:r>
        </w:p>
      </w:tc>
    </w:tr>
  </w:tbl>
  <w:p w:rsidR="00B24A00" w:rsidP="00B24A00" w14:paraId="0ED75665" w14:textId="77777777">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0ED75641"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0ED75645"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14:paraId="0ED75642"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Avbildning for protonterapi - retningslinje</w:t>
          </w:r>
          <w:r>
            <w:rPr>
              <w:sz w:val="28"/>
            </w:rPr>
            <w:fldChar w:fldCharType="end"/>
          </w:r>
        </w:p>
      </w:tc>
      <w:tc>
        <w:tcPr>
          <w:tcW w:w="992" w:type="dxa"/>
          <w:tcBorders>
            <w:bottom w:val="single" w:sz="4" w:space="0" w:color="auto"/>
            <w:right w:val="single" w:sz="4" w:space="0" w:color="auto"/>
          </w:tcBorders>
        </w:tcPr>
        <w:p w:rsidR="00485214" w14:paraId="0ED75643" w14:textId="77777777">
          <w:pPr>
            <w:pStyle w:val="Header"/>
            <w:jc w:val="left"/>
            <w:rPr>
              <w:sz w:val="12"/>
            </w:rPr>
          </w:pPr>
        </w:p>
        <w:p w:rsidR="00485214" w14:paraId="0ED75644"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bl>
  <w:p w:rsidR="00485214" w14:paraId="0ED7564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14:paraId="0ED75653" w14:textId="77777777"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0ED75651" w14:textId="77777777">
          <w:pPr>
            <w:pStyle w:val="Header"/>
            <w:jc w:val="center"/>
            <w:rPr>
              <w:sz w:val="16"/>
            </w:rPr>
          </w:pPr>
          <w:r>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485214" w14:paraId="0ED75652"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Avbildning for protonterapi - retningslinje</w:t>
          </w:r>
          <w:r>
            <w:rPr>
              <w:sz w:val="28"/>
            </w:rPr>
            <w:fldChar w:fldCharType="end"/>
          </w:r>
        </w:p>
      </w:tc>
    </w:tr>
    <w:tr w14:paraId="0ED75656" w14:textId="77777777"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FD5284" w14:paraId="0ED75654"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Pasientbehandling/Fagprosedyrer/Kreft</w:t>
          </w:r>
          <w:r>
            <w:rPr>
              <w:sz w:val="16"/>
            </w:rPr>
            <w:fldChar w:fldCharType="end"/>
          </w:r>
        </w:p>
      </w:tc>
      <w:tc>
        <w:tcPr>
          <w:tcW w:w="2879" w:type="dxa"/>
          <w:vAlign w:val="bottom"/>
        </w:tcPr>
        <w:p w:rsidR="00FD5284" w:rsidRPr="005F0E8F" w:rsidP="00540375" w14:paraId="0ED75655" w14:textId="77777777">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18.09.2024</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18.09.2026</w:t>
          </w:r>
          <w:r>
            <w:rPr>
              <w:color w:val="000080"/>
              <w:sz w:val="16"/>
            </w:rPr>
            <w:fldChar w:fldCharType="end"/>
          </w:r>
        </w:p>
      </w:tc>
    </w:tr>
    <w:tr w14:paraId="0ED75659" w14:textId="77777777" w:rsidTr="00540375">
      <w:tblPrEx>
        <w:tblW w:w="9678" w:type="dxa"/>
        <w:tblLayout w:type="fixed"/>
        <w:tblCellMar>
          <w:left w:w="70" w:type="dxa"/>
          <w:right w:w="70" w:type="dxa"/>
        </w:tblCellMar>
        <w:tblLook w:val="0000"/>
      </w:tblPrEx>
      <w:trPr>
        <w:cantSplit/>
        <w:trHeight w:val="168"/>
      </w:trPr>
      <w:tc>
        <w:tcPr>
          <w:tcW w:w="6799" w:type="dxa"/>
          <w:gridSpan w:val="2"/>
        </w:tcPr>
        <w:p w:rsidR="005F0E8F" w14:paraId="0ED75657"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HF/Avdeling for kreftbehandling og medisinsk fysikk</w:t>
          </w:r>
          <w:r>
            <w:rPr>
              <w:sz w:val="16"/>
            </w:rPr>
            <w:fldChar w:fldCharType="end"/>
          </w:r>
        </w:p>
      </w:tc>
      <w:tc>
        <w:tcPr>
          <w:tcW w:w="2879" w:type="dxa"/>
          <w:vAlign w:val="bottom"/>
        </w:tcPr>
        <w:p w:rsidR="005F0E8F" w14:paraId="0ED75658"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r w14:paraId="0ED7565C" w14:textId="77777777" w:rsidTr="00540375">
      <w:tblPrEx>
        <w:tblW w:w="9678" w:type="dxa"/>
        <w:tblLayout w:type="fixed"/>
        <w:tblCellMar>
          <w:left w:w="70" w:type="dxa"/>
          <w:right w:w="70" w:type="dxa"/>
        </w:tblCellMar>
        <w:tblLook w:val="0000"/>
      </w:tblPrEx>
      <w:trPr>
        <w:trHeight w:val="252"/>
      </w:trPr>
      <w:tc>
        <w:tcPr>
          <w:tcW w:w="6799" w:type="dxa"/>
          <w:gridSpan w:val="2"/>
        </w:tcPr>
        <w:p w:rsidR="00FD5284" w:rsidP="00FD5284" w14:paraId="0ED7565A" w14:textId="7777777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Oddbjørn Straume</w:t>
          </w:r>
          <w:r>
            <w:rPr>
              <w:color w:val="000080"/>
              <w:sz w:val="16"/>
            </w:rPr>
            <w:fldChar w:fldCharType="end"/>
          </w:r>
          <w:r>
            <w:rPr>
              <w:color w:val="000080"/>
              <w:sz w:val="16"/>
            </w:rPr>
            <w:t xml:space="preserve"> </w:t>
          </w:r>
        </w:p>
      </w:tc>
      <w:tc>
        <w:tcPr>
          <w:tcW w:w="2879" w:type="dxa"/>
        </w:tcPr>
        <w:p w:rsidR="00FD5284" w:rsidP="00FD5284" w14:paraId="0ED7565B"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Retningslinje</w:t>
          </w:r>
          <w:r>
            <w:rPr>
              <w:color w:val="000080"/>
              <w:sz w:val="16"/>
            </w:rPr>
            <w:fldChar w:fldCharType="end"/>
          </w:r>
        </w:p>
      </w:tc>
    </w:tr>
    <w:tr w14:paraId="0ED7565F" w14:textId="77777777" w:rsidTr="00540375">
      <w:tblPrEx>
        <w:tblW w:w="9678" w:type="dxa"/>
        <w:tblLayout w:type="fixed"/>
        <w:tblCellMar>
          <w:left w:w="70" w:type="dxa"/>
          <w:right w:w="70" w:type="dxa"/>
        </w:tblCellMar>
        <w:tblLook w:val="0000"/>
      </w:tblPrEx>
      <w:trPr>
        <w:trHeight w:val="153"/>
      </w:trPr>
      <w:tc>
        <w:tcPr>
          <w:tcW w:w="6799" w:type="dxa"/>
          <w:gridSpan w:val="2"/>
        </w:tcPr>
        <w:p w:rsidR="00FD5284" w:rsidP="00FD5284" w14:paraId="0ED7565D" w14:textId="77777777">
          <w:pPr>
            <w:rPr>
              <w:sz w:val="16"/>
            </w:rPr>
          </w:pPr>
          <w:r>
            <w:rPr>
              <w:sz w:val="16"/>
            </w:rPr>
            <w:t xml:space="preserve">Dok.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Einar Waldeland</w:t>
          </w:r>
          <w:r>
            <w:rPr>
              <w:color w:val="000080"/>
              <w:sz w:val="16"/>
            </w:rPr>
            <w:fldChar w:fldCharType="end"/>
          </w:r>
          <w:r>
            <w:rPr>
              <w:color w:val="000080"/>
              <w:sz w:val="16"/>
            </w:rPr>
            <w:t xml:space="preserve"> </w:t>
          </w:r>
        </w:p>
      </w:tc>
      <w:tc>
        <w:tcPr>
          <w:tcW w:w="2879" w:type="dxa"/>
        </w:tcPr>
        <w:p w:rsidR="00FD5284" w14:paraId="0ED7565E"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D78863</w:t>
          </w:r>
          <w:r>
            <w:rPr>
              <w:color w:val="000080"/>
              <w:sz w:val="16"/>
            </w:rPr>
            <w:fldChar w:fldCharType="end"/>
          </w:r>
        </w:p>
      </w:tc>
    </w:tr>
  </w:tbl>
  <w:p w:rsidR="00485214" w14:paraId="0ED75660"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17405"/>
    <w:multiLevelType w:val="multilevel"/>
    <w:tmpl w:val="85E425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92AB8E4"/>
    <w:multiLevelType w:val="hybridMultilevel"/>
    <w:tmpl w:val="2B7A5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B346971"/>
    <w:multiLevelType w:val="hybridMultilevel"/>
    <w:tmpl w:val="924635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54F1AF"/>
    <w:multiLevelType w:val="hybridMultilevel"/>
    <w:tmpl w:val="EF1237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CA5469F"/>
    <w:multiLevelType w:val="multilevel"/>
    <w:tmpl w:val="137C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3B0F64"/>
    <w:multiLevelType w:val="multilevel"/>
    <w:tmpl w:val="731C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0553789"/>
    <w:multiLevelType w:val="multilevel"/>
    <w:tmpl w:val="69CE91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270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137B1B45"/>
    <w:multiLevelType w:val="multilevel"/>
    <w:tmpl w:val="731C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5935F59"/>
    <w:multiLevelType w:val="hybridMultilevel"/>
    <w:tmpl w:val="3A789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7CD406A"/>
    <w:multiLevelType w:val="hybridMultilevel"/>
    <w:tmpl w:val="C9764D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DE46D17"/>
    <w:multiLevelType w:val="hybridMultilevel"/>
    <w:tmpl w:val="A43E65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8F739EF"/>
    <w:multiLevelType w:val="multilevel"/>
    <w:tmpl w:val="7B4216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29276A90"/>
    <w:multiLevelType w:val="multilevel"/>
    <w:tmpl w:val="520ADA8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2AB7575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2B336D7E"/>
    <w:multiLevelType w:val="multilevel"/>
    <w:tmpl w:val="731C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06841FD"/>
    <w:multiLevelType w:val="multilevel"/>
    <w:tmpl w:val="822A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49150EC"/>
    <w:multiLevelType w:val="multilevel"/>
    <w:tmpl w:val="6AA0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5CA560E"/>
    <w:multiLevelType w:val="hybridMultilevel"/>
    <w:tmpl w:val="87729AF4"/>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18">
    <w:nsid w:val="36872957"/>
    <w:multiLevelType w:val="hybridMultilevel"/>
    <w:tmpl w:val="2CC85A8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7143E64"/>
    <w:multiLevelType w:val="hybridMultilevel"/>
    <w:tmpl w:val="71E843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7D11880"/>
    <w:multiLevelType w:val="multilevel"/>
    <w:tmpl w:val="4924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8D76270"/>
    <w:multiLevelType w:val="hybridMultilevel"/>
    <w:tmpl w:val="4A724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98CA37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3CDB5A99"/>
    <w:multiLevelType w:val="multilevel"/>
    <w:tmpl w:val="E6EA1B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41B3285F"/>
    <w:multiLevelType w:val="hybridMultilevel"/>
    <w:tmpl w:val="079A17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1BE4E65"/>
    <w:multiLevelType w:val="hybridMultilevel"/>
    <w:tmpl w:val="67EAFF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328275A"/>
    <w:multiLevelType w:val="multilevel"/>
    <w:tmpl w:val="3A3A1534"/>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nsid w:val="464F1B10"/>
    <w:multiLevelType w:val="hybridMultilevel"/>
    <w:tmpl w:val="03F4DF3A"/>
    <w:lvl w:ilvl="0">
      <w:start w:val="50"/>
      <w:numFmt w:val="bullet"/>
      <w:lvlText w:val=""/>
      <w:lvlJc w:val="left"/>
      <w:pPr>
        <w:ind w:left="720" w:hanging="360"/>
      </w:pPr>
      <w:rPr>
        <w:rFonts w:ascii="Symbol" w:eastAsia="SimSun" w:hAnsi="Symbol"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DE8D485"/>
    <w:multiLevelType w:val="hybridMultilevel"/>
    <w:tmpl w:val="A57E6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4F227EF8"/>
    <w:multiLevelType w:val="hybridMultilevel"/>
    <w:tmpl w:val="95148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1D35088"/>
    <w:multiLevelType w:val="multilevel"/>
    <w:tmpl w:val="6B26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20722B3"/>
    <w:multiLevelType w:val="multilevel"/>
    <w:tmpl w:val="E3BEB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669405A"/>
    <w:multiLevelType w:val="hybridMultilevel"/>
    <w:tmpl w:val="D90881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98042C2"/>
    <w:multiLevelType w:val="hybridMultilevel"/>
    <w:tmpl w:val="1CD219BC"/>
    <w:lvl w:ilvl="0">
      <w:start w:val="0"/>
      <w:numFmt w:val="bullet"/>
      <w:lvlText w:val="-"/>
      <w:lvlJc w:val="left"/>
      <w:pPr>
        <w:ind w:left="720" w:hanging="360"/>
      </w:pPr>
      <w:rPr>
        <w:rFonts w:ascii="Calibri" w:eastAsia="SimSu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CBB39CE"/>
    <w:multiLevelType w:val="multilevel"/>
    <w:tmpl w:val="80C80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DDA408B"/>
    <w:multiLevelType w:val="multilevel"/>
    <w:tmpl w:val="8932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E2C12A9"/>
    <w:multiLevelType w:val="hybridMultilevel"/>
    <w:tmpl w:val="A22CD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69B1D64"/>
    <w:multiLevelType w:val="multilevel"/>
    <w:tmpl w:val="6280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7FF6C55"/>
    <w:multiLevelType w:val="hybridMultilevel"/>
    <w:tmpl w:val="81983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88C0319"/>
    <w:multiLevelType w:val="multilevel"/>
    <w:tmpl w:val="FAD4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C8A478B"/>
    <w:multiLevelType w:val="hybridMultilevel"/>
    <w:tmpl w:val="EA94C6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4205111"/>
    <w:multiLevelType w:val="hybridMultilevel"/>
    <w:tmpl w:val="70F85A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5477B53"/>
    <w:multiLevelType w:val="hybridMultilevel"/>
    <w:tmpl w:val="D60045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78574EF"/>
    <w:multiLevelType w:val="hybridMultilevel"/>
    <w:tmpl w:val="9F32DC9C"/>
    <w:lvl w:ilvl="0">
      <w:start w:val="1"/>
      <w:numFmt w:val="bullet"/>
      <w:lvlText w:val=""/>
      <w:lvlJc w:val="left"/>
      <w:pPr>
        <w:ind w:left="1480" w:hanging="360"/>
      </w:pPr>
      <w:rPr>
        <w:rFonts w:ascii="Symbol" w:hAnsi="Symbol"/>
      </w:rPr>
    </w:lvl>
    <w:lvl w:ilvl="1">
      <w:start w:val="1"/>
      <w:numFmt w:val="bullet"/>
      <w:lvlText w:val=""/>
      <w:lvlJc w:val="left"/>
      <w:pPr>
        <w:ind w:left="1480" w:hanging="360"/>
      </w:pPr>
      <w:rPr>
        <w:rFonts w:ascii="Symbol" w:hAnsi="Symbol"/>
      </w:rPr>
    </w:lvl>
    <w:lvl w:ilvl="2">
      <w:start w:val="1"/>
      <w:numFmt w:val="bullet"/>
      <w:lvlText w:val=""/>
      <w:lvlJc w:val="left"/>
      <w:pPr>
        <w:ind w:left="1480" w:hanging="360"/>
      </w:pPr>
      <w:rPr>
        <w:rFonts w:ascii="Symbol" w:hAnsi="Symbol"/>
      </w:rPr>
    </w:lvl>
    <w:lvl w:ilvl="3">
      <w:start w:val="1"/>
      <w:numFmt w:val="bullet"/>
      <w:lvlText w:val=""/>
      <w:lvlJc w:val="left"/>
      <w:pPr>
        <w:ind w:left="1480" w:hanging="360"/>
      </w:pPr>
      <w:rPr>
        <w:rFonts w:ascii="Symbol" w:hAnsi="Symbol"/>
      </w:rPr>
    </w:lvl>
    <w:lvl w:ilvl="4">
      <w:start w:val="1"/>
      <w:numFmt w:val="bullet"/>
      <w:lvlText w:val=""/>
      <w:lvlJc w:val="left"/>
      <w:pPr>
        <w:ind w:left="1480" w:hanging="360"/>
      </w:pPr>
      <w:rPr>
        <w:rFonts w:ascii="Symbol" w:hAnsi="Symbol"/>
      </w:rPr>
    </w:lvl>
    <w:lvl w:ilvl="5">
      <w:start w:val="1"/>
      <w:numFmt w:val="bullet"/>
      <w:lvlText w:val=""/>
      <w:lvlJc w:val="left"/>
      <w:pPr>
        <w:ind w:left="1480" w:hanging="360"/>
      </w:pPr>
      <w:rPr>
        <w:rFonts w:ascii="Symbol" w:hAnsi="Symbol"/>
      </w:rPr>
    </w:lvl>
    <w:lvl w:ilvl="6">
      <w:start w:val="1"/>
      <w:numFmt w:val="bullet"/>
      <w:lvlText w:val=""/>
      <w:lvlJc w:val="left"/>
      <w:pPr>
        <w:ind w:left="1480" w:hanging="360"/>
      </w:pPr>
      <w:rPr>
        <w:rFonts w:ascii="Symbol" w:hAnsi="Symbol"/>
      </w:rPr>
    </w:lvl>
    <w:lvl w:ilvl="7">
      <w:start w:val="1"/>
      <w:numFmt w:val="bullet"/>
      <w:lvlText w:val=""/>
      <w:lvlJc w:val="left"/>
      <w:pPr>
        <w:ind w:left="1480" w:hanging="360"/>
      </w:pPr>
      <w:rPr>
        <w:rFonts w:ascii="Symbol" w:hAnsi="Symbol"/>
      </w:rPr>
    </w:lvl>
    <w:lvl w:ilvl="8">
      <w:start w:val="1"/>
      <w:numFmt w:val="bullet"/>
      <w:lvlText w:val=""/>
      <w:lvlJc w:val="left"/>
      <w:pPr>
        <w:ind w:left="1480" w:hanging="360"/>
      </w:pPr>
      <w:rPr>
        <w:rFonts w:ascii="Symbol" w:hAnsi="Symbol"/>
      </w:rPr>
    </w:lvl>
  </w:abstractNum>
  <w:abstractNum w:abstractNumId="44">
    <w:nsid w:val="78ED79C1"/>
    <w:multiLevelType w:val="hybridMultilevel"/>
    <w:tmpl w:val="69A44472"/>
    <w:lvl w:ilvl="0">
      <w:start w:val="0"/>
      <w:numFmt w:val="bullet"/>
      <w:lvlText w:val="-"/>
      <w:lvlJc w:val="left"/>
      <w:pPr>
        <w:ind w:left="720" w:hanging="360"/>
      </w:pPr>
      <w:rPr>
        <w:rFonts w:ascii="Calibri" w:eastAsia="SimSu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BE4259B"/>
    <w:multiLevelType w:val="hybridMultilevel"/>
    <w:tmpl w:val="FBB037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DF93F12"/>
    <w:multiLevelType w:val="hybridMultilevel"/>
    <w:tmpl w:val="CF9AC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7E5142F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52677666">
    <w:abstractNumId w:val="12"/>
  </w:num>
  <w:num w:numId="2" w16cid:durableId="27924298">
    <w:abstractNumId w:val="6"/>
  </w:num>
  <w:num w:numId="3" w16cid:durableId="30156946">
    <w:abstractNumId w:val="18"/>
  </w:num>
  <w:num w:numId="4" w16cid:durableId="853154764">
    <w:abstractNumId w:val="22"/>
  </w:num>
  <w:num w:numId="5" w16cid:durableId="1243876771">
    <w:abstractNumId w:val="3"/>
  </w:num>
  <w:num w:numId="6" w16cid:durableId="1484278376">
    <w:abstractNumId w:val="1"/>
  </w:num>
  <w:num w:numId="7" w16cid:durableId="1043755261">
    <w:abstractNumId w:val="9"/>
  </w:num>
  <w:num w:numId="8" w16cid:durableId="324676126">
    <w:abstractNumId w:val="26"/>
  </w:num>
  <w:num w:numId="9" w16cid:durableId="1933930202">
    <w:abstractNumId w:val="21"/>
  </w:num>
  <w:num w:numId="10" w16cid:durableId="524051778">
    <w:abstractNumId w:val="41"/>
  </w:num>
  <w:num w:numId="11" w16cid:durableId="539247649">
    <w:abstractNumId w:val="29"/>
  </w:num>
  <w:num w:numId="12" w16cid:durableId="760225491">
    <w:abstractNumId w:val="2"/>
  </w:num>
  <w:num w:numId="13" w16cid:durableId="1497768414">
    <w:abstractNumId w:val="42"/>
  </w:num>
  <w:num w:numId="14" w16cid:durableId="703746445">
    <w:abstractNumId w:val="8"/>
  </w:num>
  <w:num w:numId="15" w16cid:durableId="402332570">
    <w:abstractNumId w:val="24"/>
  </w:num>
  <w:num w:numId="16" w16cid:durableId="1767076465">
    <w:abstractNumId w:val="45"/>
  </w:num>
  <w:num w:numId="17" w16cid:durableId="766774143">
    <w:abstractNumId w:val="25"/>
  </w:num>
  <w:num w:numId="18" w16cid:durableId="1313019434">
    <w:abstractNumId w:val="10"/>
  </w:num>
  <w:num w:numId="19" w16cid:durableId="1817334288">
    <w:abstractNumId w:val="38"/>
  </w:num>
  <w:num w:numId="20" w16cid:durableId="94596811">
    <w:abstractNumId w:val="32"/>
  </w:num>
  <w:num w:numId="21" w16cid:durableId="88619888">
    <w:abstractNumId w:val="36"/>
  </w:num>
  <w:num w:numId="22" w16cid:durableId="1011562273">
    <w:abstractNumId w:val="40"/>
  </w:num>
  <w:num w:numId="23" w16cid:durableId="1078865257">
    <w:abstractNumId w:val="27"/>
  </w:num>
  <w:num w:numId="24" w16cid:durableId="138306889">
    <w:abstractNumId w:val="14"/>
  </w:num>
  <w:num w:numId="25" w16cid:durableId="1791588108">
    <w:abstractNumId w:val="7"/>
  </w:num>
  <w:num w:numId="26" w16cid:durableId="1791238113">
    <w:abstractNumId w:val="5"/>
  </w:num>
  <w:num w:numId="27" w16cid:durableId="1736466981">
    <w:abstractNumId w:val="19"/>
  </w:num>
  <w:num w:numId="28" w16cid:durableId="115300211">
    <w:abstractNumId w:val="46"/>
  </w:num>
  <w:num w:numId="29" w16cid:durableId="442726342">
    <w:abstractNumId w:val="30"/>
  </w:num>
  <w:num w:numId="30" w16cid:durableId="1652829340">
    <w:abstractNumId w:val="31"/>
  </w:num>
  <w:num w:numId="31" w16cid:durableId="1803188211">
    <w:abstractNumId w:val="4"/>
  </w:num>
  <w:num w:numId="32" w16cid:durableId="653148693">
    <w:abstractNumId w:val="23"/>
  </w:num>
  <w:num w:numId="33" w16cid:durableId="354769453">
    <w:abstractNumId w:val="35"/>
  </w:num>
  <w:num w:numId="34" w16cid:durableId="223103288">
    <w:abstractNumId w:val="20"/>
  </w:num>
  <w:num w:numId="35" w16cid:durableId="365984200">
    <w:abstractNumId w:val="11"/>
  </w:num>
  <w:num w:numId="36" w16cid:durableId="774835158">
    <w:abstractNumId w:val="37"/>
  </w:num>
  <w:num w:numId="37" w16cid:durableId="671494804">
    <w:abstractNumId w:val="34"/>
  </w:num>
  <w:num w:numId="38" w16cid:durableId="1833983923">
    <w:abstractNumId w:val="16"/>
  </w:num>
  <w:num w:numId="39" w16cid:durableId="1091463982">
    <w:abstractNumId w:val="0"/>
  </w:num>
  <w:num w:numId="40" w16cid:durableId="1112628078">
    <w:abstractNumId w:val="39"/>
  </w:num>
  <w:num w:numId="41" w16cid:durableId="829833313">
    <w:abstractNumId w:val="17"/>
  </w:num>
  <w:num w:numId="42" w16cid:durableId="231811886">
    <w:abstractNumId w:val="33"/>
  </w:num>
  <w:num w:numId="43" w16cid:durableId="1614357573">
    <w:abstractNumId w:val="44"/>
  </w:num>
  <w:num w:numId="44" w16cid:durableId="1705447971">
    <w:abstractNumId w:val="15"/>
  </w:num>
  <w:num w:numId="45" w16cid:durableId="1700351999">
    <w:abstractNumId w:val="28"/>
  </w:num>
  <w:num w:numId="46" w16cid:durableId="196890079">
    <w:abstractNumId w:val="47"/>
  </w:num>
  <w:num w:numId="47" w16cid:durableId="586769741">
    <w:abstractNumId w:val="13"/>
  </w:num>
  <w:num w:numId="48" w16cid:durableId="1115055570">
    <w:abstractNumId w:val="4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38E2"/>
    <w:rsid w:val="00005ABC"/>
    <w:rsid w:val="00007BD0"/>
    <w:rsid w:val="00020754"/>
    <w:rsid w:val="00021673"/>
    <w:rsid w:val="000354A8"/>
    <w:rsid w:val="00042992"/>
    <w:rsid w:val="00050E94"/>
    <w:rsid w:val="0005214E"/>
    <w:rsid w:val="00056D52"/>
    <w:rsid w:val="00066A58"/>
    <w:rsid w:val="00067C31"/>
    <w:rsid w:val="00076677"/>
    <w:rsid w:val="00081F27"/>
    <w:rsid w:val="00083284"/>
    <w:rsid w:val="0008660E"/>
    <w:rsid w:val="00097072"/>
    <w:rsid w:val="000A1D6A"/>
    <w:rsid w:val="000A6340"/>
    <w:rsid w:val="000A6B2D"/>
    <w:rsid w:val="000B0273"/>
    <w:rsid w:val="000C6A9B"/>
    <w:rsid w:val="000C73DF"/>
    <w:rsid w:val="000C763E"/>
    <w:rsid w:val="000D3C29"/>
    <w:rsid w:val="000D5FFE"/>
    <w:rsid w:val="000D63E4"/>
    <w:rsid w:val="000D6AD9"/>
    <w:rsid w:val="000E5FFC"/>
    <w:rsid w:val="000F32C5"/>
    <w:rsid w:val="000F5FC0"/>
    <w:rsid w:val="00101002"/>
    <w:rsid w:val="00110E6B"/>
    <w:rsid w:val="00115094"/>
    <w:rsid w:val="00117E18"/>
    <w:rsid w:val="0012780D"/>
    <w:rsid w:val="00140619"/>
    <w:rsid w:val="00141331"/>
    <w:rsid w:val="0014376E"/>
    <w:rsid w:val="00144BC1"/>
    <w:rsid w:val="00150352"/>
    <w:rsid w:val="00150F73"/>
    <w:rsid w:val="00151E16"/>
    <w:rsid w:val="00155765"/>
    <w:rsid w:val="00157C37"/>
    <w:rsid w:val="00161FD5"/>
    <w:rsid w:val="00176BA5"/>
    <w:rsid w:val="00180E81"/>
    <w:rsid w:val="00187793"/>
    <w:rsid w:val="0019138B"/>
    <w:rsid w:val="0019290E"/>
    <w:rsid w:val="001A4CED"/>
    <w:rsid w:val="001A66DF"/>
    <w:rsid w:val="001B1D43"/>
    <w:rsid w:val="001B37A6"/>
    <w:rsid w:val="001C094A"/>
    <w:rsid w:val="001D0FFD"/>
    <w:rsid w:val="001E03F8"/>
    <w:rsid w:val="001E1DBA"/>
    <w:rsid w:val="001F43D4"/>
    <w:rsid w:val="001F7E88"/>
    <w:rsid w:val="0020110C"/>
    <w:rsid w:val="00203F1E"/>
    <w:rsid w:val="002047F0"/>
    <w:rsid w:val="00227AF8"/>
    <w:rsid w:val="00231DC5"/>
    <w:rsid w:val="00241F65"/>
    <w:rsid w:val="00246C9E"/>
    <w:rsid w:val="002744C3"/>
    <w:rsid w:val="00276BF4"/>
    <w:rsid w:val="00277058"/>
    <w:rsid w:val="00281B8D"/>
    <w:rsid w:val="00284EBB"/>
    <w:rsid w:val="00291CD7"/>
    <w:rsid w:val="002A389D"/>
    <w:rsid w:val="002A4A07"/>
    <w:rsid w:val="002A791D"/>
    <w:rsid w:val="002B1F3C"/>
    <w:rsid w:val="002D0738"/>
    <w:rsid w:val="002E1747"/>
    <w:rsid w:val="002F5A32"/>
    <w:rsid w:val="00304B15"/>
    <w:rsid w:val="00311019"/>
    <w:rsid w:val="00312D39"/>
    <w:rsid w:val="003304BC"/>
    <w:rsid w:val="003403C0"/>
    <w:rsid w:val="00347645"/>
    <w:rsid w:val="00360258"/>
    <w:rsid w:val="00362B96"/>
    <w:rsid w:val="00370BD4"/>
    <w:rsid w:val="00381C00"/>
    <w:rsid w:val="00387597"/>
    <w:rsid w:val="00390056"/>
    <w:rsid w:val="00393223"/>
    <w:rsid w:val="003A669E"/>
    <w:rsid w:val="003A6B8A"/>
    <w:rsid w:val="003C5594"/>
    <w:rsid w:val="003D12B2"/>
    <w:rsid w:val="003D3C2E"/>
    <w:rsid w:val="003E1B52"/>
    <w:rsid w:val="003E25C1"/>
    <w:rsid w:val="003E4741"/>
    <w:rsid w:val="003F4A3C"/>
    <w:rsid w:val="00407B78"/>
    <w:rsid w:val="00411E8A"/>
    <w:rsid w:val="004252FB"/>
    <w:rsid w:val="00437DED"/>
    <w:rsid w:val="00455820"/>
    <w:rsid w:val="004568C8"/>
    <w:rsid w:val="00460EAA"/>
    <w:rsid w:val="004611B5"/>
    <w:rsid w:val="004640AA"/>
    <w:rsid w:val="0047022F"/>
    <w:rsid w:val="004719A0"/>
    <w:rsid w:val="00471C97"/>
    <w:rsid w:val="00482156"/>
    <w:rsid w:val="00482CE0"/>
    <w:rsid w:val="0048427D"/>
    <w:rsid w:val="00485214"/>
    <w:rsid w:val="00496259"/>
    <w:rsid w:val="004B1EF5"/>
    <w:rsid w:val="004B40D7"/>
    <w:rsid w:val="004C563C"/>
    <w:rsid w:val="004C782F"/>
    <w:rsid w:val="004D0DCE"/>
    <w:rsid w:val="004D15E6"/>
    <w:rsid w:val="004E0461"/>
    <w:rsid w:val="004E06E7"/>
    <w:rsid w:val="004E13FE"/>
    <w:rsid w:val="004E763F"/>
    <w:rsid w:val="0050053D"/>
    <w:rsid w:val="00507D96"/>
    <w:rsid w:val="005103B6"/>
    <w:rsid w:val="00510BDF"/>
    <w:rsid w:val="00520D11"/>
    <w:rsid w:val="00524CF7"/>
    <w:rsid w:val="00532237"/>
    <w:rsid w:val="0053273E"/>
    <w:rsid w:val="005370F4"/>
    <w:rsid w:val="00540375"/>
    <w:rsid w:val="0054179A"/>
    <w:rsid w:val="0054461F"/>
    <w:rsid w:val="00547EEF"/>
    <w:rsid w:val="005562F2"/>
    <w:rsid w:val="00556838"/>
    <w:rsid w:val="00557C81"/>
    <w:rsid w:val="00576150"/>
    <w:rsid w:val="00577FEE"/>
    <w:rsid w:val="005810F3"/>
    <w:rsid w:val="0058166E"/>
    <w:rsid w:val="0058663E"/>
    <w:rsid w:val="00590E1D"/>
    <w:rsid w:val="005A5E90"/>
    <w:rsid w:val="005B084B"/>
    <w:rsid w:val="005B0B7E"/>
    <w:rsid w:val="005B308D"/>
    <w:rsid w:val="005B482C"/>
    <w:rsid w:val="005B4C45"/>
    <w:rsid w:val="005B7D79"/>
    <w:rsid w:val="005C6916"/>
    <w:rsid w:val="005F0E8F"/>
    <w:rsid w:val="00606A4F"/>
    <w:rsid w:val="00611A93"/>
    <w:rsid w:val="00611B44"/>
    <w:rsid w:val="00617242"/>
    <w:rsid w:val="00621901"/>
    <w:rsid w:val="006479E1"/>
    <w:rsid w:val="00650773"/>
    <w:rsid w:val="00652242"/>
    <w:rsid w:val="0067105D"/>
    <w:rsid w:val="006720B2"/>
    <w:rsid w:val="00693B1B"/>
    <w:rsid w:val="00697362"/>
    <w:rsid w:val="006B1529"/>
    <w:rsid w:val="006B2158"/>
    <w:rsid w:val="006C009D"/>
    <w:rsid w:val="006C17D9"/>
    <w:rsid w:val="006C735A"/>
    <w:rsid w:val="006D2D97"/>
    <w:rsid w:val="006D3A08"/>
    <w:rsid w:val="006D57BF"/>
    <w:rsid w:val="006E06DD"/>
    <w:rsid w:val="006E2A16"/>
    <w:rsid w:val="006E4AAC"/>
    <w:rsid w:val="006E5645"/>
    <w:rsid w:val="006F6255"/>
    <w:rsid w:val="00707B83"/>
    <w:rsid w:val="00713D7C"/>
    <w:rsid w:val="00727E6C"/>
    <w:rsid w:val="007367F2"/>
    <w:rsid w:val="00754364"/>
    <w:rsid w:val="0078621E"/>
    <w:rsid w:val="00790C21"/>
    <w:rsid w:val="00793756"/>
    <w:rsid w:val="007A0934"/>
    <w:rsid w:val="007B5EC3"/>
    <w:rsid w:val="007C3E55"/>
    <w:rsid w:val="007C67EC"/>
    <w:rsid w:val="007E4125"/>
    <w:rsid w:val="007F219C"/>
    <w:rsid w:val="0080313B"/>
    <w:rsid w:val="00806640"/>
    <w:rsid w:val="008078AB"/>
    <w:rsid w:val="00820775"/>
    <w:rsid w:val="00820B61"/>
    <w:rsid w:val="00825D2C"/>
    <w:rsid w:val="00834131"/>
    <w:rsid w:val="008361CD"/>
    <w:rsid w:val="008419E2"/>
    <w:rsid w:val="00843ADC"/>
    <w:rsid w:val="00845551"/>
    <w:rsid w:val="0084585C"/>
    <w:rsid w:val="008461D2"/>
    <w:rsid w:val="00850B9C"/>
    <w:rsid w:val="008530BA"/>
    <w:rsid w:val="00853B1D"/>
    <w:rsid w:val="00855382"/>
    <w:rsid w:val="008564CD"/>
    <w:rsid w:val="00862940"/>
    <w:rsid w:val="00862FF8"/>
    <w:rsid w:val="00864BB9"/>
    <w:rsid w:val="00871219"/>
    <w:rsid w:val="0088008E"/>
    <w:rsid w:val="00885802"/>
    <w:rsid w:val="008A218A"/>
    <w:rsid w:val="008B41C0"/>
    <w:rsid w:val="008B5A03"/>
    <w:rsid w:val="008B5CBE"/>
    <w:rsid w:val="008B7340"/>
    <w:rsid w:val="008C12F6"/>
    <w:rsid w:val="008C3A13"/>
    <w:rsid w:val="008C41EB"/>
    <w:rsid w:val="008C797A"/>
    <w:rsid w:val="008D33F1"/>
    <w:rsid w:val="008E4C99"/>
    <w:rsid w:val="008E56A7"/>
    <w:rsid w:val="008F30D5"/>
    <w:rsid w:val="008F3DA3"/>
    <w:rsid w:val="00903623"/>
    <w:rsid w:val="009039EB"/>
    <w:rsid w:val="00905B0B"/>
    <w:rsid w:val="00907122"/>
    <w:rsid w:val="00907ABE"/>
    <w:rsid w:val="0091692D"/>
    <w:rsid w:val="00935DE6"/>
    <w:rsid w:val="00940FC5"/>
    <w:rsid w:val="009456D0"/>
    <w:rsid w:val="009506D3"/>
    <w:rsid w:val="009629A5"/>
    <w:rsid w:val="00963180"/>
    <w:rsid w:val="00964121"/>
    <w:rsid w:val="00970B24"/>
    <w:rsid w:val="00981504"/>
    <w:rsid w:val="00983B02"/>
    <w:rsid w:val="009A2EB0"/>
    <w:rsid w:val="009B041D"/>
    <w:rsid w:val="009B19A9"/>
    <w:rsid w:val="009B295A"/>
    <w:rsid w:val="009C6E05"/>
    <w:rsid w:val="009D023B"/>
    <w:rsid w:val="009D072D"/>
    <w:rsid w:val="009D4154"/>
    <w:rsid w:val="009D4C3A"/>
    <w:rsid w:val="009E0D59"/>
    <w:rsid w:val="009E1AE8"/>
    <w:rsid w:val="009F7668"/>
    <w:rsid w:val="00A17D23"/>
    <w:rsid w:val="00A21FE3"/>
    <w:rsid w:val="00A24A60"/>
    <w:rsid w:val="00A271A9"/>
    <w:rsid w:val="00A3019C"/>
    <w:rsid w:val="00A43549"/>
    <w:rsid w:val="00A43AE5"/>
    <w:rsid w:val="00A55D47"/>
    <w:rsid w:val="00A577D4"/>
    <w:rsid w:val="00A75A8B"/>
    <w:rsid w:val="00A76332"/>
    <w:rsid w:val="00A9508B"/>
    <w:rsid w:val="00AB08E0"/>
    <w:rsid w:val="00AC0695"/>
    <w:rsid w:val="00AC0D84"/>
    <w:rsid w:val="00AC35FB"/>
    <w:rsid w:val="00AD1672"/>
    <w:rsid w:val="00AD1E4B"/>
    <w:rsid w:val="00AD296B"/>
    <w:rsid w:val="00AD3BC6"/>
    <w:rsid w:val="00AD6B34"/>
    <w:rsid w:val="00AE6893"/>
    <w:rsid w:val="00AF5DDC"/>
    <w:rsid w:val="00AF6094"/>
    <w:rsid w:val="00B02D46"/>
    <w:rsid w:val="00B02D6D"/>
    <w:rsid w:val="00B218AB"/>
    <w:rsid w:val="00B21CB1"/>
    <w:rsid w:val="00B236DD"/>
    <w:rsid w:val="00B24A00"/>
    <w:rsid w:val="00B33097"/>
    <w:rsid w:val="00B46418"/>
    <w:rsid w:val="00B55A8A"/>
    <w:rsid w:val="00B803E3"/>
    <w:rsid w:val="00B900D2"/>
    <w:rsid w:val="00BA303D"/>
    <w:rsid w:val="00BB2FB0"/>
    <w:rsid w:val="00BC3FD8"/>
    <w:rsid w:val="00BC527A"/>
    <w:rsid w:val="00BC5853"/>
    <w:rsid w:val="00BC5D55"/>
    <w:rsid w:val="00BD6D72"/>
    <w:rsid w:val="00BE48E2"/>
    <w:rsid w:val="00BF525D"/>
    <w:rsid w:val="00BF6B78"/>
    <w:rsid w:val="00BF796F"/>
    <w:rsid w:val="00C002BF"/>
    <w:rsid w:val="00C02AF5"/>
    <w:rsid w:val="00C071DF"/>
    <w:rsid w:val="00C24BA6"/>
    <w:rsid w:val="00C30A4A"/>
    <w:rsid w:val="00C40A3A"/>
    <w:rsid w:val="00C4283A"/>
    <w:rsid w:val="00C431A1"/>
    <w:rsid w:val="00C450FE"/>
    <w:rsid w:val="00C47D6B"/>
    <w:rsid w:val="00C5222B"/>
    <w:rsid w:val="00C67F41"/>
    <w:rsid w:val="00C72834"/>
    <w:rsid w:val="00C81FA3"/>
    <w:rsid w:val="00C836EE"/>
    <w:rsid w:val="00C84942"/>
    <w:rsid w:val="00C962F9"/>
    <w:rsid w:val="00C97AFA"/>
    <w:rsid w:val="00CA0ECF"/>
    <w:rsid w:val="00CB3EB0"/>
    <w:rsid w:val="00CB523D"/>
    <w:rsid w:val="00CD6C43"/>
    <w:rsid w:val="00CE5024"/>
    <w:rsid w:val="00CF2E4A"/>
    <w:rsid w:val="00CF36AD"/>
    <w:rsid w:val="00CF7D0E"/>
    <w:rsid w:val="00D013CC"/>
    <w:rsid w:val="00D03EED"/>
    <w:rsid w:val="00D12CEA"/>
    <w:rsid w:val="00D13046"/>
    <w:rsid w:val="00D26789"/>
    <w:rsid w:val="00D320CC"/>
    <w:rsid w:val="00D36983"/>
    <w:rsid w:val="00D36A2D"/>
    <w:rsid w:val="00D40E94"/>
    <w:rsid w:val="00D4374F"/>
    <w:rsid w:val="00D53A2C"/>
    <w:rsid w:val="00D55F79"/>
    <w:rsid w:val="00D7283E"/>
    <w:rsid w:val="00D8507D"/>
    <w:rsid w:val="00D948F4"/>
    <w:rsid w:val="00D95FB8"/>
    <w:rsid w:val="00DA0D76"/>
    <w:rsid w:val="00DB372D"/>
    <w:rsid w:val="00DD1C72"/>
    <w:rsid w:val="00DD2FE1"/>
    <w:rsid w:val="00DD5827"/>
    <w:rsid w:val="00DD7CFF"/>
    <w:rsid w:val="00DE2C1F"/>
    <w:rsid w:val="00DF7BA8"/>
    <w:rsid w:val="00E023CD"/>
    <w:rsid w:val="00E033C9"/>
    <w:rsid w:val="00E04941"/>
    <w:rsid w:val="00E134D7"/>
    <w:rsid w:val="00E268CB"/>
    <w:rsid w:val="00E30F00"/>
    <w:rsid w:val="00E3168F"/>
    <w:rsid w:val="00E33977"/>
    <w:rsid w:val="00E35C67"/>
    <w:rsid w:val="00E36B5C"/>
    <w:rsid w:val="00E40863"/>
    <w:rsid w:val="00E4664C"/>
    <w:rsid w:val="00E5442A"/>
    <w:rsid w:val="00E65C74"/>
    <w:rsid w:val="00E67083"/>
    <w:rsid w:val="00E754D7"/>
    <w:rsid w:val="00E774C2"/>
    <w:rsid w:val="00E8039E"/>
    <w:rsid w:val="00E80759"/>
    <w:rsid w:val="00E8424E"/>
    <w:rsid w:val="00E86ECF"/>
    <w:rsid w:val="00E86FAE"/>
    <w:rsid w:val="00E8758E"/>
    <w:rsid w:val="00E90D68"/>
    <w:rsid w:val="00E96F17"/>
    <w:rsid w:val="00EA5771"/>
    <w:rsid w:val="00EB193A"/>
    <w:rsid w:val="00EB3357"/>
    <w:rsid w:val="00EB3728"/>
    <w:rsid w:val="00EB79E9"/>
    <w:rsid w:val="00EC1A89"/>
    <w:rsid w:val="00EC626A"/>
    <w:rsid w:val="00ED248C"/>
    <w:rsid w:val="00EE0410"/>
    <w:rsid w:val="00EE3B2D"/>
    <w:rsid w:val="00EF5BB3"/>
    <w:rsid w:val="00F166F5"/>
    <w:rsid w:val="00F16CEA"/>
    <w:rsid w:val="00F24469"/>
    <w:rsid w:val="00F43A32"/>
    <w:rsid w:val="00F46524"/>
    <w:rsid w:val="00F712A2"/>
    <w:rsid w:val="00F7338B"/>
    <w:rsid w:val="00F8392F"/>
    <w:rsid w:val="00F958D6"/>
    <w:rsid w:val="00FA7400"/>
    <w:rsid w:val="00FB090D"/>
    <w:rsid w:val="00FB2EC4"/>
    <w:rsid w:val="00FB3861"/>
    <w:rsid w:val="00FB42C0"/>
    <w:rsid w:val="00FD0B94"/>
    <w:rsid w:val="00FD5284"/>
    <w:rsid w:val="00FD64C1"/>
    <w:rsid w:val="00FF4193"/>
    <w:rsid w:val="00FF5B51"/>
    <w:rsid w:val="00FF672A"/>
    <w:rsid w:val="00FF6C0E"/>
    <w:rsid w:val="00FF6D3F"/>
    <w:rsid w:val="00FF71AC"/>
    <w:rsid w:val="06EB1616"/>
    <w:rsid w:val="0CB686B2"/>
    <w:rsid w:val="0F6A1B97"/>
    <w:rsid w:val="1B3DCAF9"/>
    <w:rsid w:val="1F09BB5F"/>
    <w:rsid w:val="212B0CB6"/>
    <w:rsid w:val="23C44647"/>
    <w:rsid w:val="2595B8F0"/>
    <w:rsid w:val="263E654C"/>
    <w:rsid w:val="2B5BDC49"/>
    <w:rsid w:val="30211EFD"/>
    <w:rsid w:val="31F9624A"/>
    <w:rsid w:val="3E3BF6EF"/>
    <w:rsid w:val="3E6622B7"/>
    <w:rsid w:val="46889691"/>
    <w:rsid w:val="4CBA41CC"/>
    <w:rsid w:val="4ED4E0BF"/>
    <w:rsid w:val="4F3709C0"/>
    <w:rsid w:val="52473ED8"/>
    <w:rsid w:val="530F870D"/>
    <w:rsid w:val="5605356B"/>
    <w:rsid w:val="65E433EB"/>
    <w:rsid w:val="6C0B2C4B"/>
    <w:rsid w:val="6EFC7D92"/>
    <w:rsid w:val="702F739A"/>
    <w:rsid w:val="76F1FCEA"/>
    <w:rsid w:val="78EEA452"/>
    <w:rsid w:val="7A8A74B3"/>
  </w:rsids>
  <w:docVars>
    <w:docVar w:name="beskyttet" w:val="nei"/>
    <w:docVar w:name="docver" w:val="2.20"/>
    <w:docVar w:name="ek_dbfields" w:val="EK_Avdeling¤2#4¤2#[Avdeling]¤3#EK_Avsnitt¤2#4¤2#[Avsnitt]¤3#EK_Bedriftsnavn¤2#1¤2#Helse Bergen¤3#EK_GjelderFra¤2#0¤2#[GjelderFra]¤3#EK_KlGjelderFra¤2#0¤2#[KlGjelderFra]¤3#EK_Opprettet¤2#0¤2#[Opprettet]¤3#EK_Utgitt¤2#0¤2#[Utgitt]¤3#EK_IBrukDato¤2#0¤2#[Endret]¤3#EK_DokumentID¤2#0¤2#[ID]¤3#EK_DokTittel¤2#0¤2#HBHF Generell/standard mal Helse Bergen¤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30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ansvarlig" w:val="[Dok.ansvarlig]"/>
    <w:docVar w:name="ek_doktittel" w:val="HBHF Generell/standard mal Helse Bergen"/>
    <w:docVar w:name="ek_dokumentid" w:val="[ID]"/>
    <w:docVar w:name="ek_eksref" w:val="[EK_EksRef]"/>
    <w:docVar w:name="ek_endrfields" w:val="EK_Rapport¤1#"/>
    <w:docVar w:name="ek_format" w:val="-10"/>
    <w:docVar w:name="ek_gjelderfra" w:val="[GjelderFra]"/>
    <w:docVar w:name="ek_gjeldertil" w:val="[GyldigTil]"/>
    <w:docVar w:name="ek_klgjelderfra" w:val="[KlGjelderFra]"/>
    <w:docVar w:name="ek_merknad" w:val="Første versjon"/>
    <w:docVar w:name="ek_protection" w:val="0"/>
    <w:docVar w:name="ek_rapport" w:val="[Tilknyttet rapport]"/>
    <w:docVar w:name="ek_referanse" w:val="[EK_Referanse]"/>
    <w:docVar w:name="ek_superstikkord" w:val="[SuperStikkord]"/>
    <w:docVar w:name="ek_type" w:val="MAL"/>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0ED75618"/>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40D7"/>
    <w:rPr>
      <w:rFonts w:asciiTheme="minorHAnsi" w:hAnsiTheme="minorHAnsi"/>
      <w:sz w:val="24"/>
    </w:rPr>
  </w:style>
  <w:style w:type="paragraph" w:styleId="Heading1">
    <w:name w:val="heading 1"/>
    <w:basedOn w:val="Normal"/>
    <w:next w:val="Normal"/>
    <w:link w:val="Overskrift1Tegn"/>
    <w:autoRedefine/>
    <w:uiPriority w:val="9"/>
    <w:qFormat/>
    <w:rsid w:val="00EC626A"/>
    <w:pPr>
      <w:numPr>
        <w:numId w:val="2"/>
      </w:numPr>
      <w:ind w:left="431" w:hanging="431"/>
      <w:outlineLvl w:val="0"/>
    </w:pPr>
    <w:rPr>
      <w:rFonts w:cstheme="minorHAnsi"/>
      <w:b/>
      <w:sz w:val="28"/>
    </w:rPr>
  </w:style>
  <w:style w:type="paragraph" w:styleId="Heading2">
    <w:name w:val="heading 2"/>
    <w:basedOn w:val="Normal"/>
    <w:next w:val="Normal"/>
    <w:link w:val="Overskrift2Tegn"/>
    <w:autoRedefine/>
    <w:uiPriority w:val="9"/>
    <w:qFormat/>
    <w:rsid w:val="00BF525D"/>
    <w:pPr>
      <w:numPr>
        <w:ilvl w:val="1"/>
        <w:numId w:val="2"/>
      </w:numPr>
      <w:ind w:left="397" w:hanging="397"/>
      <w:outlineLvl w:val="1"/>
    </w:pPr>
  </w:style>
  <w:style w:type="paragraph" w:styleId="Heading3">
    <w:name w:val="heading 3"/>
    <w:basedOn w:val="Normal"/>
    <w:next w:val="Normal"/>
    <w:link w:val="Overskrift3Tegn"/>
    <w:autoRedefine/>
    <w:uiPriority w:val="9"/>
    <w:qFormat/>
    <w:rsid w:val="00066A58"/>
    <w:pPr>
      <w:numPr>
        <w:ilvl w:val="2"/>
        <w:numId w:val="1"/>
      </w:numPr>
      <w:tabs>
        <w:tab w:val="num" w:pos="703"/>
      </w:tabs>
      <w:ind w:left="567" w:hanging="567"/>
      <w:outlineLvl w:val="2"/>
    </w:pPr>
    <w:rPr>
      <w:i/>
    </w:rPr>
  </w:style>
  <w:style w:type="paragraph" w:styleId="Heading4">
    <w:name w:val="heading 4"/>
    <w:basedOn w:val="Heading3"/>
    <w:next w:val="Normal"/>
    <w:link w:val="Overskrift4Tegn"/>
    <w:autoRedefine/>
    <w:uiPriority w:val="9"/>
    <w:qFormat/>
    <w:rsid w:val="00A3019C"/>
    <w:pPr>
      <w:numPr>
        <w:ilvl w:val="3"/>
      </w:numPr>
      <w:ind w:left="624" w:hanging="624"/>
      <w:outlineLvl w:val="3"/>
    </w:pPr>
  </w:style>
  <w:style w:type="paragraph" w:styleId="Heading5">
    <w:name w:val="heading 5"/>
    <w:basedOn w:val="Normal"/>
    <w:next w:val="Normal"/>
    <w:link w:val="Overskrift5Tegn"/>
    <w:uiPriority w:val="9"/>
    <w:unhideWhenUsed/>
    <w:qFormat/>
    <w:rsid w:val="00C450FE"/>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Overskrift6Tegn"/>
    <w:uiPriority w:val="9"/>
    <w:qFormat/>
    <w:rsid w:val="00532237"/>
    <w:pPr>
      <w:numPr>
        <w:ilvl w:val="5"/>
        <w:numId w:val="1"/>
      </w:numPr>
      <w:spacing w:line="360" w:lineRule="auto"/>
      <w:outlineLvl w:val="5"/>
    </w:pPr>
    <w:rPr>
      <w:b/>
    </w:rPr>
  </w:style>
  <w:style w:type="paragraph" w:styleId="Heading7">
    <w:name w:val="heading 7"/>
    <w:basedOn w:val="Normal"/>
    <w:next w:val="Normal"/>
    <w:link w:val="Overskrift7Tegn"/>
    <w:uiPriority w:val="9"/>
    <w:semiHidden/>
    <w:unhideWhenUsed/>
    <w:qFormat/>
    <w:rsid w:val="00C450FE"/>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uiPriority w:val="9"/>
    <w:semiHidden/>
    <w:unhideWhenUsed/>
    <w:qFormat/>
    <w:rsid w:val="00C450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uiPriority w:val="9"/>
    <w:semiHidden/>
    <w:unhideWhenUsed/>
    <w:qFormat/>
    <w:rsid w:val="00C450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pPr>
      <w:tabs>
        <w:tab w:val="center" w:pos="4819"/>
        <w:tab w:val="right" w:pos="9071"/>
      </w:tabs>
    </w:pPr>
  </w:style>
  <w:style w:type="paragraph" w:styleId="Header">
    <w:name w:val="header"/>
    <w:basedOn w:val="Normal"/>
    <w:next w:val="Normal"/>
    <w:link w:val="TopptekstTegn"/>
    <w:uiPriority w:val="99"/>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sid w:val="00885802"/>
    <w:rPr>
      <w:color w:val="808080"/>
    </w:rPr>
  </w:style>
  <w:style w:type="character" w:styleId="PageNumber">
    <w:name w:val="page number"/>
    <w:basedOn w:val="DefaultParagraphFont"/>
  </w:style>
  <w:style w:type="character" w:styleId="Hyperlink">
    <w:name w:val="Hyperlink"/>
    <w:uiPriority w:val="99"/>
    <w:rsid w:val="00A9508B"/>
    <w:rPr>
      <w:rFonts w:asciiTheme="minorHAnsi" w:hAnsiTheme="minorHAnsi"/>
      <w:color w:val="1F497D" w:themeColor="text2"/>
      <w:sz w:val="24"/>
      <w:u w:val="single"/>
    </w:rPr>
  </w:style>
  <w:style w:type="character" w:styleId="FollowedHyperlink">
    <w:name w:val="FollowedHyperlink"/>
    <w:uiPriority w:val="99"/>
    <w:rsid w:val="00885802"/>
    <w:rPr>
      <w:rFonts w:asciiTheme="minorHAnsi" w:hAnsiTheme="minorHAnsi"/>
      <w:color w:val="800080"/>
      <w:sz w:val="24"/>
      <w:u w:val="single"/>
    </w:rPr>
  </w:style>
  <w:style w:type="paragraph" w:styleId="BalloonText">
    <w:name w:val="Balloon Text"/>
    <w:basedOn w:val="Normal"/>
    <w:link w:val="BobletekstTegn"/>
    <w:uiPriority w:val="99"/>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885802"/>
    <w:pPr>
      <w:keepNext/>
      <w:keepLines/>
      <w:numPr>
        <w:numId w:val="0"/>
      </w:numPr>
      <w:spacing w:line="259" w:lineRule="auto"/>
      <w:outlineLvl w:val="9"/>
    </w:pPr>
    <w:rPr>
      <w:rFonts w:eastAsiaTheme="majorEastAsia" w:cstheme="majorBidi"/>
      <w:b w:val="0"/>
      <w:color w:val="365F91" w:themeColor="accent1" w:themeShade="BF"/>
      <w:sz w:val="20"/>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uiPriority w:val="39"/>
    <w:unhideWhenUsed/>
    <w:rsid w:val="00C24BA6"/>
    <w:pPr>
      <w:spacing w:after="100"/>
      <w:ind w:left="240"/>
    </w:pPr>
  </w:style>
  <w:style w:type="paragraph" w:styleId="TOC3">
    <w:name w:val="toc 3"/>
    <w:basedOn w:val="Normal"/>
    <w:next w:val="Normal"/>
    <w:autoRedefine/>
    <w:uiPriority w:val="39"/>
    <w:unhideWhenUsed/>
    <w:rsid w:val="00C24BA6"/>
    <w:pPr>
      <w:spacing w:after="100"/>
      <w:ind w:left="480"/>
    </w:pPr>
  </w:style>
  <w:style w:type="character" w:customStyle="1" w:styleId="Overskrift5Tegn">
    <w:name w:val="Overskrift 5 Tegn"/>
    <w:basedOn w:val="DefaultParagraphFont"/>
    <w:link w:val="Heading5"/>
    <w:uiPriority w:val="9"/>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uiPriority w:val="9"/>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uiPriority w:val="9"/>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uiPriority w:val="9"/>
    <w:semiHidden/>
    <w:rsid w:val="00C450FE"/>
    <w:rPr>
      <w:rFonts w:asciiTheme="majorHAnsi" w:eastAsiaTheme="majorEastAsia" w:hAnsiTheme="majorHAnsi" w:cstheme="majorBidi"/>
      <w:i/>
      <w:iCs/>
      <w:color w:val="272727" w:themeColor="text1" w:themeTint="D8"/>
      <w:sz w:val="21"/>
      <w:szCs w:val="21"/>
    </w:rPr>
  </w:style>
  <w:style w:type="paragraph" w:customStyle="1" w:styleId="StilOverskriftforinnholdsfortegnelseLatinBrdtekstCali">
    <w:name w:val="Stil Overskrift for innholdsfortegnelse + (Latin) +Brødtekst (Cali..."/>
    <w:basedOn w:val="TOCHeading"/>
    <w:rsid w:val="00885802"/>
    <w:rPr>
      <w:color w:val="auto"/>
    </w:rPr>
  </w:style>
  <w:style w:type="paragraph" w:customStyle="1" w:styleId="paragraph">
    <w:name w:val="paragraph"/>
    <w:basedOn w:val="Normal"/>
    <w:rsid w:val="00496259"/>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496259"/>
  </w:style>
  <w:style w:type="character" w:customStyle="1" w:styleId="eop">
    <w:name w:val="eop"/>
    <w:basedOn w:val="DefaultParagraphFont"/>
    <w:rsid w:val="00496259"/>
  </w:style>
  <w:style w:type="character" w:customStyle="1" w:styleId="Overskrift1Tegn">
    <w:name w:val="Overskrift 1 Tegn"/>
    <w:basedOn w:val="DefaultParagraphFont"/>
    <w:link w:val="Heading1"/>
    <w:uiPriority w:val="9"/>
    <w:rsid w:val="00EC626A"/>
    <w:rPr>
      <w:rFonts w:asciiTheme="minorHAnsi" w:hAnsiTheme="minorHAnsi" w:cstheme="minorHAnsi"/>
      <w:b/>
      <w:sz w:val="28"/>
    </w:rPr>
  </w:style>
  <w:style w:type="character" w:customStyle="1" w:styleId="Overskrift2Tegn">
    <w:name w:val="Overskrift 2 Tegn"/>
    <w:basedOn w:val="DefaultParagraphFont"/>
    <w:link w:val="Heading2"/>
    <w:uiPriority w:val="9"/>
    <w:rsid w:val="00BF525D"/>
    <w:rPr>
      <w:rFonts w:asciiTheme="minorHAnsi" w:hAnsiTheme="minorHAnsi"/>
      <w:sz w:val="24"/>
    </w:rPr>
  </w:style>
  <w:style w:type="character" w:customStyle="1" w:styleId="Overskrift3Tegn">
    <w:name w:val="Overskrift 3 Tegn"/>
    <w:basedOn w:val="DefaultParagraphFont"/>
    <w:link w:val="Heading3"/>
    <w:uiPriority w:val="9"/>
    <w:rsid w:val="00D55F79"/>
    <w:rPr>
      <w:rFonts w:asciiTheme="minorHAnsi" w:hAnsiTheme="minorHAnsi"/>
      <w:i/>
      <w:sz w:val="24"/>
    </w:rPr>
  </w:style>
  <w:style w:type="character" w:customStyle="1" w:styleId="Overskrift4Tegn">
    <w:name w:val="Overskrift 4 Tegn"/>
    <w:basedOn w:val="DefaultParagraphFont"/>
    <w:link w:val="Heading4"/>
    <w:uiPriority w:val="9"/>
    <w:rsid w:val="00D55F79"/>
    <w:rPr>
      <w:rFonts w:asciiTheme="minorHAnsi" w:hAnsiTheme="minorHAnsi"/>
      <w:i/>
      <w:sz w:val="24"/>
    </w:rPr>
  </w:style>
  <w:style w:type="paragraph" w:styleId="Title">
    <w:name w:val="Title"/>
    <w:basedOn w:val="Normal"/>
    <w:next w:val="Normal"/>
    <w:link w:val="TittelTegn"/>
    <w:uiPriority w:val="10"/>
    <w:qFormat/>
    <w:rsid w:val="00D55F79"/>
    <w:pPr>
      <w:contextualSpacing/>
    </w:pPr>
    <w:rPr>
      <w:rFonts w:asciiTheme="majorHAnsi" w:eastAsiaTheme="majorEastAsia" w:hAnsiTheme="majorHAnsi" w:cstheme="majorBidi"/>
      <w:spacing w:val="-10"/>
      <w:kern w:val="28"/>
      <w:sz w:val="56"/>
      <w:szCs w:val="56"/>
      <w:lang w:eastAsia="en-US"/>
    </w:rPr>
  </w:style>
  <w:style w:type="character" w:customStyle="1" w:styleId="TittelTegn">
    <w:name w:val="Tittel Tegn"/>
    <w:basedOn w:val="DefaultParagraphFont"/>
    <w:link w:val="Title"/>
    <w:uiPriority w:val="10"/>
    <w:rsid w:val="00D55F79"/>
    <w:rPr>
      <w:rFonts w:asciiTheme="majorHAnsi" w:eastAsiaTheme="majorEastAsia" w:hAnsiTheme="majorHAnsi" w:cstheme="majorBidi"/>
      <w:spacing w:val="-10"/>
      <w:kern w:val="28"/>
      <w:sz w:val="56"/>
      <w:szCs w:val="56"/>
      <w:lang w:eastAsia="en-US"/>
    </w:rPr>
  </w:style>
  <w:style w:type="character" w:customStyle="1" w:styleId="Overskrift6Tegn">
    <w:name w:val="Overskrift 6 Tegn"/>
    <w:basedOn w:val="DefaultParagraphFont"/>
    <w:link w:val="Heading6"/>
    <w:uiPriority w:val="9"/>
    <w:rsid w:val="00D55F79"/>
    <w:rPr>
      <w:rFonts w:asciiTheme="minorHAnsi" w:hAnsiTheme="minorHAnsi"/>
      <w:b/>
      <w:sz w:val="24"/>
    </w:rPr>
  </w:style>
  <w:style w:type="table" w:styleId="TableGrid">
    <w:name w:val="Table Grid"/>
    <w:basedOn w:val="TableNormal"/>
    <w:uiPriority w:val="59"/>
    <w:rsid w:val="00D55F79"/>
    <w:rPr>
      <w:rFonts w:eastAsia="SimSun"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D55F79"/>
    <w:rPr>
      <w:rFonts w:eastAsia="SimSun" w:ascii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D55F79"/>
    <w:rPr>
      <w:rFonts w:eastAsia="SimSun" w:ascii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D55F79"/>
    <w:rPr>
      <w:sz w:val="16"/>
      <w:szCs w:val="16"/>
    </w:rPr>
  </w:style>
  <w:style w:type="paragraph" w:styleId="CommentText">
    <w:name w:val="annotation text"/>
    <w:basedOn w:val="Normal"/>
    <w:link w:val="MerknadstekstTegn"/>
    <w:uiPriority w:val="99"/>
    <w:unhideWhenUsed/>
    <w:rsid w:val="00D55F79"/>
    <w:pPr>
      <w:spacing w:after="200"/>
    </w:pPr>
    <w:rPr>
      <w:rFonts w:eastAsia="SimSun" w:cstheme="minorBidi"/>
      <w:sz w:val="20"/>
      <w:lang w:eastAsia="en-US"/>
    </w:rPr>
  </w:style>
  <w:style w:type="character" w:customStyle="1" w:styleId="MerknadstekstTegn">
    <w:name w:val="Merknadstekst Tegn"/>
    <w:basedOn w:val="DefaultParagraphFont"/>
    <w:link w:val="CommentText"/>
    <w:uiPriority w:val="99"/>
    <w:rsid w:val="00D55F79"/>
    <w:rPr>
      <w:rFonts w:eastAsia="SimSun" w:asciiTheme="minorHAnsi" w:hAnsiTheme="minorHAnsi" w:cstheme="minorBidi"/>
      <w:lang w:eastAsia="en-US"/>
    </w:rPr>
  </w:style>
  <w:style w:type="paragraph" w:styleId="CommentSubject">
    <w:name w:val="annotation subject"/>
    <w:basedOn w:val="CommentText"/>
    <w:next w:val="CommentText"/>
    <w:link w:val="KommentaremneTegn"/>
    <w:uiPriority w:val="99"/>
    <w:semiHidden/>
    <w:unhideWhenUsed/>
    <w:rsid w:val="00D55F79"/>
    <w:rPr>
      <w:b/>
      <w:bCs/>
    </w:rPr>
  </w:style>
  <w:style w:type="character" w:customStyle="1" w:styleId="KommentaremneTegn">
    <w:name w:val="Kommentaremne Tegn"/>
    <w:basedOn w:val="MerknadstekstTegn"/>
    <w:link w:val="CommentSubject"/>
    <w:uiPriority w:val="99"/>
    <w:semiHidden/>
    <w:rsid w:val="00D55F79"/>
    <w:rPr>
      <w:rFonts w:eastAsia="SimSun" w:asciiTheme="minorHAnsi" w:hAnsiTheme="minorHAnsi" w:cstheme="minorBidi"/>
      <w:b/>
      <w:bCs/>
      <w:lang w:eastAsia="en-US"/>
    </w:rPr>
  </w:style>
  <w:style w:type="character" w:customStyle="1" w:styleId="BobletekstTegn">
    <w:name w:val="Bobletekst Tegn"/>
    <w:basedOn w:val="DefaultParagraphFont"/>
    <w:link w:val="BalloonText"/>
    <w:uiPriority w:val="99"/>
    <w:semiHidden/>
    <w:rsid w:val="00D55F79"/>
    <w:rPr>
      <w:rFonts w:ascii="Tahoma" w:hAnsi="Tahoma" w:cs="Tahoma"/>
      <w:sz w:val="16"/>
      <w:szCs w:val="16"/>
    </w:rPr>
  </w:style>
  <w:style w:type="paragraph" w:styleId="Caption">
    <w:name w:val="caption"/>
    <w:basedOn w:val="Normal"/>
    <w:next w:val="Normal"/>
    <w:uiPriority w:val="35"/>
    <w:unhideWhenUsed/>
    <w:qFormat/>
    <w:rsid w:val="00D55F79"/>
    <w:pPr>
      <w:spacing w:after="200"/>
    </w:pPr>
    <w:rPr>
      <w:rFonts w:eastAsia="SimSun" w:cstheme="minorBidi"/>
      <w:i/>
      <w:iCs/>
      <w:color w:val="1F497D" w:themeColor="text2"/>
      <w:sz w:val="18"/>
      <w:szCs w:val="18"/>
      <w:lang w:eastAsia="en-US"/>
    </w:rPr>
  </w:style>
  <w:style w:type="paragraph" w:styleId="Revision">
    <w:name w:val="Revision"/>
    <w:hidden/>
    <w:uiPriority w:val="99"/>
    <w:semiHidden/>
    <w:rsid w:val="00D55F79"/>
    <w:rPr>
      <w:rFonts w:eastAsia="SimSun" w:asciiTheme="minorHAnsi" w:hAnsiTheme="minorHAnsi" w:cstheme="minorBidi"/>
      <w:sz w:val="22"/>
      <w:szCs w:val="22"/>
      <w:lang w:eastAsia="en-US"/>
    </w:rPr>
  </w:style>
  <w:style w:type="character" w:customStyle="1" w:styleId="Omtale1">
    <w:name w:val="Omtale1"/>
    <w:basedOn w:val="DefaultParagraphFont"/>
    <w:uiPriority w:val="99"/>
    <w:unhideWhenUsed/>
    <w:rsid w:val="00D55F79"/>
    <w:rPr>
      <w:color w:val="2B579A"/>
      <w:shd w:val="clear" w:color="auto" w:fill="E6E6E6"/>
    </w:rPr>
  </w:style>
  <w:style w:type="paragraph" w:styleId="NoSpacing">
    <w:name w:val="No Spacing"/>
    <w:uiPriority w:val="1"/>
    <w:qFormat/>
    <w:rsid w:val="00D55F79"/>
    <w:rPr>
      <w:rFonts w:eastAsia="SimSun" w:asciiTheme="minorHAnsi" w:hAnsiTheme="minorHAnsi" w:cstheme="minorBidi"/>
      <w:sz w:val="22"/>
      <w:szCs w:val="22"/>
      <w:lang w:eastAsia="en-US"/>
    </w:rPr>
  </w:style>
  <w:style w:type="paragraph" w:customStyle="1" w:styleId="EndNoteBibliographyTitle">
    <w:name w:val="EndNote Bibliography Title"/>
    <w:basedOn w:val="Normal"/>
    <w:link w:val="EndNoteBibliographyTitleChar"/>
    <w:rsid w:val="00D55F79"/>
    <w:pPr>
      <w:spacing w:line="276" w:lineRule="auto"/>
      <w:jc w:val="center"/>
    </w:pPr>
    <w:rPr>
      <w:rFonts w:ascii="Calibri" w:eastAsia="SimSun"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D55F79"/>
    <w:rPr>
      <w:rFonts w:ascii="Calibri" w:eastAsia="SimSun" w:hAnsi="Calibri" w:cs="Calibri"/>
      <w:noProof/>
      <w:sz w:val="22"/>
      <w:szCs w:val="22"/>
      <w:lang w:val="en-US" w:eastAsia="en-US"/>
    </w:rPr>
  </w:style>
  <w:style w:type="paragraph" w:customStyle="1" w:styleId="EndNoteBibliography">
    <w:name w:val="EndNote Bibliography"/>
    <w:basedOn w:val="Normal"/>
    <w:link w:val="EndNoteBibliographyChar"/>
    <w:rsid w:val="00D55F79"/>
    <w:pPr>
      <w:spacing w:after="200"/>
    </w:pPr>
    <w:rPr>
      <w:rFonts w:ascii="Calibri" w:eastAsia="SimSun" w:hAnsi="Calibri" w:cs="Calibri"/>
      <w:noProof/>
      <w:sz w:val="22"/>
      <w:szCs w:val="22"/>
      <w:lang w:val="en-US" w:eastAsia="en-US"/>
    </w:rPr>
  </w:style>
  <w:style w:type="character" w:customStyle="1" w:styleId="EndNoteBibliographyChar">
    <w:name w:val="EndNote Bibliography Char"/>
    <w:basedOn w:val="DefaultParagraphFont"/>
    <w:link w:val="EndNoteBibliography"/>
    <w:rsid w:val="00D55F79"/>
    <w:rPr>
      <w:rFonts w:ascii="Calibri" w:eastAsia="SimSun" w:hAnsi="Calibri" w:cs="Calibri"/>
      <w:noProof/>
      <w:sz w:val="22"/>
      <w:szCs w:val="22"/>
      <w:lang w:val="en-US" w:eastAsia="en-US"/>
    </w:rPr>
  </w:style>
  <w:style w:type="character" w:customStyle="1" w:styleId="Ulstomtale1">
    <w:name w:val="Uløst omtale1"/>
    <w:basedOn w:val="DefaultParagraphFont"/>
    <w:uiPriority w:val="99"/>
    <w:semiHidden/>
    <w:unhideWhenUsed/>
    <w:rsid w:val="00D55F79"/>
    <w:rPr>
      <w:color w:val="605E5C"/>
      <w:shd w:val="clear" w:color="auto" w:fill="E1DFDD"/>
    </w:rPr>
  </w:style>
  <w:style w:type="character" w:customStyle="1" w:styleId="Ulstomtale2">
    <w:name w:val="Uløst omtale2"/>
    <w:basedOn w:val="DefaultParagraphFont"/>
    <w:uiPriority w:val="99"/>
    <w:semiHidden/>
    <w:unhideWhenUsed/>
    <w:rsid w:val="00D55F79"/>
    <w:rPr>
      <w:color w:val="605E5C"/>
      <w:shd w:val="clear" w:color="auto" w:fill="E1DFDD"/>
    </w:rPr>
  </w:style>
  <w:style w:type="paragraph" w:styleId="Bibliography">
    <w:name w:val="Bibliography"/>
    <w:basedOn w:val="Normal"/>
    <w:next w:val="Normal"/>
    <w:uiPriority w:val="37"/>
    <w:unhideWhenUsed/>
    <w:rsid w:val="00D55F79"/>
    <w:pPr>
      <w:spacing w:after="200" w:line="276" w:lineRule="auto"/>
    </w:pPr>
    <w:rPr>
      <w:rFonts w:eastAsia="SimSun" w:cstheme="minorBidi"/>
      <w:sz w:val="22"/>
      <w:szCs w:val="22"/>
      <w:lang w:eastAsia="en-US"/>
    </w:rPr>
  </w:style>
  <w:style w:type="character" w:styleId="Mention">
    <w:name w:val="Mention"/>
    <w:basedOn w:val="DefaultParagraphFont"/>
    <w:uiPriority w:val="99"/>
    <w:unhideWhenUsed/>
    <w:rsid w:val="00D55F79"/>
    <w:rPr>
      <w:color w:val="2B579A"/>
      <w:shd w:val="clear" w:color="auto" w:fill="E1DFDD"/>
    </w:rPr>
  </w:style>
  <w:style w:type="character" w:styleId="UnresolvedMention">
    <w:name w:val="Unresolved Mention"/>
    <w:basedOn w:val="DefaultParagraphFont"/>
    <w:uiPriority w:val="99"/>
    <w:semiHidden/>
    <w:unhideWhenUsed/>
    <w:rsid w:val="00D55F79"/>
    <w:rPr>
      <w:color w:val="605E5C"/>
      <w:shd w:val="clear" w:color="auto" w:fill="E1DFDD"/>
    </w:rPr>
  </w:style>
  <w:style w:type="character" w:customStyle="1" w:styleId="TopptekstTegn">
    <w:name w:val="Topptekst Tegn"/>
    <w:basedOn w:val="DefaultParagraphFont"/>
    <w:link w:val="Header"/>
    <w:uiPriority w:val="99"/>
    <w:rsid w:val="00D55F79"/>
    <w:rPr>
      <w:rFonts w:asciiTheme="minorHAnsi" w:hAnsiTheme="minorHAnsi"/>
    </w:rPr>
  </w:style>
  <w:style w:type="character" w:customStyle="1" w:styleId="BunntekstTegn">
    <w:name w:val="Bunntekst Tegn"/>
    <w:basedOn w:val="DefaultParagraphFont"/>
    <w:link w:val="Footer"/>
    <w:uiPriority w:val="99"/>
    <w:rsid w:val="00D55F79"/>
    <w:rPr>
      <w:rFonts w:asciiTheme="minorHAnsi" w:hAnsiTheme="minorHAnsi"/>
      <w:sz w:val="24"/>
    </w:rPr>
  </w:style>
  <w:style w:type="table" w:styleId="GridTable1LightAccent1">
    <w:name w:val="Grid Table 1 Light Accent 1"/>
    <w:basedOn w:val="TableNormal"/>
    <w:uiPriority w:val="46"/>
    <w:rsid w:val="00D55F79"/>
    <w:rPr>
      <w:rFonts w:eastAsia="SimSun" w:ascii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D55F79"/>
    <w:rPr>
      <w:i/>
      <w:iCs/>
      <w:color w:val="4F81BD" w:themeColor="accent1"/>
    </w:rPr>
  </w:style>
  <w:style w:type="character" w:customStyle="1" w:styleId="cf01">
    <w:name w:val="cf01"/>
    <w:basedOn w:val="DefaultParagraphFont"/>
    <w:rsid w:val="00D55F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helsevest.sharepoint.com/teams/KreftavdelingenHBE/Delte%20dokumenter/STR&#197;LETERAPI%20tverrfaglig/Prosjekt/2024/Arbeidsgruppe%20-%20Avbildningsprosedyre%20proton/Arbeidsdokumenter/Protokoller/CT%20protokoll%20barn.pdf" TargetMode="External" /><Relationship Id="rId6" Type="http://schemas.openxmlformats.org/officeDocument/2006/relationships/hyperlink" Target="https://helsevest.sharepoint.com/teams/KreftavdelingenHBE/Delte%20dokumenter/STR&#197;LETERAPI%20tverrfaglig/Prosjekt/2024/Arbeidsgruppe%20-%20Avbildningsprosedyre%20proton/Arbeidsdokumenter/Protokoller/CT%20protokoll%20CNS.pdf" TargetMode="External" /><Relationship Id="rId7" Type="http://schemas.openxmlformats.org/officeDocument/2006/relationships/hyperlink" Target="https://helsevest.sharepoint.com/teams/KreftavdelingenHBE/Delte%20dokumenter/STR&#197;LETERAPI%20tverrfaglig/Prosjekt/2024/Arbeidsgruppe%20-%20Avbildningsprosedyre%20proton/Arbeidsdokumenter/Protokoller/CT%20protokoll%20sarkom.pdf" TargetMode="External" /><Relationship Id="rId8" Type="http://schemas.openxmlformats.org/officeDocument/2006/relationships/hyperlink" Target="https://helsevest.sharepoint.com/teams/KreftavdelingenHBE/Delte%20dokumenter/STR&#197;LETERAPI%20tverrfaglig/Prosjekt/2024/Arbeidsgruppe%20-%20Avbildningsprosedyre%20proton/Arbeidsdokumenter/Protokoller/CT%20protokoll%20&#216;NH.pdf" TargetMode="External" /><Relationship Id="rId9" Type="http://schemas.openxmlformats.org/officeDocument/2006/relationships/hyperlink" Target="https://kvalitet.helse-bergen.no/docs/pub/dok78847.htm"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H:\OFFICE97\MALER\OPERATIV.DOT"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4DDE07E11CC0411AADA8C5D06D866C7F"/>
        <w:category>
          <w:name w:val="Generelt"/>
          <w:gallery w:val="placeholder"/>
        </w:category>
        <w:types>
          <w:type w:val="bbPlcHdr"/>
        </w:types>
        <w:behaviors>
          <w:behavior w:val="content"/>
        </w:behaviors>
        <w:guid w:val="{7CC9E21C-DB23-4D93-9818-3FD1C755BA85}"/>
      </w:docPartPr>
      <w:docPartBody>
        <w:p w:rsidR="00FB42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0" w:inkAnnotations="1" w:insDel="1" w:markup="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2C0"/>
    <w:rsid w:val="00FB42C0"/>
  </w:rsid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1FA8C0-3A3B-4ED7-AACC-0E6F9B8DF385}">
  <we:reference id="1fc441d0-c012-4ded-878a-44e68ea26eb9" version="3.0.0.0" store="EXCatalog" storeType="excatalog"/>
  <we:alternateReferences>
    <we:reference id="WA200003024" version="3.0.0.0" store="nb-NO" storeType="omex"/>
  </we:alternateReferences>
  <we:properties/>
  <we:bindings/>
  <we:snapshot xmlns:r="http://schemas.openxmlformats.org/officeDocument/2006/relationships"/>
</we:webextension>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Goi85</b:Tag>
    <b:SourceType>ArticleInAPeriodical</b:SourceType>
    <b:Guid>{C82CC95B-B25B-4A8E-AD3A-F6B338CB1613}</b:Guid>
    <b:Title>Calculation of the uncertainty in the dose delivered during radiation therapy</b:Title>
    <b:Year>1985</b:Year>
    <b:PeriodicalTitle>Medical Physics</b:PeriodicalTitle>
    <b:Author>
      <b:Author>
        <b:NameList>
          <b:Person>
            <b:Last>Goitein</b:Last>
            <b:First>M</b:First>
          </b:Person>
        </b:NameList>
      </b:Author>
    </b:Author>
    <b:DOI> https://doi.org/10.1118/1.595762</b:DOI>
    <b:RefOrder>1</b:RefOrder>
  </b:Source>
  <b:Source>
    <b:Tag>Vic18</b:Tag>
    <b:SourceType>JournalArticle</b:SourceType>
    <b:Guid>{9AFA5BA8-4A7C-4C09-8DF5-7CF9CEDEF34B}</b:Guid>
    <b:Title>Inter-centre variability of CT-based stopping-power prediction in particle therapy: Survey-based evaluation</b:Title>
    <b:Year>2018</b:Year>
    <b:Pages>25-30</b:Pages>
    <b:DOI>https://doi.org/10.1016/j.phro.2018.04.006</b:DOI>
    <b:Author>
      <b:Author>
        <b:NameList>
          <b:Person>
            <b:Last>Taasti </b:Last>
            <b:Middle>T</b:Middle>
            <b:First>Vicki </b:First>
          </b:Person>
          <b:Person>
            <b:Last>Bäumer</b:Last>
            <b:First>Christian</b:First>
          </b:Person>
          <b:Person>
            <b:Last>Dahlgren</b:Last>
            <b:Middle>V</b:Middle>
            <b:First>Christina</b:First>
          </b:Person>
          <b:Person>
            <b:Last>Deisher</b:Last>
            <b:Middle>J</b:Middle>
            <b:First>Amanda</b:First>
          </b:Person>
          <b:Person>
            <b:Last>Ellerbrock</b:Last>
            <b:First>Malte </b:First>
          </b:Person>
          <b:Person>
            <b:Last>Free</b:Last>
            <b:First>Jeffrey </b:First>
          </b:Person>
          <b:Person>
            <b:Last>Gora</b:Last>
            <b:First>Joanna </b:First>
          </b:Person>
          <b:Person>
            <b:Last>Kozera</b:Last>
            <b:First>Anna </b:First>
          </b:Person>
          <b:Person>
            <b:Last>Lomax</b:Last>
            <b:First>Antony J.</b:First>
          </b:Person>
          <b:Person>
            <b:Last>De Marzi</b:Last>
            <b:First>Ludovic</b:First>
          </b:Person>
          <b:Person>
            <b:Last>Molinelli</b:Last>
            <b:First>Silvia </b:First>
          </b:Person>
          <b:Person>
            <b:Last>Teo</b:Last>
            <b:Middle>Kevin </b:Middle>
            <b:First>Boon-Keng</b:First>
          </b:Person>
          <b:Person>
            <b:Last>Wohlfahrt</b:Last>
            <b:First>Patrick </b:First>
          </b:Person>
          <b:Person>
            <b:Last>Petersen</b:Last>
            <b:Middle>B B</b:Middle>
            <b:First>Jørgen</b:First>
          </b:Person>
          <b:Person>
            <b:Last>Muren</b:Last>
            <b:Middle>P</b:Middle>
            <b:First>Ludvig</b:First>
          </b:Person>
          <b:Person>
            <b:Last>Hansen</b:Last>
            <b:Middle>C</b:Middle>
            <b:First>David</b:First>
          </b:Person>
          <b:Person>
            <b:Last>Richter</b:Last>
            <b:First>Christian</b:First>
          </b:Person>
        </b:NameList>
      </b:Author>
    </b:Author>
    <b:PeriodicalTitle>Physics and Imaging in Radiation Oncology</b:PeriodicalTitle>
    <b:Month>April</b:Month>
    <b:Edition>6</b:Edition>
    <b:RefOrder>2</b:RefOrder>
  </b:Source>
  <b:Source>
    <b:Tag>Dir05</b:Tag>
    <b:SourceType>Report</b:SourceType>
    <b:Guid>{05A1F486-2A96-42E6-B7B1-BB0C6D6BF3F9}</b:Guid>
    <b:Title>Veileder om medisinsk bruk av røntgen- og MR-apparatur</b:Title>
    <b:Year>2023</b:Year>
    <b:Author>
      <b:Author>
        <b:Corporate>Direktoratet for strålevern og atomsikkerhet</b:Corporate>
      </b:Author>
    </b:Author>
    <b:ThesisType>Veileder</b:ThesisType>
    <b:URL>https://dsa.no/publikasjoner/_/attachment/inline/70e8470f-6c36-46fc-9e97-c27298859d66:22ab78bd659798c58cc3ce55c07dbb9aad9b44a0/Veileder%205_rev-mai2023.pdf</b:URL>
    <b:RefOrder>3</b:RefOrder>
  </b:Source>
  <b:Source>
    <b:Tag>USc96</b:Tag>
    <b:SourceType>JournalArticle</b:SourceType>
    <b:Guid>{E7102F9C-4A11-4F85-99B3-A99B71D23056}</b:Guid>
    <b:Author>
      <b:Author>
        <b:NameList>
          <b:Person>
            <b:Last>Schneider</b:Last>
            <b:First>U</b:First>
          </b:Person>
          <b:Person>
            <b:Last>Pedroni</b:Last>
            <b:First>E</b:First>
          </b:Person>
          <b:Person>
            <b:Last>Lomax</b:Last>
            <b:First>A</b:First>
          </b:Person>
        </b:NameList>
      </b:Author>
    </b:Author>
    <b:Title>The calibration of CT Hounsfield units for radiotherapy treatment planning</b:Title>
    <b:JournalName>Phys Med Biol</b:JournalName>
    <b:Year>1996</b:Year>
    <b:Pages>111-24</b:Pages>
    <b:Month>January</b:Month>
    <b:Volume>41</b:Volume>
    <b:Issue>1</b:Issue>
    <b:DOI>10.1088/0031-9155/41/1/009</b:DOI>
    <b:RefOrder>4</b:RefOrder>
  </b:Source>
  <b:Source>
    <b:Tag>Peters23</b:Tag>
    <b:SourceType>ArticleInAPeriodical</b:SourceType>
    <b:Guid>{59D4551D-66FE-4312-9B70-7C0BCB195B85}</b:Guid>
    <b:Title>Consensus guide on CT-based prediction of stopping-power ratio using a Hounsfield look-up table for proton therapy</b:Title>
    <b:Year>2023</b:Year>
    <b:Author>
      <b:Author>
        <b:NameList>
          <b:Person>
            <b:Last>Peters</b:Last>
            <b:First>N</b:First>
          </b:Person>
          <b:Person>
            <b:Last>Taasti</b:Last>
            <b:First>V</b:First>
            <b:Middle>T</b:Middle>
          </b:Person>
          <b:Person>
            <b:Last>Ackermann</b:Last>
            <b:First>B</b:First>
          </b:Person>
          <b:Person>
            <b:Last>Bolsi</b:Last>
            <b:First>A</b:First>
          </b:Person>
          <b:Person>
            <b:Last>Dahlgren</b:Last>
            <b:First>C</b:First>
            <b:Middle>V</b:Middle>
          </b:Person>
          <b:Person>
            <b:Last>Ellerbrock</b:Last>
            <b:First>M</b:First>
          </b:Person>
          <b:Person>
            <b:Last>Fracchiolla</b:Last>
            <b:First>F</b:First>
          </b:Person>
          <b:Person>
            <b:Last>Gomà</b:Last>
            <b:First>C</b:First>
          </b:Person>
          <b:Person>
            <b:Last>Góra</b:Last>
            <b:First>J</b:First>
          </b:Person>
          <b:Person>
            <b:Last>Lopes</b:Last>
            <b:First>P</b:First>
            <b:Middle>C</b:Middle>
          </b:Person>
          <b:Person>
            <b:Last>Rinaldi</b:Last>
            <b:First>I</b:First>
          </b:Person>
          <b:Person>
            <b:Last>Salvo</b:Last>
            <b:First>K</b:First>
          </b:Person>
          <b:Person>
            <b:Last>Tarp</b:Last>
            <b:First>I</b:First>
            <b:Middle>S</b:Middle>
          </b:Person>
          <b:Person>
            <b:Last>Vai</b:Last>
            <b:First>A</b:First>
          </b:Person>
        </b:NameList>
      </b:Author>
    </b:Author>
    <b:JournalName>Radiotherapy and Oncology</b:JournalName>
    <b:PeriodicalTitle>Radiotherapy and Oncology</b:PeriodicalTitle>
    <b:Volume>184</b:Volume>
    <b:DOI>https://doi.org/10.1016/j.radonc.2023.109675</b:DOI>
    <b:StandardNumber>109675</b:StandardNumber>
    <b:RefOrder>5</b:RefOrder>
  </b:Source>
  <b:Source>
    <b:Tag>Ray</b:Tag>
    <b:SourceType>Report</b:SourceType>
    <b:Guid>{42BCE9B7-0D1C-4CBB-95D1-55F938E237C6}</b:Guid>
    <b:Title>RayStation 2023B Reference Manual</b:Title>
    <b:Author>
      <b:Author>
        <b:Corporate>RayStation</b:Corporate>
      </b:Author>
    </b:Author>
    <b:RefOrder>6</b:RefOrder>
  </b:Source>
  <b:Source>
    <b:Tag>Hun14</b:Tag>
    <b:SourceType>ArticleInAPeriodical</b:SourceType>
    <b:Guid>{36A7F50A-DC9D-4941-B0E2-ECD3938BB3D2}</b:Guid>
    <b:Title>Experimental verification of ion stopping power prediction from dual energy CT data in tissue surrogates.</b:Title>
    <b:Year>2014</b:Year>
    <b:Author>
      <b:Author>
        <b:NameList>
          <b:Person>
            <b:Last>Hünemohr</b:Last>
            <b:First>N</b:First>
          </b:Person>
          <b:Person>
            <b:Last>Krauss</b:Last>
            <b:First>B</b:First>
          </b:Person>
          <b:Person>
            <b:Last>Tremmel</b:Last>
            <b:First>C</b:First>
          </b:Person>
          <b:Person>
            <b:Last>Ackermann</b:Last>
            <b:First>B</b:First>
          </b:Person>
          <b:Person>
            <b:Last>Jäkel</b:Last>
            <b:First>O</b:First>
          </b:Person>
          <b:Person>
            <b:Last>Greilich</b:Last>
            <b:First>S</b:First>
          </b:Person>
        </b:NameList>
      </b:Author>
    </b:Author>
    <b:PeriodicalTitle>Physics in medicine and biology</b:PeriodicalTitle>
    <b:Pages>83-96</b:Pages>
    <b:Edition>59(1)</b:Edition>
    <b:DOI>https://doi.org/10.1088/0031-9155/59/1/83</b:DOI>
    <b:RefOrder>7</b:RefOrder>
  </b:Source>
  <b:Source>
    <b:Tag>Var22</b:Tag>
    <b:SourceType>DocumentFromInternetSite</b:SourceType>
    <b:Guid>{B4CD0C53-792C-46A1-B81F-09D8DE2B3225}</b:Guid>
    <b:Year>2022</b:Year>
    <b:Author>
      <b:Author>
        <b:Corporate>Varian</b:Corporate>
      </b:Author>
    </b:Author>
    <b:Month>Mai</b:Month>
    <b:Version>18.0</b:Version>
    <b:Title>Eclipse Proton Reference Guide</b:Title>
    <b:RefOrder>8</b:RefOrder>
  </b:Source>
  <b:Source>
    <b:Tag>Woh20</b:Tag>
    <b:SourceType>JournalArticle</b:SourceType>
    <b:Guid>{88598CF2-CF24-411B-B545-6D17F7404C02}</b:Guid>
    <b:Title>Status and innovations in pre-treatment CT imaging for proton therapy</b:Title>
    <b:JournalName>Br J Radiol.</b:JournalName>
    <b:Year>2020</b:Year>
    <b:Pages>20190590</b:Pages>
    <b:Volume>93</b:Volume>
    <b:Issue>1107</b:Issue>
    <b:Author>
      <b:Author>
        <b:NameList>
          <b:Person>
            <b:Last>Wohlfahrt</b:Last>
            <b:First>P</b:First>
          </b:Person>
          <b:Person>
            <b:Last>Richter</b:Last>
            <b:First>C</b:First>
          </b:Person>
        </b:NameList>
      </b:Author>
    </b:Author>
    <b:Month>Mar</b:Month>
    <b:DOI>doi: 10.1259/bjr.20190590</b:DOI>
    <b:RefOrder>9</b:RefOrder>
  </b:Source>
  <b:Source>
    <b:Tag>Woh17</b:Tag>
    <b:SourceType>JournalArticle</b:SourceType>
    <b:Guid>{1681F308-A3EB-4197-BF20-1A307F6079A1}</b:Guid>
    <b:Title>Clinical Implementation of Dual-energy CT for Proton Treatment Planning on Pseudo-monoenergetic CT scans</b:Title>
    <b:JournalName>Int J Radiat Oncol Biol Phys</b:JournalName>
    <b:Year>2017</b:Year>
    <b:Volume>97</b:Volume>
    <b:Issue>2</b:Issue>
    <b:Author>
      <b:Author>
        <b:NameList>
          <b:Person>
            <b:Last>Wohlfahrt</b:Last>
            <b:First>P</b:First>
          </b:Person>
          <b:Person>
            <b:Last>Möhler</b:Last>
            <b:First>C</b:First>
          </b:Person>
          <b:Person>
            <b:Last>Hietschold</b:Last>
            <b:First>V</b:First>
          </b:Person>
          <b:Person>
            <b:Last>Menkel</b:Last>
            <b:First>S</b:First>
          </b:Person>
          <b:Person>
            <b:Last>Greilich</b:Last>
            <b:First>S</b:First>
          </b:Person>
          <b:Person>
            <b:Last>Krause</b:Last>
            <b:First>M</b:First>
          </b:Person>
          <b:Person>
            <b:Last>Baumann</b:Last>
            <b:First>M</b:First>
          </b:Person>
          <b:Person>
            <b:Last>Enghardt</b:Last>
            <b:First>W</b:First>
          </b:Person>
          <b:Person>
            <b:Last>Richter</b:Last>
            <b:First>C</b:First>
          </b:Person>
        </b:NameList>
      </b:Author>
    </b:Author>
    <b:Month>February</b:Month>
    <b:Day>1</b:Day>
    <b:DOI>doi: 10.1016/j.ijrobp.2016.10.022</b:DOI>
    <b:RefOrder>10</b:RefOrder>
  </b:Source>
  <b:Source>
    <b:Tag>phy21</b:Tag>
    <b:SourceType>InternetSite</b:SourceType>
    <b:Guid>{D805B90F-FC66-4FC2-956B-9C28DD02EA38}</b:Guid>
    <b:Title>physicsworld.com</b:Title>
    <b:Year>2021</b:Year>
    <b:Month>July</b:Month>
    <b:Day>1</b:Day>
    <b:ProductionCompany>Siemens Healthineers</b:ProductionCompany>
    <b:URL>https://physicsworld.com/a/exploiting-dual-energy-ct-and-directspr-software-to-reduce-range-uncertainty-in-proton-therapy/</b:URL>
    <b:InternetSiteTitle>Exploiting dual-energy CT and DirectSPR software to reduce range uncertainty in proton therapy</b:InternetSiteTitle>
    <b:RefOrder>11</b:RefOrder>
  </b:Source>
  <b:Source>
    <b:Tag>Pet22</b:Tag>
    <b:SourceType>ArticleInAPeriodical</b:SourceType>
    <b:Guid>{F4E6BDDB-6946-4F06-995C-62F042A6CE4D}</b:Guid>
    <b:Title>Reduction of clinical safety margins in proton therapy enabled by the clinical implementation of dual-energy CT for direct stopping-power prediction</b:Title>
    <b:PeriodicalTitle>Radiotherapy and Oncology</b:PeriodicalTitle>
    <b:Year>2022</b:Year>
    <b:Pages>71-78</b:Pages>
    <b:Volume>166</b:Volume>
    <b:DOI>https://doi.org/10.1016/j.radonc.2021.11.002</b:DOI>
    <b:Author>
      <b:Author>
        <b:NameList>
          <b:Person>
            <b:Last>Peters</b:Last>
            <b:First>N</b:First>
          </b:Person>
          <b:Person>
            <b:Last>Wohlfahrt</b:Last>
            <b:First>P</b:First>
          </b:Person>
          <b:Person>
            <b:Last>Hofmann</b:Last>
            <b:First>C</b:First>
          </b:Person>
          <b:Person>
            <b:Last>Möhler</b:Last>
            <b:First>C</b:First>
          </b:Person>
          <b:Person>
            <b:Last>Menkel</b:Last>
            <b:First>S</b:First>
          </b:Person>
          <b:Person>
            <b:Last>Tschiche</b:Last>
            <b:First>M</b:First>
          </b:Person>
          <b:Person>
            <b:Last>Krause</b:Last>
            <b:First>M</b:First>
          </b:Person>
          <b:Person>
            <b:Last>Troost</b:Last>
            <b:Middle>G C</b:Middle>
            <b:First>E</b:First>
          </b:Person>
          <b:Person>
            <b:Last>Enghardt</b:Last>
            <b:First>W</b:First>
          </b:Person>
          <b:Person>
            <b:Last>Richter</b:Last>
            <b:First>C</b:First>
          </b:Person>
        </b:NameList>
      </b:Author>
    </b:Author>
    <b:RefOrder>12</b:RefOrder>
  </b:Source>
  <b:Source>
    <b:Tag>PWo19</b:Tag>
    <b:SourceType>JournalArticle</b:SourceType>
    <b:Guid>{38495705-7652-4D3A-ABAB-A6CB2BC5E84E}</b:Guid>
    <b:Author>
      <b:Author>
        <b:NameList>
          <b:Person>
            <b:Last>Wohlfahrt</b:Last>
            <b:First>P</b:First>
          </b:Person>
          <b:Person>
            <b:Last>Möhler</b:Last>
            <b:First>C</b:First>
          </b:Person>
          <b:Person>
            <b:Last>Troost</b:Last>
            <b:First>E</b:First>
            <b:Middle>G C</b:Middle>
          </b:Person>
          <b:Person>
            <b:Last>Greilich</b:Last>
            <b:First>S</b:First>
          </b:Person>
          <b:Person>
            <b:Last>Richter</b:Last>
            <b:First>C</b:First>
          </b:Person>
        </b:NameList>
      </b:Author>
    </b:Author>
    <b:Title>Dual-Energy Computed Tomography to Assess Intra- and Inter-Patient Tissue Variability for Proton Treatment Planning of Patients With Brain Tumor</b:Title>
    <b:JournalName>International Journal of Radiation Oncology Biology Physics</b:JournalName>
    <b:Year>2019</b:Year>
    <b:Pages>504-513</b:Pages>
    <b:Month>November</b:Month>
    <b:Day>1</b:Day>
    <b:Volume>105</b:Volume>
    <b:Issue>3</b:Issue>
    <b:DOI>https://doi.org/10.1016/j.ijrobp.2019.06.2529</b:DOI>
    <b:RefOrder>13</b:RefOrder>
  </b:Source>
  <b:Source>
    <b:Tag>Art19</b:Tag>
    <b:SourceType>ArticleInAPeriodical</b:SourceType>
    <b:Guid>{2E4B50D5-127F-47D8-B5BE-E6577B1F9248}</b:Guid>
    <b:Author>
      <b:Author>
        <b:NameList>
          <b:Person>
            <b:Last>Lalonde</b:Last>
            <b:First>A</b:First>
          </b:Person>
          <b:Person>
            <b:Last>Xie</b:Last>
            <b:First>Y</b:First>
          </b:Person>
          <b:Person>
            <b:Last>Burgdorf</b:Last>
            <b:First>B</b:First>
          </b:Person>
          <b:Person>
            <b:Last>O'Reilly</b:Last>
            <b:First>S</b:First>
          </b:Person>
          <b:Person>
            <b:Last>Ingram</b:Last>
            <b:First>W</b:First>
            <b:Middle>S</b:Middle>
          </b:Person>
          <b:Person>
            <b:Last>Yin</b:Last>
            <b:First>L</b:First>
          </b:Person>
          <b:Person>
            <b:Last>Zou</b:Last>
            <b:First>W</b:First>
          </b:Person>
          <b:Person>
            <b:Last>Dong</b:Last>
            <b:First>L</b:First>
          </b:Person>
          <b:Person>
            <b:Last>Bouchard</b:Last>
            <b:First>H</b:First>
          </b:Person>
          <b:Person>
            <b:Last>Teo</b:Last>
            <b:First>B-K</b:First>
            <b:Middle>K</b:Middle>
          </b:Person>
        </b:NameList>
      </b:Author>
    </b:Author>
    <b:Title>Influence of intravenous contrast agent on dose calculation in proton therapy using dual energy CT</b:Title>
    <b:PeriodicalTitle>Phys Med Biol</b:PeriodicalTitle>
    <b:Year>2019</b:Year>
    <b:Month>June</b:Month>
    <b:Day>21</b:Day>
    <b:Pages>125024</b:Pages>
    <b:Edition>12</b:Edition>
    <b:Volume>64</b:Volume>
    <b:DOI>doi: 10.1088/1361-6560/ab1e9d</b:DOI>
    <b:RefOrder>14</b:RefOrder>
  </b:Source>
  <b:Source>
    <b:Tag>Rit20</b:Tag>
    <b:SourceType>DocumentFromInternetSite</b:SourceType>
    <b:Guid>{9C44F3DD-B698-4215-82CB-BB6B553CF891}</b:Guid>
    <b:Title>White Paper: DirectDensity - Technical principles and implications for radiotherapy</b:Title>
    <b:Year>2020</b:Year>
    <b:Author>
      <b:Author>
        <b:NameList>
          <b:Person>
            <b:Last>Ritter</b:Last>
            <b:First>A</b:First>
          </b:Person>
          <b:Person>
            <b:Last>Mistry</b:Last>
            <b:First>N</b:First>
          </b:Person>
        </b:NameList>
      </b:Author>
      <b:ProducerName>
        <b:NameList>
          <b:Person>
            <b:Last>Healthineers</b:Last>
            <b:First>Siemens</b:First>
          </b:Person>
        </b:NameList>
      </b:ProducerName>
    </b:Author>
    <b:JournalName>Siemens Healthineers</b:JournalName>
    <b:URL>https://marketing.webassets.siemens-healthineers.com/1800000007414546/83f3c3bef1bd/sh-radiotherapy-ct-for-rt-direct-density-whitepaper_1800000007414546.pdf</b:URL>
    <b:RefOrder>15</b:RefOrder>
  </b:Source>
  <b:Source>
    <b:Tag>Ane23</b:Tag>
    <b:SourceType>ArticleInAPeriodical</b:SourceType>
    <b:Guid>{8338B664-1F44-49F8-97BF-E1E0C97FB9DC}</b:Guid>
    <b:Title>An evaluation of the use of DirectSPR images for proton planning in the RayStation treatment planning software</b:Title>
    <b:Year>2023</b:Year>
    <b:Month>Jan</b:Month>
    <b:Day>10</b:Day>
    <b:PeriodicalTitle>J Appl Clin Med Phys</b:PeriodicalTitle>
    <b:Edition>24</b:Edition>
    <b:Volume>5</b:Volume>
    <b:DOI>https://doi.org/10.1002/acm2.13900</b:DOI>
    <b:Author>
      <b:Author>
        <b:NameList>
          <b:Person>
            <b:Last>Sarkar</b:Last>
            <b:First>V</b:First>
          </b:Person>
          <b:Person>
            <b:Last>Paxton</b:Last>
            <b:First>A</b:First>
          </b:Person>
          <b:Person>
            <b:Last>Su</b:Last>
            <b:First>F</b:First>
          </b:Person>
          <b:Person>
            <b:Last>Price</b:Last>
            <b:First>R</b:First>
          </b:Person>
          <b:Person>
            <b:Last>Nelson</b:Last>
            <b:First>G</b:First>
          </b:Person>
          <b:Person>
            <b:Last>Szegedi</b:Last>
            <b:First>M</b:First>
          </b:Person>
          <b:Person>
            <b:Last>St. James</b:Last>
            <b:First>S</b:First>
          </b:Person>
          <b:Person>
            <b:Last>Salter</b:Last>
            <b:First>B J</b:First>
          </b:Person>
        </b:NameList>
      </b:Author>
    </b:Author>
    <b:RefOrder>16</b:RefOrder>
  </b:Source>
  <b:Source>
    <b:Tag>Gab21</b:Tag>
    <b:SourceType>JournalArticle</b:SourceType>
    <b:Guid>{D62C00EB-E8DC-42B3-B8BE-353007F4A81D}</b:Guid>
    <b:Author>
      <b:Author>
        <b:NameList>
          <b:Person>
            <b:Last>Fonseca</b:Last>
            <b:First>G</b:First>
            <b:Middle>P</b:Middle>
          </b:Person>
          <b:Person>
            <b:Last>Baer-Beck</b:Last>
            <b:First>M</b:First>
          </b:Person>
          <b:Person>
            <b:Last>Fournie</b:Last>
            <b:First>E</b:First>
          </b:Person>
          <b:Person>
            <b:Last>Hofmann</b:Last>
            <b:First>C</b:First>
          </b:Person>
          <b:Person>
            <b:Last>Rinaldi</b:Last>
            <b:First>I</b:First>
          </b:Person>
          <b:Person>
            <b:Last>Ollers</b:Last>
            <b:First>M</b:First>
            <b:Middle>C</b:Middle>
          </b:Person>
          <b:Person>
            <b:Last>van Elmpt</b:Last>
            <b:First>W</b:First>
            <b:Middle>C J</b:Middle>
          </b:Person>
          <b:Person>
            <b:Last>Verhaegen</b:Last>
            <b:First>F</b:First>
          </b:Person>
        </b:NameList>
      </b:Author>
    </b:Author>
    <b:Title>Evaluation of novel AI-based extended field-of-view CT reconstructions</b:Title>
    <b:JournalName>Medical Physics</b:JournalName>
    <b:Year>2021</b:Year>
    <b:Pages>3583-3594</b:Pages>
    <b:Month>July</b:Month>
    <b:Volume>48(7)</b:Volume>
    <b:DOI>doi: 10.1002/mp.14937</b:DOI>
    <b:RefOrder>17</b:RefOrder>
  </b:Source>
  <b:Source>
    <b:Tag>BBe15</b:Tag>
    <b:SourceType>JournalArticle</b:SourceType>
    <b:Guid>{227F34C5-3F69-427C-96C6-FDBB14DC6BC4}</b:Guid>
    <b:Author>
      <b:Author>
        <b:NameList>
          <b:Person>
            <b:Last>Beeksma</b:Last>
            <b:First>B</b:First>
          </b:Person>
          <b:Person>
            <b:Last>Truant</b:Last>
            <b:First>D</b:First>
          </b:Person>
          <b:Person>
            <b:Last>Holloway</b:Last>
            <b:First>L</b:First>
          </b:Person>
          <b:Person>
            <b:Last>Arumugam</b:Last>
            <b:First>S</b:First>
          </b:Person>
        </b:NameList>
      </b:Author>
    </b:Author>
    <b:Title>An assessment of image distortion and CT number accuracy within a wide-bore CT extended field of view</b:Title>
    <b:Year>2015</b:Year>
    <b:Pages>255-261</b:Pages>
    <b:DOI>DOI 10.1007/s13246-015-0353-6</b:DOI>
    <b:PeriodicalTitle>Australas Phys Eng Sci Med</b:PeriodicalTitle>
    <b:Volume>38</b:Volume>
    <b:JournalName>Australas Phys Eng Sci Med</b:JournalName>
    <b:RefOrder>18</b:RefOrder>
  </b:Source>
  <b:Source>
    <b:Tag>AJO14</b:Tag>
    <b:SourceType>ArticleInAPeriodical</b:SourceType>
    <b:Guid>{39465ACE-338B-4728-8FD6-4B7E1692B7BB}</b:Guid>
    <b:Title>Dosimetric effects caused by couch tops and immobilization devices: Report of AAPM Task Group 176</b:Title>
    <b:Year>2014</b:Year>
    <b:Pages>1-14</b:Pages>
    <b:Author>
      <b:Author>
        <b:NameList>
          <b:Person>
            <b:Last>Olch</b:Last>
            <b:First>A J</b:First>
          </b:Person>
          <b:Person>
            <b:Last>Gerig</b:Last>
            <b:First>L</b:First>
          </b:Person>
          <b:Person>
            <b:Last>Li</b:Last>
            <b:First>H</b:First>
          </b:Person>
          <b:Person>
            <b:Last>Mihaylov</b:Last>
            <b:First>I</b:First>
          </b:Person>
          <b:Person>
            <b:Last>Morgan</b:Last>
            <b:First>A</b:First>
          </b:Person>
        </b:NameList>
      </b:Author>
    </b:Author>
    <b:DOI>https://doi.org/10.1118/1.4876299</b:DOI>
    <b:PeriodicalTitle>Medical Physics</b:PeriodicalTitle>
    <b:Month>June</b:Month>
    <b:Edition>6, Part1</b:Edition>
    <b:Volume>41</b:Volume>
    <b:RefOrder>19</b:RefOrder>
  </b:Source>
  <b:Source>
    <b:Tag>FFe17</b:Tag>
    <b:SourceType>ArticleInAPeriodical</b:SourceType>
    <b:Guid>{0922B7D8-F214-4E0E-85C6-A74854109679}</b:Guid>
    <b:Author>
      <b:Author>
        <b:NameList>
          <b:Person>
            <b:Last>Fellin</b:Last>
            <b:First>F</b:First>
          </b:Person>
          <b:Person>
            <b:Last>Righetto</b:Last>
            <b:First>R</b:First>
          </b:Person>
          <b:Person>
            <b:Last>Fava</b:Last>
            <b:First>G</b:First>
          </b:Person>
          <b:Person>
            <b:Last>Trevisan</b:Last>
            <b:First>D</b:First>
          </b:Person>
          <b:Person>
            <b:Last>Amelio</b:Last>
            <b:First>D</b:First>
          </b:Person>
          <b:Person>
            <b:Last>Farace</b:Last>
            <b:First>P</b:First>
          </b:Person>
        </b:NameList>
      </b:Author>
    </b:Author>
    <b:Title>Water equivalent thickness of immobilization devices in proton therapy planning – Modelling at treatment planning and validation by measurements with a multi-layer ionization chamber</b:Title>
    <b:PeriodicalTitle>Physica Medica</b:PeriodicalTitle>
    <b:Year>2017</b:Year>
    <b:Month>March</b:Month>
    <b:Pages>31-38</b:Pages>
    <b:Volume>35</b:Volume>
    <b:DOI>https://doi.org/10.1016/j.ejmp.2017.02.010</b:DOI>
    <b:RefOrder>20</b:RefOrder>
  </b:Source>
  <b:Source>
    <b:Tag>Har21</b:Tag>
    <b:SourceType>ArticleInAPeriodical</b:SourceType>
    <b:Guid>{DFDD2203-51A0-4075-BABE-FE98F8E62C25}</b:Guid>
    <b:Author>
      <b:Author>
        <b:NameList>
          <b:Person>
            <b:Last>Paganetti</b:Last>
            <b:First>H</b:First>
          </b:Person>
          <b:Person>
            <b:Last>Botas</b:Last>
            <b:First>P</b:First>
          </b:Person>
          <b:Person>
            <b:Last>Sharp</b:Last>
            <b:First>G</b:First>
            <b:Middle>S</b:Middle>
          </b:Person>
          <b:Person>
            <b:Last>Winey</b:Last>
            <b:First>B</b:First>
          </b:Person>
        </b:NameList>
      </b:Author>
    </b:Author>
    <b:Title>Adaptive proton therapy</b:Title>
    <b:Year>2021</b:Year>
    <b:Month>November</b:Month>
    <b:Day>15</b:Day>
    <b:PeriodicalTitle>Physics in Medicine &amp; Biology</b:PeriodicalTitle>
    <b:Edition>22</b:Edition>
    <b:Volume>66</b:Volume>
    <b:DOI>DOI 10.1088/1361-6560/ac344f</b:DOI>
    <b:RefOrder>21</b:RefOrder>
  </b:Source>
  <b:Source>
    <b:Tag>Val20</b:Tag>
    <b:SourceType>ArticleInAPeriodical</b:SourceType>
    <b:Guid>{E4CD6CC8-87D0-4AB3-B341-C826BD7F01A8}</b:Guid>
    <b:Author>
      <b:Author>
        <b:NameList>
          <b:Person>
            <b:Last>Giacometti</b:Last>
            <b:First>Valentina </b:First>
          </b:Person>
          <b:Person>
            <b:Last>Hounsell</b:Last>
            <b:First>Alan R </b:First>
          </b:Person>
          <b:Person>
            <b:Last>McG</b:Last>
            <b:First>Conor K</b:First>
          </b:Person>
        </b:NameList>
      </b:Author>
    </b:Author>
    <b:Title>A review of dose calculation approaches with cone beam CT in photon and proton therapy</b:Title>
    <b:PeriodicalTitle>Physica Medica</b:PeriodicalTitle>
    <b:Year>2020</b:Year>
    <b:Month>August</b:Month>
    <b:Pages>243-276</b:Pages>
    <b:Edition>76</b:Edition>
    <b:DOI>DOI: 10.1016/j.ejmp.2020.06.017</b:DOI>
    <b:RefOrder>22</b:RefOrder>
  </b:Source>
  <b:Source>
    <b:Tag>AAPM</b:Tag>
    <b:SourceType>Report</b:SourceType>
    <b:Guid>{234C0ECC-AAB4-42C2-8F3D-CA4DA8FA7810}</b:Guid>
    <b:Title>Physical Uncertainties in the Planning and Delivery of Light Ion Beam Treatments</b:Title>
    <b:Year>2020</b:Year>
    <b:Author>
      <b:Author>
        <b:Corporate>AAPM Task Group 202</b:Corporate>
      </b:Author>
    </b:Author>
    <b:RefOrder>23</b:RefOrder>
  </b:Source>
  <b:Source>
    <b:Tag>Net23</b:Tag>
    <b:SourceType>Report</b:SourceType>
    <b:Guid>{770A4356-AA42-4C07-A881-6DB8C416B5C9}</b:Guid>
    <b:Title>Quality Assurance of MRI for Radiotherapy</b:Title>
    <b:Year>2023</b:Year>
    <b:Author>
      <b:Author>
        <b:Corporate>Report 36 of the Netherlands Commission on Radiation Dosimetry</b:Corporate>
      </b:Author>
    </b:Author>
    <b:Department>Subcommittee ‘MRI QA for RT’</b:Department>
    <b:DOI>10.25030/ncs-036</b:DOI>
    <b:RefOrder>24</b:RefOrder>
  </b:Source>
  <b:Source>
    <b:Tag>Sch15</b:Tag>
    <b:SourceType>ArticleInAPeriodical</b:SourceType>
    <b:Guid>{DBC14AA9-33A2-49D4-87A5-0D441B936766}</b:Guid>
    <b:Title>Radiotherapy planning using MRI</b:Title>
    <b:Year>2015</b:Year>
    <b:PeriodicalTitle>Phys. Med. Biol.</b:PeriodicalTitle>
    <b:Pages>R323-361</b:Pages>
    <b:Author>
      <b:Author>
        <b:NameList>
          <b:Person>
            <b:Last>Schmidt</b:Last>
            <b:First>M</b:First>
          </b:Person>
          <b:Person>
            <b:Last>Payne</b:Last>
            <b:First>G S</b:First>
          </b:Person>
        </b:NameList>
      </b:Author>
    </b:Author>
    <b:Edition>60</b:Edition>
    <b:DOI>doi:10.1088/0031-9155/60/22/R323</b:DOI>
    <b:RefOrder>25</b:RefOrder>
  </b:Source>
  <b:Source>
    <b:Tag>van19</b:Tag>
    <b:SourceType>ArticleInAPeriodical</b:SourceType>
    <b:Guid>{9E12A6DA-E854-4F06-B677-999A55C1A0F5}</b:Guid>
    <b:Title>MRI basics for radiation oncologists</b:Title>
    <b:PeriodicalTitle>Clin Transl Radiat Oncol.</b:PeriodicalTitle>
    <b:Year>2019</b:Year>
    <b:Month>Sept</b:Month>
    <b:Day>18</b:Day>
    <b:Pages>74-79</b:Pages>
    <b:DOI>doi: 10.1016/j.ctro.2019.04.008</b:DOI>
    <b:Author>
      <b:Author>
        <b:NameList>
          <b:Person>
            <b:Last>van der Heide</b:Last>
            <b:First>U A</b:First>
          </b:Person>
          <b:Person>
            <b:Last>Frantzen-Steneker</b:Last>
            <b:First>M</b:First>
          </b:Person>
          <b:Person>
            <b:Last>Astreinidou</b:Last>
            <b:First>E</b:First>
          </b:Person>
          <b:Person>
            <b:Last>Nowee</b:Last>
            <b:First>M E</b:First>
          </b:Person>
          <b:Person>
            <b:Last>van Houdt</b:Last>
            <b:First>P J</b:First>
          </b:Person>
        </b:NameList>
      </b:Author>
    </b:Author>
    <b:RefOrder>26</b:RefOrder>
  </b:Source>
  <b:Source>
    <b:Tag>Gus16</b:Tag>
    <b:SourceType>DocumentFromInternetSite</b:SourceType>
    <b:Guid>{55366658-440D-4CE3-B9D2-3C546239D753}</b:Guid>
    <b:Title>Method book for the use of MRI in radiotherapy</b:Title>
    <b:Year>2016</b:Year>
    <b:Month>12</b:Month>
    <b:Day>15</b:Day>
    <b:Author>
      <b:Author>
        <b:NameList>
          <b:Person>
            <b:Last>Gustafsson</b:Last>
            <b:First>C</b:First>
          </b:Person>
          <b:Person>
            <b:Last>Sohlin</b:Last>
            <b:First>M</b:First>
          </b:Person>
          <b:Person>
            <b:Last>Filipsson</b:Last>
            <b:First>L</b:First>
          </b:Person>
        </b:NameList>
      </b:Author>
      <b:ProducerName>
        <b:NameList>
          <b:Person>
            <b:Last>Radiotherapy</b:Last>
            <b:First>Gentle</b:First>
          </b:Person>
        </b:NameList>
      </b:ProducerName>
    </b:Author>
    <b:Version>3</b:Version>
    <b:RefOrder>27</b:RefOrder>
  </b:Source>
  <b:Source>
    <b:Tag>Gli21</b:Tag>
    <b:SourceType>ArticleInAPeriodical</b:SourceType>
    <b:Guid>{CB4D87D7-1189-42DB-AFCE-FB8637E44DF2}</b:Guid>
    <b:Title>Task group 284 report: magnetic resonance imaging simulation in radiotherapy: considerations for clinical implementation, optimization, and quality assurance</b:Title>
    <b:PeriodicalTitle>Med Phys</b:PeriodicalTitle>
    <b:Year>2021</b:Year>
    <b:Month>Jul</b:Month>
    <b:Pages>e636-e670</b:Pages>
    <b:Author>
      <b:Author>
        <b:NameList>
          <b:Person>
            <b:Last>Glide-Hurst</b:Last>
            <b:First>C K</b:First>
          </b:Person>
          <b:Person>
            <b:Last>Paulson</b:Last>
            <b:First>E S</b:First>
          </b:Person>
          <b:Person>
            <b:Last>McGee</b:Last>
            <b:First>K</b:First>
          </b:Person>
          <b:Person>
            <b:Last>Tyagi</b:Last>
            <b:First>N</b:First>
          </b:Person>
          <b:Person>
            <b:Last>Hu</b:Last>
            <b:First>Y</b:First>
          </b:Person>
          <b:Person>
            <b:Last>Balter</b:Last>
            <b:First>J</b:First>
          </b:Person>
          <b:Person>
            <b:Last>Bayouth</b:Last>
            <b:First>J</b:First>
          </b:Person>
        </b:NameList>
      </b:Author>
    </b:Author>
    <b:Edition>7</b:Edition>
    <b:Volume>48</b:Volume>
    <b:DOI>DOI: 10.1002/mp.14695</b:DOI>
    <b:RefOrder>28</b:RefOrder>
  </b:Source>
  <b:Source>
    <b:Tag>Dan20</b:Tag>
    <b:SourceType>Report</b:SourceType>
    <b:Guid>{7C91EBD4-453B-44F3-86AA-2B3855927795}</b:Guid>
    <b:Title>DAHANCA 35</b:Title>
    <b:Year>2020</b:Year>
    <b:Author>
      <b:Author>
        <b:Corporate>Danish Head and Neck Cancer Group</b:Corporate>
      </b:Author>
    </b:Author>
    <b:Month>09</b:Month>
    <b:Day>19</b:Day>
    <b:Version>2.1</b:Version>
    <b:URL>http://www.dahanca.dk</b:URL>
    <b:RefOrder>29</b:RefOrder>
  </b:Source>
  <b:Source>
    <b:Tag>RAR76</b:Tag>
    <b:SourceType>JournalArticle</b:SourceType>
    <b:Guid>{F9BB4670-681A-48B1-863D-D24418E34D59}</b:Guid>
    <b:Author>
      <b:Author>
        <b:NameList>
          <b:Person>
            <b:Last>Rutherford</b:Last>
            <b:First>R</b:First>
            <b:Middle>A</b:Middle>
          </b:Person>
          <b:Person>
            <b:Last>Pullan</b:Last>
            <b:First>B</b:First>
            <b:Middle>R</b:Middle>
          </b:Person>
          <b:Person>
            <b:Last>Isherwood</b:Last>
            <b:First>I</b:First>
          </b:Person>
        </b:NameList>
      </b:Author>
    </b:Author>
    <b:Title>Measurement of effective atomic number and electron density using an EMI scanner</b:Title>
    <b:JournalName>Neuroradiology</b:JournalName>
    <b:Year>1976</b:Year>
    <b:Pages>15-21</b:Pages>
    <b:Month>May</b:Month>
    <b:Issue>11</b:Issue>
    <b:DOI>https://doi.org/10.1007/BF00327253</b:DOI>
    <b:RefOrder>30</b:RefOrder>
  </b:Source>
  <b:Source>
    <b:Tag>van17</b:Tag>
    <b:SourceType>ArticleInAPeriodical</b:SourceType>
    <b:Guid>{80DD3A14-C286-44FB-B204-D743AF88B2E7}</b:Guid>
    <b:Author>
      <b:Author>
        <b:NameList>
          <b:Person>
            <b:Last>van der Heyden</b:Last>
            <b:First>B</b:First>
          </b:Person>
          <b:Person>
            <b:Last>Öllers</b:Last>
            <b:First>M</b:First>
          </b:Person>
          <b:Person>
            <b:Last>Ritter</b:Last>
            <b:First>A</b:First>
          </b:Person>
          <b:Person>
            <b:Last>Verhaegen</b:Last>
            <b:First>F</b:First>
          </b:Person>
          <b:Person>
            <b:Last>van Elmpt</b:Last>
            <b:First>W</b:First>
          </b:Person>
        </b:NameList>
      </b:Author>
    </b:Author>
    <b:Title>Clinical evaluation of a novel CT image reconstruction algorithm for direct dose calculations</b:Title>
    <b:PeriodicalTitle>Physics and Imaging in Radiation Oncology</b:PeriodicalTitle>
    <b:Year>2017</b:Year>
    <b:Month>March</b:Month>
    <b:Pages>11-16</b:Pages>
    <b:Volume>2</b:Volume>
    <b:DOI>https://doi.org/10.1016/j.phro.2017.03.001</b:DOI>
    <b:RefOrder>31</b:RefOrder>
  </b:Source>
  <b:Source>
    <b:Tag>Jia23</b:Tag>
    <b:SourceType>ArticleInAPeriodical</b:SourceType>
    <b:Guid>{04206EE5-B486-4ED2-97CC-55A65D446815}</b:Guid>
    <b:Author>
      <b:Author>
        <b:NameList>
          <b:Person>
            <b:Last>Jiang</b:Last>
            <b:First>K</b:First>
          </b:Person>
          <b:Person>
            <b:Last>MacFarlane</b:Last>
            <b:First>M</b:First>
          </b:Person>
          <b:Person>
            <b:Last>Mossahebi</b:Last>
            <b:First>S</b:First>
          </b:Person>
          <b:Person>
            <b:Last>Zakhary</b:Last>
            <b:First>M</b:First>
            <b:Middle>J</b:Middle>
          </b:Person>
        </b:NameList>
      </b:Author>
    </b:Author>
    <b:Title>Evaluation of treatment planning system accuracy in estimating the stopping-power ratio of immobilization devices for proton therapy</b:Title>
    <b:PeriodicalTitle>Journal of Applied Clinical Medical Physics</b:PeriodicalTitle>
    <b:Year>2023</b:Year>
    <b:Month>February</b:Month>
    <b:Edition>2</b:Edition>
    <b:Volume>24</b:Volume>
    <b:DOI>https://doi.org/10.1002/acm2.13831</b:DOI>
    <b:RefOrder>32</b:RefOrder>
  </b:Source>
  <b:Source>
    <b:Tag>Min23</b:Tag>
    <b:SourceType>ArticleInAPeriodical</b:SourceType>
    <b:Guid>{EC1D31F4-AAB5-4157-B27C-6F36546427DD}</b:Guid>
    <b:Author>
      <b:Author>
        <b:NameList>
          <b:Person>
            <b:Last>Yang</b:Last>
            <b:First>M</b:First>
          </b:Person>
          <b:Person>
            <b:Last>Wohlfahrt</b:Last>
            <b:First>P</b:First>
          </b:Person>
          <b:Person>
            <b:Last>Shen</b:Last>
            <b:First>C</b:First>
          </b:Person>
          <b:Person>
            <b:Last>Bouchard</b:Last>
            <b:First>H</b:First>
          </b:Person>
        </b:NameList>
      </b:Author>
    </b:Author>
    <b:PeriodicalTitle>Physics in Medicine and Biology</b:PeriodicalTitle>
    <b:Year>2023</b:Year>
    <b:Month>February</b:Month>
    <b:Day>6</b:Day>
    <b:Volume>68</b:Volume>
    <b:DOI>https://doi.org/10.1088/1361-6560/acabfa</b:DOI>
    <b:Title>Dual- and multi-energy CT for particle stopping-power estimation: current state, challenges and potential</b:Title>
    <b:RefOrder>33</b:RefOrder>
  </b:Source>
  <b:Source>
    <b:Tag>Woh18</b:Tag>
    <b:SourceType>JournalArticle</b:SourceType>
    <b:Guid>{844F4045-5951-47DB-AC45-BAFF7CCD6F79}</b:Guid>
    <b:Title>Clinical Feasibility of Single-Source Dual-spiral 4D Dual-Energy CT for Proton Treatment Planning Within the Thoracic Region</b:Title>
    <b:JournalName>Int J Radiat Oncol Biol Phys</b:JournalName>
    <b:Year>2018</b:Year>
    <b:Pages>830-840</b:Pages>
    <b:Volume>102</b:Volume>
    <b:Issue>4</b:Issue>
    <b:Author>
      <b:Author>
        <b:NameList>
          <b:Person>
            <b:Last>Wohlfahrt</b:Last>
            <b:First>P</b:First>
          </b:Person>
          <b:Person>
            <b:Last>Troost</b:Last>
            <b:Middle>G C</b:Middle>
            <b:First>E</b:First>
          </b:Person>
          <b:Person>
            <b:Last>Hofmann</b:Last>
            <b:First>C</b:First>
          </b:Person>
          <b:Person>
            <b:Last>Richter</b:Last>
            <b:First>C</b:First>
          </b:Person>
          <b:Person>
            <b:Last>Jakobi</b:Last>
            <b:First>A</b:First>
          </b:Person>
        </b:NameList>
      </b:Author>
    </b:Author>
    <b:Month>Nov</b:Month>
    <b:Day>15</b:Day>
    <b:DOI>DOI: 10.1016/j.ijrobp.2018.06.044</b:DOI>
    <b:RefOrder>34</b:RefOrder>
  </b:Source>
  <b:Source>
    <b:Tag>Lon18</b:Tag>
    <b:SourceType>ArticleInAPeriodical</b:SourceType>
    <b:Guid>{1AF11122-24D7-4CA3-BA1A-8B8525E60DB2}</b:Guid>
    <b:Title>Evaluation of projection- and dual-energy-based methods for metal artifact reduction in CT using a phantom study</b:Title>
    <b:PeriodicalTitle>Journal of Applied Clinical Medical Physics</b:PeriodicalTitle>
    <b:Year>2018</b:Year>
    <b:Month>Jul</b:Month>
    <b:Pages>252-260</b:Pages>
    <b:Edition>4</b:Edition>
    <b:Volume>19</b:Volume>
    <b:DOI>https://doi.org/10.1002/acm2.12347</b:DOI>
    <b:Author>
      <b:Author>
        <b:NameList>
          <b:Person>
            <b:Last>Long</b:Last>
            <b:First>Z</b:First>
          </b:Person>
          <b:Person>
            <b:Last>Bruesewitz</b:Last>
            <b:First>M</b:First>
            <b:Middle>R</b:Middle>
          </b:Person>
          <b:Person>
            <b:Last>DeLone</b:Last>
            <b:First>D</b:First>
            <b:Middle>R</b:Middle>
          </b:Person>
          <b:Person>
            <b:Last>Morris</b:Last>
            <b:First>J</b:First>
            <b:Middle>M</b:Middle>
          </b:Person>
          <b:Person>
            <b:Last>Amrami</b:Last>
            <b:First>K</b:First>
            <b:Middle>K</b:Middle>
          </b:Person>
          <b:Person>
            <b:Last>Adkins</b:Last>
            <b:First>M</b:First>
            <b:Middle>C</b:Middle>
          </b:Person>
          <b:Person>
            <b:Last>Glazebrook</b:Last>
            <b:First>K</b:First>
            <b:Middle>N</b:Middle>
          </b:Person>
          <b:Person>
            <b:Last>Kofler</b:Last>
            <b:First>J</b:First>
            <b:Middle>M</b:Middle>
          </b:Person>
          <b:Person>
            <b:Last>Leng</b:Last>
            <b:First>S</b:First>
          </b:Person>
          <b:Person>
            <b:Last>McCollough</b:Last>
            <b:First>C</b:First>
            <b:Middle>H</b:Middle>
          </b:Person>
          <b:Person>
            <b:Last>Fletcher</b:Last>
            <b:First>J</b:First>
            <b:Middle>G</b:Middle>
          </b:Person>
          <b:Person>
            <b:Last>Halaweish</b:Last>
            <b:First>A</b:First>
            <b:Middle>F</b:Middle>
          </b:Person>
          <b:Person>
            <b:Last>Yu</b:Last>
            <b:First>L</b:First>
          </b:Person>
        </b:NameList>
      </b:Author>
    </b:Author>
    <b:RefOrder>35</b:RefOrder>
  </b:Source>
</b:Sources>
</file>

<file path=customXml/itemProps1.xml><?xml version="1.0" encoding="utf-8"?>
<ds:datastoreItem xmlns:ds="http://schemas.openxmlformats.org/officeDocument/2006/customXml" ds:itemID="{16ADD50F-067F-4EDD-AEF8-3C5E583DE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250</TotalTime>
  <Pages>13</Pages>
  <Words>5304</Words>
  <Characters>34174</Characters>
  <Application>Microsoft Office Word</Application>
  <DocSecurity>0</DocSecurity>
  <Lines>284</Lines>
  <Paragraphs>78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Avbildning for protonterapi - retningslinje</vt:lpstr>
      <vt:lpstr>HBHF-mal - stående</vt:lpstr>
    </vt:vector>
  </TitlesOfParts>
  <Company>Datakvalitet</Company>
  <LinksUpToDate>false</LinksUpToDate>
  <CharactersWithSpaces>39400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Avbildning for protonterapi - retningslinje</dc:title>
  <dc:subject>000302|[RefNr]|</dc:subject>
  <dc:creator>Handbok</dc:creator>
  <dc:description>EK_Avdeling_x0002_4_x0002_[Avdeling]_x0003_EK_Avsnitt_x0002_4_x0002_[Avsnitt]_x0003_EK_Bedriftsnavn_x0002_1_x0002_Helse Bergen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HBHF Generell/standard mal Helse Bergen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000302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Høye, Ellen Marie</cp:lastModifiedBy>
  <cp:revision>8</cp:revision>
  <cp:lastPrinted>2006-09-07T08:52:00Z</cp:lastPrinted>
  <dcterms:created xsi:type="dcterms:W3CDTF">2021-12-08T08:43:00Z</dcterms:created>
  <dcterms:modified xsi:type="dcterms:W3CDTF">2024-09-18T12:32:00Z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2,3,4</vt:lpwstr>
  </property>
  <property fmtid="{D5CDD505-2E9C-101B-9397-08002B2CF9AE}" pid="4" name="ClassificationContentMarkingFooterText">
    <vt:lpwstr>Følsomhet Intern (gul)</vt:lpwstr>
  </property>
  <property fmtid="{D5CDD505-2E9C-101B-9397-08002B2CF9AE}" pid="5" name="EK_Bedriftsnavn">
    <vt:lpwstr>Helse Bergen</vt:lpwstr>
  </property>
  <property fmtid="{D5CDD505-2E9C-101B-9397-08002B2CF9AE}" pid="6" name="EK_DokTittel">
    <vt:lpwstr>Avbildning for protonterapi - retningslinje</vt:lpwstr>
  </property>
  <property fmtid="{D5CDD505-2E9C-101B-9397-08002B2CF9AE}" pid="7" name="EK_DokType">
    <vt:lpwstr>Retningslinje</vt:lpwstr>
  </property>
  <property fmtid="{D5CDD505-2E9C-101B-9397-08002B2CF9AE}" pid="8" name="EK_DokumentID">
    <vt:lpwstr>D78863</vt:lpwstr>
  </property>
  <property fmtid="{D5CDD505-2E9C-101B-9397-08002B2CF9AE}" pid="9" name="EK_EKPrintMerke">
    <vt:lpwstr>Uoffisiell utskrift er kun gyldig på utskriftsdato</vt:lpwstr>
  </property>
  <property fmtid="{D5CDD505-2E9C-101B-9397-08002B2CF9AE}" pid="10" name="EK_GjelderFra">
    <vt:lpwstr>18.09.2024</vt:lpwstr>
  </property>
  <property fmtid="{D5CDD505-2E9C-101B-9397-08002B2CF9AE}" pid="11" name="EK_GjelderTil">
    <vt:lpwstr>18.09.2026</vt:lpwstr>
  </property>
  <property fmtid="{D5CDD505-2E9C-101B-9397-08002B2CF9AE}" pid="12" name="EK_Merknad">
    <vt:lpwstr>[Merknad]</vt:lpwstr>
  </property>
  <property fmtid="{D5CDD505-2E9C-101B-9397-08002B2CF9AE}" pid="13" name="EK_RefNr">
    <vt:lpwstr>3.1.2.5.9.4.1-08</vt:lpwstr>
  </property>
  <property fmtid="{D5CDD505-2E9C-101B-9397-08002B2CF9AE}" pid="14" name="EK_S00MT1">
    <vt:lpwstr>Helse Bergen HF/Avdeling for kreftbehandling og medisinsk fysikk</vt:lpwstr>
  </property>
  <property fmtid="{D5CDD505-2E9C-101B-9397-08002B2CF9AE}" pid="15" name="EK_S01MT3">
    <vt:lpwstr>Pasientbehandling/Fagprosedyrer/Kreft</vt:lpwstr>
  </property>
  <property fmtid="{D5CDD505-2E9C-101B-9397-08002B2CF9AE}" pid="16" name="EK_Signatur">
    <vt:lpwstr>Oddbjørn Straume</vt:lpwstr>
  </property>
  <property fmtid="{D5CDD505-2E9C-101B-9397-08002B2CF9AE}" pid="17" name="EK_UText1">
    <vt:lpwstr>Einar Waldeland</vt:lpwstr>
  </property>
  <property fmtid="{D5CDD505-2E9C-101B-9397-08002B2CF9AE}" pid="18" name="EK_Utgave">
    <vt:lpwstr>1.00</vt:lpwstr>
  </property>
  <property fmtid="{D5CDD505-2E9C-101B-9397-08002B2CF9AE}" pid="19" name="EK_Watermark">
    <vt:lpwstr>Vannmerke</vt:lpwstr>
  </property>
  <property fmtid="{D5CDD505-2E9C-101B-9397-08002B2CF9AE}" pid="20" name="MSIP_Label_0c3ffc1c-ef00-4620-9c2f-7d9c1597774b_ActionId">
    <vt:lpwstr>149b0873-c9ee-4457-ad8a-7a0f453685bd</vt:lpwstr>
  </property>
  <property fmtid="{D5CDD505-2E9C-101B-9397-08002B2CF9AE}" pid="21" name="MSIP_Label_0c3ffc1c-ef00-4620-9c2f-7d9c1597774b_ContentBits">
    <vt:lpwstr>2</vt:lpwstr>
  </property>
  <property fmtid="{D5CDD505-2E9C-101B-9397-08002B2CF9AE}" pid="22" name="MSIP_Label_0c3ffc1c-ef00-4620-9c2f-7d9c1597774b_Enabled">
    <vt:lpwstr>true</vt:lpwstr>
  </property>
  <property fmtid="{D5CDD505-2E9C-101B-9397-08002B2CF9AE}" pid="23" name="MSIP_Label_0c3ffc1c-ef00-4620-9c2f-7d9c1597774b_Method">
    <vt:lpwstr>Standard</vt:lpwstr>
  </property>
  <property fmtid="{D5CDD505-2E9C-101B-9397-08002B2CF9AE}" pid="24" name="MSIP_Label_0c3ffc1c-ef00-4620-9c2f-7d9c1597774b_Name">
    <vt:lpwstr>Intern</vt:lpwstr>
  </property>
  <property fmtid="{D5CDD505-2E9C-101B-9397-08002B2CF9AE}" pid="25" name="MSIP_Label_0c3ffc1c-ef00-4620-9c2f-7d9c1597774b_SetDate">
    <vt:lpwstr>2024-06-06T08:00:42Z</vt:lpwstr>
  </property>
  <property fmtid="{D5CDD505-2E9C-101B-9397-08002B2CF9AE}" pid="26" name="MSIP_Label_0c3ffc1c-ef00-4620-9c2f-7d9c1597774b_SiteId">
    <vt:lpwstr>bdcbe535-f3cf-49f5-8a6a-fb6d98dc7837</vt:lpwstr>
  </property>
  <property fmtid="{D5CDD505-2E9C-101B-9397-08002B2CF9AE}" pid="27" name="XDL78847">
    <vt:lpwstr>3.1.2.5.9.4.1-09 Håndtering av implantat og artefakter ved protonbehandling</vt:lpwstr>
  </property>
  <property fmtid="{D5CDD505-2E9C-101B-9397-08002B2CF9AE}" pid="28" name="XDT78847">
    <vt:lpwstr>Håndtering av implantat og artefakter ved protonbehandling</vt:lpwstr>
  </property>
</Properties>
</file>