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bookmarkStart w:id="0" w:name="tempHer" w:displacedByCustomXml="next"/>
    <w:bookmarkEnd w:id="0" w:displacedByCustomXml="next"/>
    <w:sdt>
      <w:sdtPr>
        <w:rPr>
          <w:rFonts w:asciiTheme="minorHAnsi" w:hAnsiTheme="minorHAnsi"/>
          <w:i w:val="0"/>
          <w:sz w:val="24"/>
          <w:szCs w:val="20"/>
          <w:lang w:eastAsia="nb-NO"/>
        </w:rPr>
        <w:id w:val="2059436989"/>
        <w:docPartObj>
          <w:docPartGallery w:val="Table of Contents"/>
          <w:docPartUnique/>
        </w:docPartObj>
      </w:sdtPr>
      <w:sdtEndPr>
        <w:rPr>
          <w:b/>
          <w:bCs/>
        </w:rPr>
      </w:sdtEndPr>
      <w:sdtContent>
        <w:p w:rsidR="003B78F2" w:rsidP="003B78F2" w14:paraId="4CB88DCF" w14:textId="6AF8428A">
          <w:pPr>
            <w:pStyle w:val="WarningBody"/>
          </w:pPr>
          <w:r>
            <w:t>OBS! Majoriteten av krav og anbefalinger i dette dokumentet, som f.eks. dekningskrav og planleggingsteknikker er tentative. Det kreves uttesting og diskusjoner for å etablere endelige anbefalinger.</w:t>
          </w:r>
        </w:p>
        <w:p w:rsidR="003B78F2" w:rsidP="00066A58" w14:paraId="3DCF172A" w14:textId="5F251916">
          <w:pPr>
            <w:pStyle w:val="StilOverskriftforinnholdsfortegnelseLatinBrdtekstCali"/>
            <w:rPr>
              <w:rFonts w:eastAsia="Times New Roman" w:cs="Times New Roman"/>
              <w:sz w:val="24"/>
              <w:szCs w:val="20"/>
            </w:rPr>
          </w:pPr>
        </w:p>
        <w:p w:rsidR="00A55D47" w:rsidRPr="003B78F2" w:rsidP="00066A58" w14:paraId="1503EC85" w14:textId="5D9F2804">
          <w:pPr>
            <w:pStyle w:val="StilOverskriftforinnholdsfortegnelseLatinBrdtekstCali"/>
            <w:rPr>
              <w:rFonts w:eastAsia="Times New Roman" w:cs="Times New Roman"/>
              <w:sz w:val="24"/>
              <w:szCs w:val="20"/>
            </w:rPr>
          </w:pPr>
          <w:r w:rsidRPr="00066A58">
            <w:rPr>
              <w:szCs w:val="20"/>
            </w:rPr>
            <w:t>Innhold</w:t>
          </w:r>
        </w:p>
        <w:p>
          <w:pPr>
            <w:pStyle w:val="TOC1"/>
            <w:tabs>
              <w:tab w:val="left" w:pos="480"/>
              <w:tab w:val="right" w:leader="dot" w:pos="9061"/>
            </w:tabs>
            <w:rPr>
              <w:rFonts w:asciiTheme="minorHAnsi" w:hAnsiTheme="minorHAnsi"/>
              <w:noProof/>
              <w:sz w:val="22"/>
            </w:rPr>
          </w:pPr>
          <w:r w:rsidRPr="00066A58">
            <w:rPr>
              <w:rFonts w:cstheme="minorHAnsi"/>
              <w:sz w:val="20"/>
            </w:rPr>
            <w:fldChar w:fldCharType="begin"/>
          </w:r>
          <w:r w:rsidRPr="00066A58">
            <w:rPr>
              <w:rFonts w:cstheme="minorHAnsi"/>
              <w:sz w:val="20"/>
            </w:rPr>
            <w:instrText xml:space="preserve"> TOC \o "1-3" \h \z \u </w:instrText>
          </w:r>
          <w:r w:rsidRPr="00066A58">
            <w:rPr>
              <w:rFonts w:cstheme="minorHAnsi"/>
              <w:sz w:val="20"/>
            </w:rPr>
            <w:fldChar w:fldCharType="separate"/>
          </w:r>
          <w:hyperlink w:anchor="_Toc256000000" w:history="1">
            <w:r>
              <w:rPr>
                <w:rStyle w:val="Hyperlink"/>
              </w:rPr>
              <w:t>1</w:t>
            </w:r>
            <w:r>
              <w:rPr>
                <w:rFonts w:asciiTheme="minorHAnsi" w:hAnsiTheme="minorHAnsi"/>
                <w:noProof/>
                <w:sz w:val="22"/>
              </w:rPr>
              <w:tab/>
            </w:r>
            <w:r>
              <w:rPr>
                <w:rStyle w:val="Hyperlink"/>
              </w:rPr>
              <w:t>Hensikt</w:t>
            </w:r>
            <w:r w:rsidR="003B78F2">
              <w:rPr>
                <w:rStyle w:val="Hyperlink"/>
              </w:rPr>
              <w:t xml:space="preserve"> og omfang</w:t>
            </w:r>
            <w:r>
              <w:tab/>
            </w:r>
            <w:r>
              <w:fldChar w:fldCharType="begin"/>
            </w:r>
            <w:r>
              <w:instrText xml:space="preserve"> PAGEREF _Toc256000000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Ansvar</w:t>
            </w:r>
            <w:r>
              <w:tab/>
            </w:r>
            <w:r>
              <w:fldChar w:fldCharType="begin"/>
            </w:r>
            <w:r>
              <w:instrText xml:space="preserve"> PAGEREF _Toc256000001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Bildegrunnlag og fiksering</w:t>
            </w:r>
            <w:r>
              <w:tab/>
            </w:r>
            <w:r>
              <w:fldChar w:fldCharType="begin"/>
            </w:r>
            <w:r>
              <w:instrText xml:space="preserve"> PAGEREF _Toc256000002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3" w:history="1">
            <w:r>
              <w:rPr>
                <w:rStyle w:val="Hyperlink"/>
              </w:rPr>
              <w:t>3.1</w:t>
            </w:r>
            <w:r>
              <w:rPr>
                <w:rFonts w:asciiTheme="minorHAnsi" w:hAnsiTheme="minorHAnsi"/>
                <w:noProof/>
                <w:sz w:val="22"/>
              </w:rPr>
              <w:tab/>
            </w:r>
            <w:r>
              <w:rPr>
                <w:rStyle w:val="Hyperlink"/>
              </w:rPr>
              <w:t>Fiksering</w:t>
            </w:r>
            <w:r>
              <w:tab/>
            </w:r>
            <w:r>
              <w:fldChar w:fldCharType="begin"/>
            </w:r>
            <w:r>
              <w:instrText xml:space="preserve"> PAGEREF _Toc256000003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4" w:history="1">
            <w:r>
              <w:rPr>
                <w:rStyle w:val="Hyperlink"/>
              </w:rPr>
              <w:t>3.2</w:t>
            </w:r>
            <w:r>
              <w:rPr>
                <w:rFonts w:asciiTheme="minorHAnsi" w:hAnsiTheme="minorHAnsi"/>
                <w:noProof/>
                <w:sz w:val="22"/>
              </w:rPr>
              <w:tab/>
            </w:r>
            <w:r w:rsidRPr="006603AA">
              <w:rPr>
                <w:rStyle w:val="Hyperlink"/>
              </w:rPr>
              <w:t>Anes</w:t>
            </w:r>
            <w:r w:rsidRPr="006603AA">
              <w:rPr>
                <w:rStyle w:val="Hyperlink"/>
              </w:rPr>
              <w:t>tesi</w:t>
            </w:r>
            <w:r>
              <w:tab/>
            </w:r>
            <w:r>
              <w:fldChar w:fldCharType="begin"/>
            </w:r>
            <w:r>
              <w:instrText xml:space="preserve"> PAGEREF _Toc256000004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5" w:history="1">
            <w:r>
              <w:rPr>
                <w:rStyle w:val="Hyperlink"/>
              </w:rPr>
              <w:t>3.3</w:t>
            </w:r>
            <w:r>
              <w:rPr>
                <w:rFonts w:asciiTheme="minorHAnsi" w:hAnsiTheme="minorHAnsi"/>
                <w:noProof/>
                <w:sz w:val="22"/>
              </w:rPr>
              <w:tab/>
            </w:r>
            <w:r w:rsidRPr="006603AA">
              <w:rPr>
                <w:rStyle w:val="Hyperlink"/>
              </w:rPr>
              <w:t>Bildegrunnlag</w:t>
            </w:r>
            <w:r>
              <w:tab/>
            </w:r>
            <w:r>
              <w:fldChar w:fldCharType="begin"/>
            </w:r>
            <w:r>
              <w:instrText xml:space="preserve"> PAGEREF _Toc256000005 \h </w:instrText>
            </w:r>
            <w:r>
              <w:fldChar w:fldCharType="separate"/>
            </w:r>
            <w:r>
              <w:t>3</w:t>
            </w:r>
            <w:r>
              <w:fldChar w:fldCharType="end"/>
            </w:r>
          </w:hyperlink>
        </w:p>
        <w:p>
          <w:pPr>
            <w:pStyle w:val="TOC1"/>
            <w:tabs>
              <w:tab w:val="left" w:pos="480"/>
              <w:tab w:val="right" w:leader="dot" w:pos="9061"/>
            </w:tabs>
            <w:rPr>
              <w:rFonts w:asciiTheme="minorHAnsi" w:hAnsiTheme="minorHAnsi"/>
              <w:noProof/>
              <w:sz w:val="22"/>
            </w:rPr>
          </w:pPr>
          <w:hyperlink w:anchor="_Toc256000006" w:history="1">
            <w:r>
              <w:rPr>
                <w:rStyle w:val="Hyperlink"/>
              </w:rPr>
              <w:t>4</w:t>
            </w:r>
            <w:r>
              <w:rPr>
                <w:rFonts w:asciiTheme="minorHAnsi" w:hAnsiTheme="minorHAnsi"/>
                <w:noProof/>
                <w:sz w:val="22"/>
              </w:rPr>
              <w:tab/>
            </w:r>
            <w:r>
              <w:rPr>
                <w:rStyle w:val="Hyperlink"/>
              </w:rPr>
              <w:t>Inntegning av volumer</w:t>
            </w:r>
            <w:r>
              <w:tab/>
            </w:r>
            <w:r>
              <w:fldChar w:fldCharType="begin"/>
            </w:r>
            <w:r>
              <w:instrText xml:space="preserve"> PAGEREF _Toc256000006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7" w:history="1">
            <w:r>
              <w:rPr>
                <w:rStyle w:val="Hyperlink"/>
              </w:rPr>
              <w:t>4.1</w:t>
            </w:r>
            <w:r>
              <w:rPr>
                <w:rFonts w:asciiTheme="minorHAnsi" w:hAnsiTheme="minorHAnsi"/>
                <w:noProof/>
                <w:sz w:val="22"/>
              </w:rPr>
              <w:tab/>
            </w:r>
            <w:r>
              <w:rPr>
                <w:rStyle w:val="Hyperlink"/>
              </w:rPr>
              <w:t>Ikke-biologisk materiale</w:t>
            </w:r>
            <w:r>
              <w:tab/>
            </w:r>
            <w:r>
              <w:fldChar w:fldCharType="begin"/>
            </w:r>
            <w:r>
              <w:instrText xml:space="preserve"> PAGEREF _Toc256000007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8" w:history="1">
            <w:r>
              <w:rPr>
                <w:rStyle w:val="Hyperlink"/>
              </w:rPr>
              <w:t>4.2</w:t>
            </w:r>
            <w:r>
              <w:rPr>
                <w:rFonts w:asciiTheme="minorHAnsi" w:hAnsiTheme="minorHAnsi"/>
                <w:noProof/>
                <w:sz w:val="22"/>
              </w:rPr>
              <w:tab/>
            </w:r>
            <w:r w:rsidRPr="00CF7D0E">
              <w:rPr>
                <w:rStyle w:val="Hyperlink"/>
              </w:rPr>
              <w:t>Risikoorgan</w:t>
            </w:r>
            <w:r>
              <w:tab/>
            </w:r>
            <w:r>
              <w:fldChar w:fldCharType="begin"/>
            </w:r>
            <w:r>
              <w:instrText xml:space="preserve"> PAGEREF _Toc256000008 \h </w:instrText>
            </w:r>
            <w:r>
              <w:fldChar w:fldCharType="separate"/>
            </w:r>
            <w:r>
              <w:t>4</w:t>
            </w:r>
            <w:r>
              <w:fldChar w:fldCharType="end"/>
            </w:r>
          </w:hyperlink>
        </w:p>
        <w:p>
          <w:pPr>
            <w:pStyle w:val="TOC2"/>
            <w:tabs>
              <w:tab w:val="left" w:pos="880"/>
              <w:tab w:val="right" w:leader="dot" w:pos="9061"/>
            </w:tabs>
            <w:rPr>
              <w:rFonts w:asciiTheme="minorHAnsi" w:hAnsiTheme="minorHAnsi"/>
              <w:noProof/>
              <w:sz w:val="22"/>
            </w:rPr>
          </w:pPr>
          <w:hyperlink w:anchor="_Toc256000009" w:history="1">
            <w:r>
              <w:rPr>
                <w:rStyle w:val="Hyperlink"/>
              </w:rPr>
              <w:t>4.3</w:t>
            </w:r>
            <w:r>
              <w:rPr>
                <w:rFonts w:asciiTheme="minorHAnsi" w:hAnsiTheme="minorHAnsi"/>
                <w:noProof/>
                <w:sz w:val="22"/>
              </w:rPr>
              <w:tab/>
            </w:r>
            <w:r w:rsidRPr="00CD5747">
              <w:rPr>
                <w:rStyle w:val="Hyperlink"/>
              </w:rPr>
              <w:t>Målvolum</w:t>
            </w:r>
            <w:r>
              <w:tab/>
            </w:r>
            <w:r>
              <w:fldChar w:fldCharType="begin"/>
            </w:r>
            <w:r>
              <w:instrText xml:space="preserve"> PAGEREF _Toc256000009 \h </w:instrText>
            </w:r>
            <w:r>
              <w:fldChar w:fldCharType="separate"/>
            </w:r>
            <w:r>
              <w:t>4</w:t>
            </w:r>
            <w:r>
              <w:fldChar w:fldCharType="end"/>
            </w:r>
          </w:hyperlink>
        </w:p>
        <w:p>
          <w:pPr>
            <w:pStyle w:val="TOC1"/>
            <w:tabs>
              <w:tab w:val="left" w:pos="480"/>
              <w:tab w:val="right" w:leader="dot" w:pos="9061"/>
            </w:tabs>
            <w:rPr>
              <w:rFonts w:asciiTheme="minorHAnsi" w:hAnsiTheme="minorHAnsi"/>
              <w:noProof/>
              <w:sz w:val="22"/>
            </w:rPr>
          </w:pPr>
          <w:hyperlink w:anchor="_Toc256000010" w:history="1">
            <w:r>
              <w:rPr>
                <w:rStyle w:val="Hyperlink"/>
              </w:rPr>
              <w:t>5</w:t>
            </w:r>
            <w:r>
              <w:rPr>
                <w:rFonts w:asciiTheme="minorHAnsi" w:hAnsiTheme="minorHAnsi"/>
                <w:noProof/>
                <w:sz w:val="22"/>
              </w:rPr>
              <w:tab/>
            </w:r>
            <w:r>
              <w:rPr>
                <w:rStyle w:val="Hyperlink"/>
              </w:rPr>
              <w:t>Protonplanlegging</w:t>
            </w:r>
            <w:r>
              <w:tab/>
            </w:r>
            <w:r>
              <w:fldChar w:fldCharType="begin"/>
            </w:r>
            <w:r>
              <w:instrText xml:space="preserve"> PAGEREF _Toc256000010 \h </w:instrText>
            </w:r>
            <w:r>
              <w:fldChar w:fldCharType="separate"/>
            </w:r>
            <w:r>
              <w:t>5</w:t>
            </w:r>
            <w:r>
              <w:fldChar w:fldCharType="end"/>
            </w:r>
          </w:hyperlink>
        </w:p>
        <w:p>
          <w:pPr>
            <w:pStyle w:val="TOC2"/>
            <w:tabs>
              <w:tab w:val="left" w:pos="880"/>
              <w:tab w:val="right" w:leader="dot" w:pos="9061"/>
            </w:tabs>
            <w:rPr>
              <w:rFonts w:asciiTheme="minorHAnsi" w:hAnsiTheme="minorHAnsi"/>
              <w:noProof/>
              <w:sz w:val="22"/>
            </w:rPr>
          </w:pPr>
          <w:hyperlink w:anchor="_Toc256000011" w:history="1">
            <w:r>
              <w:rPr>
                <w:rStyle w:val="Hyperlink"/>
              </w:rPr>
              <w:t>5.1</w:t>
            </w:r>
            <w:r>
              <w:rPr>
                <w:rFonts w:asciiTheme="minorHAnsi" w:hAnsiTheme="minorHAnsi"/>
                <w:noProof/>
                <w:sz w:val="22"/>
              </w:rPr>
              <w:tab/>
            </w:r>
            <w:r>
              <w:rPr>
                <w:rStyle w:val="Hyperlink"/>
              </w:rPr>
              <w:t>Forberedelser</w:t>
            </w:r>
            <w:r>
              <w:tab/>
            </w:r>
            <w:r>
              <w:fldChar w:fldCharType="begin"/>
            </w:r>
            <w:r>
              <w:instrText xml:space="preserve"> PAGEREF _Toc256000011 \h </w:instrText>
            </w:r>
            <w:r>
              <w:fldChar w:fldCharType="separate"/>
            </w:r>
            <w:r>
              <w:t>5</w:t>
            </w:r>
            <w:r>
              <w:fldChar w:fldCharType="end"/>
            </w:r>
          </w:hyperlink>
        </w:p>
        <w:p>
          <w:pPr>
            <w:pStyle w:val="TOC2"/>
            <w:tabs>
              <w:tab w:val="left" w:pos="880"/>
              <w:tab w:val="right" w:leader="dot" w:pos="9061"/>
            </w:tabs>
            <w:rPr>
              <w:rFonts w:asciiTheme="minorHAnsi" w:hAnsiTheme="minorHAnsi"/>
              <w:noProof/>
              <w:sz w:val="22"/>
            </w:rPr>
          </w:pPr>
          <w:hyperlink w:anchor="_Toc256000012" w:history="1">
            <w:r>
              <w:rPr>
                <w:rStyle w:val="Hyperlink"/>
              </w:rPr>
              <w:t>5.2</w:t>
            </w:r>
            <w:r>
              <w:rPr>
                <w:rFonts w:asciiTheme="minorHAnsi" w:hAnsiTheme="minorHAnsi"/>
                <w:noProof/>
                <w:sz w:val="22"/>
              </w:rPr>
              <w:tab/>
            </w:r>
            <w:r>
              <w:rPr>
                <w:rStyle w:val="Hyperlink"/>
              </w:rPr>
              <w:t>Planoppsett</w:t>
            </w:r>
            <w:r>
              <w:tab/>
            </w:r>
            <w:r>
              <w:fldChar w:fldCharType="begin"/>
            </w:r>
            <w:r>
              <w:instrText xml:space="preserve"> PAGEREF _Toc256000012 \h </w:instrText>
            </w:r>
            <w:r>
              <w:fldChar w:fldCharType="separate"/>
            </w:r>
            <w:r>
              <w:t>5</w:t>
            </w:r>
            <w:r>
              <w:fldChar w:fldCharType="end"/>
            </w:r>
          </w:hyperlink>
        </w:p>
        <w:p>
          <w:pPr>
            <w:pStyle w:val="TOC3"/>
            <w:tabs>
              <w:tab w:val="left" w:pos="1320"/>
              <w:tab w:val="right" w:leader="dot" w:pos="9061"/>
            </w:tabs>
            <w:rPr>
              <w:rFonts w:asciiTheme="minorHAnsi" w:hAnsiTheme="minorHAnsi"/>
              <w:noProof/>
              <w:sz w:val="22"/>
            </w:rPr>
          </w:pPr>
          <w:hyperlink w:anchor="_Toc256000013" w:history="1">
            <w:r>
              <w:rPr>
                <w:rStyle w:val="Hyperlink"/>
              </w:rPr>
              <w:t>5.2.1</w:t>
            </w:r>
            <w:r>
              <w:rPr>
                <w:rFonts w:asciiTheme="minorHAnsi" w:hAnsiTheme="minorHAnsi"/>
                <w:noProof/>
                <w:sz w:val="22"/>
              </w:rPr>
              <w:tab/>
            </w:r>
            <w:r>
              <w:rPr>
                <w:rStyle w:val="Hyperlink"/>
              </w:rPr>
              <w:t>Feltoppsett</w:t>
            </w:r>
            <w:r>
              <w:tab/>
            </w:r>
            <w:r>
              <w:fldChar w:fldCharType="begin"/>
            </w:r>
            <w:r>
              <w:instrText xml:space="preserve"> PAGEREF _Toc256000013 \h </w:instrText>
            </w:r>
            <w:r>
              <w:fldChar w:fldCharType="separate"/>
            </w:r>
            <w:r>
              <w:t>5</w:t>
            </w:r>
            <w:r>
              <w:fldChar w:fldCharType="end"/>
            </w:r>
          </w:hyperlink>
        </w:p>
        <w:p>
          <w:pPr>
            <w:pStyle w:val="TOC2"/>
            <w:tabs>
              <w:tab w:val="left" w:pos="880"/>
              <w:tab w:val="right" w:leader="dot" w:pos="9061"/>
            </w:tabs>
            <w:rPr>
              <w:rFonts w:asciiTheme="minorHAnsi" w:hAnsiTheme="minorHAnsi"/>
              <w:noProof/>
              <w:sz w:val="22"/>
            </w:rPr>
          </w:pPr>
          <w:hyperlink w:anchor="_Toc256000014" w:history="1">
            <w:r>
              <w:rPr>
                <w:rStyle w:val="Hyperlink"/>
              </w:rPr>
              <w:t>5.3</w:t>
            </w:r>
            <w:r>
              <w:rPr>
                <w:rFonts w:asciiTheme="minorHAnsi" w:hAnsiTheme="minorHAnsi"/>
                <w:noProof/>
                <w:sz w:val="22"/>
              </w:rPr>
              <w:tab/>
            </w:r>
            <w:r>
              <w:rPr>
                <w:rStyle w:val="Hyperlink"/>
              </w:rPr>
              <w:t xml:space="preserve">Robust </w:t>
            </w:r>
            <w:r w:rsidRPr="00CD5747">
              <w:rPr>
                <w:rStyle w:val="Hyperlink"/>
              </w:rPr>
              <w:t>optimering</w:t>
            </w:r>
            <w:r>
              <w:tab/>
            </w:r>
            <w:r>
              <w:fldChar w:fldCharType="begin"/>
            </w:r>
            <w:r>
              <w:instrText xml:space="preserve"> PAGEREF _Toc256000014 \h </w:instrText>
            </w:r>
            <w:r>
              <w:fldChar w:fldCharType="separate"/>
            </w:r>
            <w:r>
              <w:t>5</w:t>
            </w:r>
            <w:r>
              <w:fldChar w:fldCharType="end"/>
            </w:r>
          </w:hyperlink>
        </w:p>
        <w:p>
          <w:pPr>
            <w:pStyle w:val="TOC1"/>
            <w:tabs>
              <w:tab w:val="left" w:pos="480"/>
              <w:tab w:val="right" w:leader="dot" w:pos="9061"/>
            </w:tabs>
            <w:rPr>
              <w:rFonts w:asciiTheme="minorHAnsi" w:hAnsiTheme="minorHAnsi"/>
              <w:noProof/>
              <w:sz w:val="22"/>
            </w:rPr>
          </w:pPr>
          <w:hyperlink w:anchor="_Toc256000015" w:history="1">
            <w:r>
              <w:rPr>
                <w:rStyle w:val="Hyperlink"/>
              </w:rPr>
              <w:t>6</w:t>
            </w:r>
            <w:r>
              <w:rPr>
                <w:rFonts w:asciiTheme="minorHAnsi" w:hAnsiTheme="minorHAnsi"/>
                <w:noProof/>
                <w:sz w:val="22"/>
              </w:rPr>
              <w:tab/>
            </w:r>
            <w:r>
              <w:rPr>
                <w:rStyle w:val="Hyperlink"/>
              </w:rPr>
              <w:t>Planevaluering</w:t>
            </w:r>
            <w:r>
              <w:tab/>
            </w:r>
            <w:r>
              <w:fldChar w:fldCharType="begin"/>
            </w:r>
            <w:r>
              <w:instrText xml:space="preserve"> PAGEREF _Toc256000015 \h </w:instrText>
            </w:r>
            <w:r>
              <w:fldChar w:fldCharType="separate"/>
            </w:r>
            <w:r>
              <w:t>5</w:t>
            </w:r>
            <w:r>
              <w:fldChar w:fldCharType="end"/>
            </w:r>
          </w:hyperlink>
        </w:p>
        <w:p>
          <w:pPr>
            <w:pStyle w:val="TOC2"/>
            <w:tabs>
              <w:tab w:val="left" w:pos="880"/>
              <w:tab w:val="right" w:leader="dot" w:pos="9061"/>
            </w:tabs>
            <w:rPr>
              <w:rFonts w:asciiTheme="minorHAnsi" w:hAnsiTheme="minorHAnsi"/>
              <w:noProof/>
              <w:sz w:val="22"/>
            </w:rPr>
          </w:pPr>
          <w:hyperlink w:anchor="_Toc256000016" w:history="1">
            <w:r>
              <w:rPr>
                <w:rStyle w:val="Hyperlink"/>
              </w:rPr>
              <w:t>6.1</w:t>
            </w:r>
            <w:r>
              <w:rPr>
                <w:rFonts w:asciiTheme="minorHAnsi" w:hAnsiTheme="minorHAnsi"/>
                <w:noProof/>
                <w:sz w:val="22"/>
              </w:rPr>
              <w:tab/>
            </w:r>
            <w:r w:rsidRPr="00CF7D0E">
              <w:rPr>
                <w:rStyle w:val="Hyperlink"/>
              </w:rPr>
              <w:t>Doser til målvolum</w:t>
            </w:r>
            <w:r>
              <w:tab/>
            </w:r>
            <w:r>
              <w:fldChar w:fldCharType="begin"/>
            </w:r>
            <w:r>
              <w:instrText xml:space="preserve"> PAGEREF _Toc256000016 \h </w:instrText>
            </w:r>
            <w:r>
              <w:fldChar w:fldCharType="separate"/>
            </w:r>
            <w:r>
              <w:t>5</w:t>
            </w:r>
            <w:r>
              <w:fldChar w:fldCharType="end"/>
            </w:r>
          </w:hyperlink>
        </w:p>
        <w:p>
          <w:pPr>
            <w:pStyle w:val="TOC2"/>
            <w:tabs>
              <w:tab w:val="left" w:pos="880"/>
              <w:tab w:val="right" w:leader="dot" w:pos="9061"/>
            </w:tabs>
            <w:rPr>
              <w:rFonts w:asciiTheme="minorHAnsi" w:hAnsiTheme="minorHAnsi"/>
              <w:noProof/>
              <w:sz w:val="22"/>
            </w:rPr>
          </w:pPr>
          <w:hyperlink w:anchor="_Toc256000018" w:history="1">
            <w:r>
              <w:rPr>
                <w:rStyle w:val="Hyperlink"/>
              </w:rPr>
              <w:t>6.2</w:t>
            </w:r>
            <w:r>
              <w:rPr>
                <w:rFonts w:asciiTheme="minorHAnsi" w:hAnsiTheme="minorHAnsi"/>
                <w:noProof/>
                <w:sz w:val="22"/>
              </w:rPr>
              <w:tab/>
            </w:r>
            <w:r>
              <w:rPr>
                <w:rStyle w:val="Hyperlink"/>
              </w:rPr>
              <w:t>Doser til risikoorgan</w:t>
            </w:r>
            <w:r>
              <w:tab/>
            </w:r>
            <w:r>
              <w:fldChar w:fldCharType="begin"/>
            </w:r>
            <w:r>
              <w:instrText xml:space="preserve"> PAGEREF _Toc256000018 \h </w:instrText>
            </w:r>
            <w:r>
              <w:fldChar w:fldCharType="separate"/>
            </w:r>
            <w:r>
              <w:t>6</w:t>
            </w:r>
            <w:r>
              <w:fldChar w:fldCharType="end"/>
            </w:r>
          </w:hyperlink>
        </w:p>
        <w:p>
          <w:pPr>
            <w:pStyle w:val="TOC3"/>
            <w:tabs>
              <w:tab w:val="left" w:pos="1320"/>
              <w:tab w:val="right" w:leader="dot" w:pos="9061"/>
            </w:tabs>
            <w:rPr>
              <w:rFonts w:asciiTheme="minorHAnsi" w:hAnsiTheme="minorHAnsi"/>
              <w:noProof/>
              <w:sz w:val="22"/>
            </w:rPr>
          </w:pPr>
          <w:hyperlink w:anchor="_Toc256000019" w:history="1">
            <w:r>
              <w:rPr>
                <w:rStyle w:val="Hyperlink"/>
              </w:rPr>
              <w:t>6.2.1</w:t>
            </w:r>
            <w:r>
              <w:rPr>
                <w:rFonts w:asciiTheme="minorHAnsi" w:hAnsiTheme="minorHAnsi"/>
                <w:noProof/>
                <w:sz w:val="22"/>
              </w:rPr>
              <w:tab/>
            </w:r>
            <w:r>
              <w:rPr>
                <w:rStyle w:val="Hyperlink"/>
              </w:rPr>
              <w:t>Dose til vekstsoner</w:t>
            </w:r>
            <w:r>
              <w:tab/>
            </w:r>
            <w:r>
              <w:fldChar w:fldCharType="begin"/>
            </w:r>
            <w:r>
              <w:instrText xml:space="preserve"> PAGEREF _Toc256000019 \h </w:instrText>
            </w:r>
            <w:r>
              <w:fldChar w:fldCharType="separate"/>
            </w:r>
            <w:r>
              <w:t>7</w:t>
            </w:r>
            <w:r>
              <w:fldChar w:fldCharType="end"/>
            </w:r>
          </w:hyperlink>
        </w:p>
        <w:p>
          <w:pPr>
            <w:pStyle w:val="TOC3"/>
            <w:tabs>
              <w:tab w:val="left" w:pos="1320"/>
              <w:tab w:val="right" w:leader="dot" w:pos="9061"/>
            </w:tabs>
            <w:rPr>
              <w:rFonts w:asciiTheme="minorHAnsi" w:hAnsiTheme="minorHAnsi"/>
              <w:noProof/>
              <w:sz w:val="22"/>
            </w:rPr>
          </w:pPr>
          <w:hyperlink w:anchor="_Toc256000020" w:history="1">
            <w:r>
              <w:rPr>
                <w:rStyle w:val="Hyperlink"/>
              </w:rPr>
              <w:t>6.2.2</w:t>
            </w:r>
            <w:r>
              <w:rPr>
                <w:rFonts w:asciiTheme="minorHAnsi" w:hAnsiTheme="minorHAnsi"/>
                <w:noProof/>
                <w:sz w:val="22"/>
              </w:rPr>
              <w:tab/>
            </w:r>
            <w:r>
              <w:rPr>
                <w:rStyle w:val="Hyperlink"/>
              </w:rPr>
              <w:t>Sekundærkreftrisiko</w:t>
            </w:r>
            <w:r>
              <w:tab/>
            </w:r>
            <w:r>
              <w:fldChar w:fldCharType="begin"/>
            </w:r>
            <w:r>
              <w:instrText xml:space="preserve"> PAGEREF _Toc256000020 \h </w:instrText>
            </w:r>
            <w:r>
              <w:fldChar w:fldCharType="separate"/>
            </w:r>
            <w:r>
              <w:t>7</w:t>
            </w:r>
            <w:r>
              <w:fldChar w:fldCharType="end"/>
            </w:r>
          </w:hyperlink>
        </w:p>
        <w:p>
          <w:pPr>
            <w:pStyle w:val="TOC2"/>
            <w:tabs>
              <w:tab w:val="left" w:pos="880"/>
              <w:tab w:val="right" w:leader="dot" w:pos="9061"/>
            </w:tabs>
            <w:rPr>
              <w:rFonts w:asciiTheme="minorHAnsi" w:hAnsiTheme="minorHAnsi"/>
              <w:noProof/>
              <w:sz w:val="22"/>
            </w:rPr>
          </w:pPr>
          <w:hyperlink w:anchor="_Toc256000021" w:history="1">
            <w:r>
              <w:rPr>
                <w:rStyle w:val="Hyperlink"/>
              </w:rPr>
              <w:t>6.3</w:t>
            </w:r>
            <w:r>
              <w:rPr>
                <w:rFonts w:asciiTheme="minorHAnsi" w:hAnsiTheme="minorHAnsi"/>
                <w:noProof/>
                <w:sz w:val="22"/>
              </w:rPr>
              <w:tab/>
            </w:r>
            <w:r>
              <w:rPr>
                <w:rStyle w:val="Hyperlink"/>
              </w:rPr>
              <w:t>Robust evaluering</w:t>
            </w:r>
            <w:r>
              <w:tab/>
            </w:r>
            <w:r>
              <w:fldChar w:fldCharType="begin"/>
            </w:r>
            <w:r>
              <w:instrText xml:space="preserve"> PAGEREF _Toc256000021 \h </w:instrText>
            </w:r>
            <w:r>
              <w:fldChar w:fldCharType="separate"/>
            </w:r>
            <w:r>
              <w:t>8</w:t>
            </w:r>
            <w:r>
              <w:fldChar w:fldCharType="end"/>
            </w:r>
          </w:hyperlink>
        </w:p>
        <w:p>
          <w:pPr>
            <w:pStyle w:val="TOC3"/>
            <w:tabs>
              <w:tab w:val="left" w:pos="1320"/>
              <w:tab w:val="right" w:leader="dot" w:pos="9061"/>
            </w:tabs>
            <w:rPr>
              <w:rFonts w:asciiTheme="minorHAnsi" w:hAnsiTheme="minorHAnsi"/>
              <w:noProof/>
              <w:sz w:val="22"/>
            </w:rPr>
          </w:pPr>
          <w:hyperlink w:anchor="_Toc256000022" w:history="1">
            <w:r>
              <w:rPr>
                <w:rStyle w:val="Hyperlink"/>
              </w:rPr>
              <w:t>6.3.1</w:t>
            </w:r>
            <w:r>
              <w:rPr>
                <w:rFonts w:asciiTheme="minorHAnsi" w:hAnsiTheme="minorHAnsi"/>
                <w:noProof/>
                <w:sz w:val="22"/>
              </w:rPr>
              <w:tab/>
            </w:r>
            <w:r>
              <w:rPr>
                <w:rStyle w:val="Hyperlink"/>
              </w:rPr>
              <w:t>Målvolum</w:t>
            </w:r>
            <w:r>
              <w:tab/>
            </w:r>
            <w:r>
              <w:fldChar w:fldCharType="begin"/>
            </w:r>
            <w:r>
              <w:instrText xml:space="preserve"> PAGEREF _Toc256000022 \h </w:instrText>
            </w:r>
            <w:r>
              <w:fldChar w:fldCharType="separate"/>
            </w:r>
            <w:r>
              <w:t>8</w:t>
            </w:r>
            <w:r>
              <w:fldChar w:fldCharType="end"/>
            </w:r>
          </w:hyperlink>
        </w:p>
        <w:p>
          <w:pPr>
            <w:pStyle w:val="TOC3"/>
            <w:tabs>
              <w:tab w:val="left" w:pos="1320"/>
              <w:tab w:val="right" w:leader="dot" w:pos="9061"/>
            </w:tabs>
            <w:rPr>
              <w:rFonts w:asciiTheme="minorHAnsi" w:hAnsiTheme="minorHAnsi"/>
              <w:noProof/>
              <w:sz w:val="22"/>
            </w:rPr>
          </w:pPr>
          <w:hyperlink w:anchor="_Toc256000023" w:history="1">
            <w:r>
              <w:rPr>
                <w:rStyle w:val="Hyperlink"/>
              </w:rPr>
              <w:t>6.3.2</w:t>
            </w:r>
            <w:r>
              <w:rPr>
                <w:rFonts w:asciiTheme="minorHAnsi" w:hAnsiTheme="minorHAnsi"/>
                <w:noProof/>
                <w:sz w:val="22"/>
              </w:rPr>
              <w:tab/>
            </w:r>
            <w:r>
              <w:rPr>
                <w:rStyle w:val="Hyperlink"/>
              </w:rPr>
              <w:t>Risikoorganer</w:t>
            </w:r>
            <w:r>
              <w:tab/>
            </w:r>
            <w:r>
              <w:fldChar w:fldCharType="begin"/>
            </w:r>
            <w:r>
              <w:instrText xml:space="preserve"> PAGEREF _Toc256000023 \h </w:instrText>
            </w:r>
            <w:r>
              <w:fldChar w:fldCharType="separate"/>
            </w:r>
            <w:r>
              <w:t>8</w:t>
            </w:r>
            <w:r>
              <w:fldChar w:fldCharType="end"/>
            </w:r>
          </w:hyperlink>
        </w:p>
        <w:p>
          <w:pPr>
            <w:pStyle w:val="TOC1"/>
            <w:tabs>
              <w:tab w:val="left" w:pos="480"/>
              <w:tab w:val="right" w:leader="dot" w:pos="9061"/>
            </w:tabs>
            <w:rPr>
              <w:rFonts w:asciiTheme="minorHAnsi" w:hAnsiTheme="minorHAnsi"/>
              <w:noProof/>
              <w:sz w:val="22"/>
            </w:rPr>
          </w:pPr>
          <w:hyperlink w:anchor="_Toc256000024" w:history="1">
            <w:r>
              <w:rPr>
                <w:rStyle w:val="Hyperlink"/>
              </w:rPr>
              <w:t>7</w:t>
            </w:r>
            <w:r>
              <w:rPr>
                <w:rFonts w:asciiTheme="minorHAnsi" w:hAnsiTheme="minorHAnsi"/>
                <w:noProof/>
                <w:sz w:val="22"/>
              </w:rPr>
              <w:tab/>
            </w:r>
            <w:r>
              <w:rPr>
                <w:rStyle w:val="Hyperlink"/>
              </w:rPr>
              <w:t>Image guidance</w:t>
            </w:r>
            <w:r>
              <w:tab/>
            </w:r>
            <w:r>
              <w:fldChar w:fldCharType="begin"/>
            </w:r>
            <w:r>
              <w:instrText xml:space="preserve"> PAGEREF _Toc256000024 \h </w:instrText>
            </w:r>
            <w:r>
              <w:fldChar w:fldCharType="separate"/>
            </w:r>
            <w:r>
              <w:t>9</w:t>
            </w:r>
            <w:r>
              <w:fldChar w:fldCharType="end"/>
            </w:r>
          </w:hyperlink>
        </w:p>
        <w:p>
          <w:pPr>
            <w:pStyle w:val="TOC1"/>
            <w:tabs>
              <w:tab w:val="left" w:pos="480"/>
              <w:tab w:val="right" w:leader="dot" w:pos="9061"/>
            </w:tabs>
            <w:rPr>
              <w:rFonts w:asciiTheme="minorHAnsi" w:hAnsiTheme="minorHAnsi"/>
              <w:noProof/>
              <w:sz w:val="22"/>
            </w:rPr>
          </w:pPr>
          <w:hyperlink w:anchor="_Toc256000025" w:history="1">
            <w:r>
              <w:rPr>
                <w:rStyle w:val="Hyperlink"/>
              </w:rPr>
              <w:t>8</w:t>
            </w:r>
            <w:r>
              <w:rPr>
                <w:rFonts w:asciiTheme="minorHAnsi" w:hAnsiTheme="minorHAnsi"/>
                <w:noProof/>
                <w:sz w:val="22"/>
              </w:rPr>
              <w:tab/>
            </w:r>
            <w:r>
              <w:rPr>
                <w:rStyle w:val="Hyperlink"/>
              </w:rPr>
              <w:t>Kontrollbilder og adapsjon</w:t>
            </w:r>
            <w:r>
              <w:tab/>
            </w:r>
            <w:r>
              <w:fldChar w:fldCharType="begin"/>
            </w:r>
            <w:r>
              <w:instrText xml:space="preserve"> PAGEREF _Toc256000025 \h </w:instrText>
            </w:r>
            <w:r>
              <w:fldChar w:fldCharType="separate"/>
            </w:r>
            <w:r>
              <w:t>9</w:t>
            </w:r>
            <w:r>
              <w:fldChar w:fldCharType="end"/>
            </w:r>
          </w:hyperlink>
        </w:p>
        <w:p>
          <w:pPr>
            <w:pStyle w:val="TOC1"/>
            <w:tabs>
              <w:tab w:val="left" w:pos="480"/>
              <w:tab w:val="right" w:leader="dot" w:pos="9061"/>
            </w:tabs>
            <w:rPr>
              <w:rFonts w:asciiTheme="minorHAnsi" w:hAnsiTheme="minorHAnsi"/>
              <w:noProof/>
              <w:sz w:val="22"/>
            </w:rPr>
          </w:pPr>
          <w:hyperlink w:anchor="_Toc256000026" w:history="1">
            <w:r>
              <w:rPr>
                <w:rStyle w:val="Hyperlink"/>
              </w:rPr>
              <w:t>9</w:t>
            </w:r>
            <w:r>
              <w:rPr>
                <w:rFonts w:asciiTheme="minorHAnsi" w:hAnsiTheme="minorHAnsi"/>
                <w:noProof/>
                <w:sz w:val="22"/>
              </w:rPr>
              <w:tab/>
            </w:r>
            <w:r>
              <w:rPr>
                <w:rStyle w:val="Hyperlink"/>
              </w:rPr>
              <w:t>Tiltak og prioritering ved nedetid</w:t>
            </w:r>
            <w:r>
              <w:tab/>
            </w:r>
            <w:r>
              <w:fldChar w:fldCharType="begin"/>
            </w:r>
            <w:r>
              <w:instrText xml:space="preserve"> PAGEREF _Toc256000026 \h </w:instrText>
            </w:r>
            <w:r>
              <w:fldChar w:fldCharType="separate"/>
            </w:r>
            <w:r>
              <w:t>9</w:t>
            </w:r>
            <w:r>
              <w:fldChar w:fldCharType="end"/>
            </w:r>
          </w:hyperlink>
        </w:p>
        <w:p>
          <w:pPr>
            <w:pStyle w:val="TOC1"/>
            <w:tabs>
              <w:tab w:val="left" w:pos="480"/>
              <w:tab w:val="right" w:leader="dot" w:pos="9061"/>
            </w:tabs>
            <w:rPr>
              <w:rFonts w:asciiTheme="minorHAnsi" w:hAnsiTheme="minorHAnsi"/>
              <w:noProof/>
              <w:sz w:val="22"/>
            </w:rPr>
          </w:pPr>
          <w:hyperlink w:anchor="_Toc256000027" w:history="1">
            <w:r>
              <w:rPr>
                <w:rStyle w:val="Hyperlink"/>
              </w:rPr>
              <w:t>10</w:t>
            </w:r>
            <w:r>
              <w:rPr>
                <w:rFonts w:asciiTheme="minorHAnsi" w:hAnsiTheme="minorHAnsi"/>
                <w:noProof/>
                <w:sz w:val="22"/>
              </w:rPr>
              <w:tab/>
            </w:r>
            <w:r>
              <w:rPr>
                <w:rStyle w:val="Hyperlink"/>
              </w:rPr>
              <w:t>Referanser</w:t>
            </w:r>
            <w:r>
              <w:tab/>
            </w:r>
            <w:r>
              <w:fldChar w:fldCharType="begin"/>
            </w:r>
            <w:r>
              <w:instrText xml:space="preserve"> PAGEREF _Toc256000027 \h </w:instrText>
            </w:r>
            <w:r>
              <w:fldChar w:fldCharType="separate"/>
            </w:r>
            <w:r>
              <w:t>9</w:t>
            </w:r>
            <w:r>
              <w:fldChar w:fldCharType="end"/>
            </w:r>
          </w:hyperlink>
        </w:p>
        <w:p>
          <w:pPr>
            <w:pStyle w:val="TOC1"/>
            <w:tabs>
              <w:tab w:val="left" w:pos="480"/>
              <w:tab w:val="right" w:leader="dot" w:pos="9061"/>
            </w:tabs>
            <w:rPr>
              <w:rFonts w:asciiTheme="minorHAnsi" w:hAnsiTheme="minorHAnsi"/>
              <w:noProof/>
              <w:sz w:val="22"/>
            </w:rPr>
          </w:pPr>
          <w:hyperlink w:anchor="_Toc256000028" w:history="1">
            <w:r>
              <w:rPr>
                <w:rStyle w:val="Hyperlink"/>
              </w:rPr>
              <w:t>11</w:t>
            </w:r>
            <w:r>
              <w:rPr>
                <w:rFonts w:asciiTheme="minorHAnsi" w:hAnsiTheme="minorHAnsi"/>
                <w:noProof/>
                <w:sz w:val="22"/>
              </w:rPr>
              <w:tab/>
            </w:r>
            <w:r w:rsidRPr="005F0E8F">
              <w:rPr>
                <w:rStyle w:val="Hyperlink"/>
              </w:rPr>
              <w:t>Endringer siden forrige versjon</w:t>
            </w:r>
            <w:r>
              <w:tab/>
            </w:r>
            <w:r>
              <w:fldChar w:fldCharType="begin"/>
            </w:r>
            <w:r>
              <w:instrText xml:space="preserve"> PAGEREF _Toc256000028 \h </w:instrText>
            </w:r>
            <w:r>
              <w:fldChar w:fldCharType="separate"/>
            </w:r>
            <w:r>
              <w:t>10</w:t>
            </w:r>
            <w:r>
              <w:fldChar w:fldCharType="end"/>
            </w:r>
          </w:hyperlink>
        </w:p>
        <w:p w:rsidR="003B78F2" w:rsidP="003B78F2">
          <w:pPr>
            <w:spacing w:line="259" w:lineRule="auto"/>
          </w:pPr>
          <w:r w:rsidRPr="00066A58">
            <w:rPr>
              <w:rFonts w:cstheme="minorHAnsi"/>
              <w:sz w:val="20"/>
            </w:rPr>
            <w:fldChar w:fldCharType="end"/>
          </w:r>
        </w:p>
      </w:sdtContent>
    </w:sdt>
    <w:p w:rsidR="00CB3EB0" w:rsidP="00066A58" w14:paraId="1503EC8F" w14:textId="67D11F0B">
      <w:pPr>
        <w:pStyle w:val="Heading1"/>
        <w:spacing w:line="259" w:lineRule="auto"/>
      </w:pPr>
      <w:bookmarkStart w:id="1" w:name="_Toc256000000"/>
      <w:r>
        <w:t>Hensikt</w:t>
      </w:r>
      <w:r w:rsidR="003B78F2">
        <w:t xml:space="preserve"> og omfang</w:t>
      </w:r>
      <w:bookmarkEnd w:id="1"/>
    </w:p>
    <w:p w:rsidR="003B78F2" w:rsidP="003B78F2" w14:paraId="01368EBD" w14:textId="77777777">
      <w:pPr>
        <w:autoSpaceDE w:val="0"/>
        <w:autoSpaceDN w:val="0"/>
        <w:adjustRightInd w:val="0"/>
        <w:rPr>
          <w:rFonts w:ascii="Calibri" w:hAnsi="Calibri" w:cs="Calibri"/>
        </w:rPr>
      </w:pPr>
      <w:r w:rsidRPr="12B74449">
        <w:rPr>
          <w:rFonts w:ascii="Calibri" w:hAnsi="Calibri" w:cs="Calibri"/>
        </w:rPr>
        <w:t xml:space="preserve">Retningslinjen skal være til hjelp for stråleterapeuter, doseplanleggere, fysikere og leger som er involvert i planlegging av protonstrålebehandling av barn. </w:t>
      </w:r>
    </w:p>
    <w:p w:rsidR="003B78F2" w:rsidP="003B78F2" w14:paraId="250EA581" w14:textId="77777777">
      <w:pPr>
        <w:autoSpaceDE w:val="0"/>
        <w:autoSpaceDN w:val="0"/>
        <w:adjustRightInd w:val="0"/>
        <w:rPr>
          <w:rFonts w:ascii="Calibri" w:hAnsi="Calibri" w:cs="Calibri"/>
        </w:rPr>
      </w:pPr>
    </w:p>
    <w:p w:rsidR="003B78F2" w:rsidP="003B78F2" w14:paraId="77CD2611" w14:textId="4CF815BC">
      <w:pPr>
        <w:rPr>
          <w:rFonts w:ascii="Calibri" w:eastAsia="Calibri" w:hAnsi="Calibri" w:cs="Calibri"/>
          <w:color w:val="000000" w:themeColor="text1"/>
        </w:rPr>
      </w:pPr>
      <w:r w:rsidRPr="5366EBA0">
        <w:rPr>
          <w:rFonts w:ascii="Calibri" w:eastAsia="Calibri" w:hAnsi="Calibri" w:cs="Calibri"/>
          <w:color w:val="000000" w:themeColor="text1"/>
        </w:rPr>
        <w:t>De fleste barn som behandles med kurativ intensjon, samt barn med lang forventet levetid etter s</w:t>
      </w:r>
      <w:r w:rsidRPr="5366EBA0">
        <w:rPr>
          <w:rFonts w:ascii="Calibri" w:eastAsia="Calibri" w:hAnsi="Calibri" w:cs="Calibri"/>
          <w:color w:val="000000" w:themeColor="text1"/>
        </w:rPr>
        <w:t xml:space="preserve">trålebehandling, kan ha fordel av at strålebehandlingen gis med </w:t>
      </w:r>
      <w:r>
        <w:rPr>
          <w:rFonts w:ascii="Calibri" w:eastAsia="Calibri" w:hAnsi="Calibri" w:cs="Calibri"/>
          <w:color w:val="000000" w:themeColor="text1"/>
        </w:rPr>
        <w:t>protoner</w:t>
      </w:r>
      <w:r w:rsidRPr="009A6D25">
        <w:rPr>
          <w:rFonts w:ascii="Calibri" w:eastAsia="Calibri" w:hAnsi="Calibri" w:cs="Calibri"/>
          <w:color w:val="000000" w:themeColor="text1"/>
        </w:rPr>
        <w:t>, særlig hvis målvolumet ligger nær viktige og/eller strålesensitive strukturer. Hovedmålet vil være å spare normalvev for stråling, slik at man minsker risiko for seneffekter, deribla</w:t>
      </w:r>
      <w:r w:rsidRPr="009A6D25">
        <w:rPr>
          <w:rFonts w:ascii="Calibri" w:eastAsia="Calibri" w:hAnsi="Calibri" w:cs="Calibri"/>
          <w:color w:val="000000" w:themeColor="text1"/>
        </w:rPr>
        <w:t>nt sekundær malignitet. Noen diagnoser og/eller målvolum vil ha proton som standard indikasjon, for eksempel CNS-aksebestråling, mens andre vil vurderes fra gang til gang, ev</w:t>
      </w:r>
      <w:r>
        <w:rPr>
          <w:rFonts w:ascii="Calibri" w:eastAsia="Calibri" w:hAnsi="Calibri" w:cs="Calibri"/>
          <w:color w:val="000000" w:themeColor="text1"/>
        </w:rPr>
        <w:t>entuelt</w:t>
      </w:r>
      <w:r w:rsidRPr="009A6D25">
        <w:rPr>
          <w:rFonts w:ascii="Calibri" w:eastAsia="Calibri" w:hAnsi="Calibri" w:cs="Calibri"/>
          <w:color w:val="000000" w:themeColor="text1"/>
        </w:rPr>
        <w:t xml:space="preserve"> med hjelp av komparative planer.</w:t>
      </w:r>
      <w:r>
        <w:rPr>
          <w:rFonts w:ascii="Calibri" w:eastAsia="Calibri" w:hAnsi="Calibri" w:cs="Calibri"/>
          <w:color w:val="000000" w:themeColor="text1"/>
        </w:rPr>
        <w:t xml:space="preserve"> </w:t>
      </w:r>
      <w:r w:rsidRPr="5366EBA0">
        <w:rPr>
          <w:rFonts w:ascii="Calibri" w:eastAsia="Calibri" w:hAnsi="Calibri" w:cs="Calibri"/>
          <w:color w:val="000000" w:themeColor="text1"/>
        </w:rPr>
        <w:t>De vanligste indikasjonene for strålebeha</w:t>
      </w:r>
      <w:r w:rsidRPr="5366EBA0">
        <w:rPr>
          <w:rFonts w:ascii="Calibri" w:eastAsia="Calibri" w:hAnsi="Calibri" w:cs="Calibri"/>
          <w:color w:val="000000" w:themeColor="text1"/>
        </w:rPr>
        <w:t>ndling finner man i</w:t>
      </w:r>
      <w:r>
        <w:rPr>
          <w:rFonts w:ascii="Calibri" w:eastAsia="Calibri" w:hAnsi="Calibri" w:cs="Calibri"/>
          <w:color w:val="000000" w:themeColor="text1"/>
        </w:rPr>
        <w:t xml:space="preserve"> </w:t>
      </w:r>
      <w:r>
        <w:rPr>
          <w:rFonts w:ascii="Calibri" w:eastAsia="Calibri" w:hAnsi="Calibri" w:cs="Calibri"/>
          <w:color w:val="000000" w:themeColor="text1"/>
        </w:rPr>
        <w:fldChar w:fldCharType="begin"/>
      </w:r>
      <w:r>
        <w:rPr>
          <w:rFonts w:ascii="Calibri" w:eastAsia="Calibri" w:hAnsi="Calibri" w:cs="Calibri"/>
          <w:color w:val="000000" w:themeColor="text1"/>
        </w:rPr>
        <w:instrText xml:space="preserve"> REF _Ref149742545 \h </w:instrText>
      </w:r>
      <w:r>
        <w:rPr>
          <w:rFonts w:ascii="Calibri" w:eastAsia="Calibri" w:hAnsi="Calibri" w:cs="Calibri"/>
          <w:color w:val="000000" w:themeColor="text1"/>
        </w:rPr>
        <w:fldChar w:fldCharType="separate"/>
      </w:r>
      <w:r>
        <w:t xml:space="preserve">Tabell </w:t>
      </w:r>
      <w:r>
        <w:t>1</w:t>
      </w:r>
      <w:r>
        <w:rPr>
          <w:rFonts w:ascii="Calibri" w:eastAsia="Calibri" w:hAnsi="Calibri" w:cs="Calibri"/>
          <w:color w:val="000000" w:themeColor="text1"/>
        </w:rPr>
        <w:fldChar w:fldCharType="end"/>
      </w:r>
      <w:r w:rsidRPr="5366EBA0">
        <w:rPr>
          <w:rFonts w:ascii="Calibri" w:eastAsia="Calibri" w:hAnsi="Calibri" w:cs="Calibri"/>
          <w:color w:val="000000" w:themeColor="text1"/>
        </w:rPr>
        <w:t>.</w:t>
      </w:r>
    </w:p>
    <w:p w:rsidR="003B78F2" w:rsidRPr="003B78F2" w:rsidP="003B78F2" w14:paraId="4788C7CF" w14:textId="77777777">
      <w:pPr>
        <w:rPr>
          <w:rFonts w:ascii="Calibri" w:eastAsia="Calibri" w:hAnsi="Calibri" w:cs="Calibri"/>
          <w:color w:val="000000" w:themeColor="text1"/>
        </w:rPr>
      </w:pPr>
    </w:p>
    <w:p w:rsidR="003B78F2" w:rsidRPr="006D4406" w:rsidP="003B78F2" w14:paraId="34CBEAC8" w14:textId="77777777">
      <w:pPr>
        <w:pStyle w:val="Caption"/>
        <w:keepNext/>
      </w:pPr>
      <w:bookmarkStart w:id="2" w:name="_Ref149742545"/>
      <w:r>
        <w:t xml:space="preserve">Tabell </w:t>
      </w:r>
      <w:r>
        <w:fldChar w:fldCharType="begin"/>
      </w:r>
      <w:r>
        <w:instrText>SEQ Tabell \* ARABIC</w:instrText>
      </w:r>
      <w:r>
        <w:fldChar w:fldCharType="separate"/>
      </w:r>
      <w:r>
        <w:t>1</w:t>
      </w:r>
      <w:r>
        <w:fldChar w:fldCharType="end"/>
      </w:r>
      <w:bookmarkEnd w:id="2"/>
      <w:r>
        <w:t xml:space="preserve"> Fraksjoneringsmønstre for de hyppigst forekommende barnesvulstene aktuelle for protonstrålebehandling.</w:t>
      </w:r>
    </w:p>
    <w:tbl>
      <w:tblPr>
        <w:tblStyle w:val="ListTable4Accent1"/>
        <w:tblW w:w="9493" w:type="dxa"/>
        <w:tblLayout w:type="fixed"/>
        <w:tblLook w:val="04A0"/>
      </w:tblPr>
      <w:tblGrid>
        <w:gridCol w:w="846"/>
        <w:gridCol w:w="1701"/>
        <w:gridCol w:w="3118"/>
        <w:gridCol w:w="3828"/>
      </w:tblGrid>
      <w:tr w14:paraId="4FBE50D0" w14:textId="77777777" w:rsidTr="002155CF">
        <w:tblPrEx>
          <w:tblW w:w="9493" w:type="dxa"/>
          <w:tblLayout w:type="fixed"/>
          <w:tblLook w:val="04A0"/>
        </w:tblPrEx>
        <w:trPr>
          <w:trHeight w:val="300"/>
        </w:trPr>
        <w:tc>
          <w:tcPr>
            <w:tcW w:w="846" w:type="dxa"/>
          </w:tcPr>
          <w:p w:rsidR="003B78F2" w:rsidP="006E16E6" w14:paraId="0DFACF1B" w14:textId="77777777">
            <w:pPr>
              <w:rPr>
                <w:rFonts w:ascii="Calibri" w:hAnsi="Calibri" w:cs="Calibri"/>
                <w:sz w:val="16"/>
                <w:szCs w:val="16"/>
              </w:rPr>
            </w:pPr>
            <w:r w:rsidRPr="5790D192">
              <w:rPr>
                <w:rFonts w:ascii="Calibri" w:hAnsi="Calibri" w:cs="Calibri"/>
                <w:sz w:val="16"/>
                <w:szCs w:val="16"/>
              </w:rPr>
              <w:t>Gruppe</w:t>
            </w:r>
          </w:p>
        </w:tc>
        <w:tc>
          <w:tcPr>
            <w:tcW w:w="1701" w:type="dxa"/>
          </w:tcPr>
          <w:p w:rsidR="003B78F2" w:rsidP="006E16E6" w14:paraId="69E7E71E" w14:textId="77777777">
            <w:pPr>
              <w:rPr>
                <w:rFonts w:ascii="Calibri" w:hAnsi="Calibri" w:cs="Calibri"/>
                <w:sz w:val="16"/>
                <w:szCs w:val="16"/>
              </w:rPr>
            </w:pPr>
            <w:r w:rsidRPr="5790D192">
              <w:rPr>
                <w:rFonts w:ascii="Calibri" w:hAnsi="Calibri" w:cs="Calibri"/>
                <w:sz w:val="16"/>
                <w:szCs w:val="16"/>
              </w:rPr>
              <w:t>Diagnose</w:t>
            </w:r>
          </w:p>
        </w:tc>
        <w:tc>
          <w:tcPr>
            <w:tcW w:w="3118" w:type="dxa"/>
          </w:tcPr>
          <w:p w:rsidR="003B78F2" w:rsidP="006E16E6" w14:paraId="009A5F77" w14:textId="77777777">
            <w:pPr>
              <w:rPr>
                <w:rFonts w:ascii="Calibri" w:hAnsi="Calibri" w:cs="Calibri"/>
                <w:sz w:val="16"/>
                <w:szCs w:val="16"/>
              </w:rPr>
            </w:pPr>
            <w:r w:rsidRPr="5790D192">
              <w:rPr>
                <w:rFonts w:ascii="Calibri" w:hAnsi="Calibri" w:cs="Calibri"/>
                <w:sz w:val="16"/>
                <w:szCs w:val="16"/>
              </w:rPr>
              <w:t>Fraksjonering</w:t>
            </w:r>
          </w:p>
        </w:tc>
        <w:tc>
          <w:tcPr>
            <w:tcW w:w="3828" w:type="dxa"/>
          </w:tcPr>
          <w:p w:rsidR="003B78F2" w:rsidRPr="00FD6346" w:rsidP="006E16E6" w14:paraId="3D4D0B7B" w14:textId="77777777">
            <w:pPr>
              <w:autoSpaceDE w:val="0"/>
              <w:autoSpaceDN w:val="0"/>
              <w:adjustRightInd w:val="0"/>
              <w:rPr>
                <w:rFonts w:ascii="Calibri" w:hAnsi="Calibri" w:cs="Calibri"/>
                <w:sz w:val="16"/>
                <w:szCs w:val="16"/>
              </w:rPr>
            </w:pPr>
            <w:r w:rsidRPr="26148F54">
              <w:rPr>
                <w:rFonts w:ascii="Calibri" w:hAnsi="Calibri" w:cs="Calibri"/>
                <w:sz w:val="16"/>
                <w:szCs w:val="16"/>
              </w:rPr>
              <w:t>Protokoller/Internreferanser</w:t>
            </w:r>
          </w:p>
        </w:tc>
      </w:tr>
      <w:tr w14:paraId="17C7B3EB" w14:textId="77777777" w:rsidTr="002155CF">
        <w:tblPrEx>
          <w:tblW w:w="9493" w:type="dxa"/>
          <w:tblLayout w:type="fixed"/>
          <w:tblLook w:val="04A0"/>
        </w:tblPrEx>
        <w:trPr>
          <w:trHeight w:val="300"/>
        </w:trPr>
        <w:tc>
          <w:tcPr>
            <w:tcW w:w="846" w:type="dxa"/>
          </w:tcPr>
          <w:p w:rsidR="003B78F2" w:rsidP="006E16E6" w14:paraId="532F2CC7" w14:textId="77777777">
            <w:pPr>
              <w:rPr>
                <w:rFonts w:ascii="Calibri" w:hAnsi="Calibri" w:cs="Calibri"/>
                <w:sz w:val="16"/>
                <w:szCs w:val="16"/>
              </w:rPr>
            </w:pPr>
            <w:r w:rsidRPr="5384E437">
              <w:rPr>
                <w:rFonts w:ascii="Calibri" w:hAnsi="Calibri" w:cs="Calibri"/>
                <w:b w:val="0"/>
                <w:bCs w:val="0"/>
                <w:sz w:val="16"/>
                <w:szCs w:val="16"/>
              </w:rPr>
              <w:t>CNS</w:t>
            </w:r>
          </w:p>
        </w:tc>
        <w:tc>
          <w:tcPr>
            <w:tcW w:w="1701" w:type="dxa"/>
          </w:tcPr>
          <w:p w:rsidR="003B78F2" w:rsidRPr="00CF7D0E" w:rsidP="006E16E6" w14:paraId="53D5B9BD" w14:textId="77777777">
            <w:pPr>
              <w:autoSpaceDE w:val="0"/>
              <w:autoSpaceDN w:val="0"/>
              <w:adjustRightInd w:val="0"/>
              <w:rPr>
                <w:rFonts w:ascii="Calibri" w:hAnsi="Calibri" w:cs="Calibri"/>
                <w:sz w:val="16"/>
                <w:szCs w:val="16"/>
              </w:rPr>
            </w:pPr>
          </w:p>
        </w:tc>
        <w:tc>
          <w:tcPr>
            <w:tcW w:w="3118" w:type="dxa"/>
          </w:tcPr>
          <w:p w:rsidR="003B78F2" w:rsidRPr="00CF7D0E" w:rsidP="006E16E6" w14:paraId="494373A2" w14:textId="77777777">
            <w:pPr>
              <w:spacing w:after="200" w:line="276" w:lineRule="auto"/>
              <w:rPr>
                <w:rFonts w:ascii="Calibri" w:hAnsi="Calibri" w:cs="Calibri"/>
                <w:sz w:val="16"/>
                <w:szCs w:val="16"/>
              </w:rPr>
            </w:pPr>
          </w:p>
        </w:tc>
        <w:tc>
          <w:tcPr>
            <w:tcW w:w="3828" w:type="dxa"/>
          </w:tcPr>
          <w:p w:rsidR="003B78F2" w:rsidRPr="00CF7D0E" w:rsidP="006E16E6" w14:paraId="3BB7DDE0" w14:textId="77777777">
            <w:pPr>
              <w:spacing w:after="200" w:line="276" w:lineRule="auto"/>
              <w:rPr>
                <w:rFonts w:ascii="Calibri" w:hAnsi="Calibri" w:cs="Calibri"/>
                <w:sz w:val="16"/>
                <w:szCs w:val="16"/>
              </w:rPr>
            </w:pPr>
          </w:p>
        </w:tc>
      </w:tr>
      <w:tr w14:paraId="5C5F244C" w14:textId="77777777" w:rsidTr="002155CF">
        <w:tblPrEx>
          <w:tblW w:w="9493" w:type="dxa"/>
          <w:tblLayout w:type="fixed"/>
          <w:tblLook w:val="04A0"/>
        </w:tblPrEx>
        <w:trPr>
          <w:trHeight w:val="525"/>
        </w:trPr>
        <w:tc>
          <w:tcPr>
            <w:tcW w:w="846" w:type="dxa"/>
          </w:tcPr>
          <w:p w:rsidR="003B78F2" w:rsidP="006E16E6" w14:paraId="634DF42B" w14:textId="77777777">
            <w:pPr>
              <w:rPr>
                <w:rFonts w:ascii="Calibri" w:hAnsi="Calibri" w:cs="Calibri"/>
                <w:sz w:val="16"/>
                <w:szCs w:val="16"/>
              </w:rPr>
            </w:pPr>
          </w:p>
        </w:tc>
        <w:tc>
          <w:tcPr>
            <w:tcW w:w="1701" w:type="dxa"/>
          </w:tcPr>
          <w:p w:rsidR="003B78F2" w:rsidP="006E16E6" w14:paraId="409CFF7F" w14:textId="77777777">
            <w:pPr>
              <w:rPr>
                <w:rFonts w:ascii="Calibri" w:hAnsi="Calibri" w:cs="Calibri"/>
                <w:sz w:val="16"/>
                <w:szCs w:val="16"/>
              </w:rPr>
            </w:pPr>
            <w:r w:rsidRPr="5790D192">
              <w:rPr>
                <w:rFonts w:ascii="Calibri" w:hAnsi="Calibri" w:cs="Calibri"/>
                <w:sz w:val="16"/>
                <w:szCs w:val="16"/>
              </w:rPr>
              <w:t>Medulloblastom</w:t>
            </w:r>
          </w:p>
        </w:tc>
        <w:tc>
          <w:tcPr>
            <w:tcW w:w="3118" w:type="dxa"/>
          </w:tcPr>
          <w:p w:rsidR="003B78F2" w:rsidRPr="007306E6" w:rsidP="006E16E6" w14:paraId="620277DD" w14:textId="77777777">
            <w:pPr>
              <w:spacing w:after="200" w:line="276" w:lineRule="auto"/>
              <w:rPr>
                <w:rFonts w:ascii="Calibri" w:hAnsi="Calibri" w:cs="Calibri"/>
                <w:sz w:val="16"/>
                <w:szCs w:val="16"/>
                <w:lang w:val="en-US"/>
              </w:rPr>
            </w:pPr>
            <w:r w:rsidRPr="007306E6">
              <w:rPr>
                <w:rFonts w:ascii="Calibri" w:hAnsi="Calibri" w:cs="Calibri"/>
                <w:sz w:val="16"/>
                <w:szCs w:val="16"/>
                <w:lang w:val="en-US"/>
              </w:rPr>
              <w:t>1.8 Gy</w:t>
            </w:r>
            <w:r>
              <w:rPr>
                <w:rFonts w:ascii="Calibri" w:hAnsi="Calibri" w:cs="Calibri"/>
                <w:sz w:val="16"/>
                <w:szCs w:val="16"/>
                <w:lang w:val="en-US"/>
              </w:rPr>
              <w:t xml:space="preserve"> (RBE)</w:t>
            </w:r>
            <w:r w:rsidRPr="007306E6">
              <w:rPr>
                <w:rFonts w:ascii="Calibri" w:hAnsi="Calibri" w:cs="Calibri"/>
                <w:sz w:val="16"/>
                <w:szCs w:val="16"/>
                <w:lang w:val="en-US"/>
              </w:rPr>
              <w:t xml:space="preserve"> x 10-20 + 1.8</w:t>
            </w:r>
            <w:r>
              <w:rPr>
                <w:rFonts w:ascii="Calibri" w:hAnsi="Calibri" w:cs="Calibri"/>
                <w:sz w:val="16"/>
                <w:szCs w:val="16"/>
                <w:lang w:val="en-US"/>
              </w:rPr>
              <w:t xml:space="preserve"> Gy (RBE) x 10-20            1.3 Gy x 2 x 15 + 1.3 Gy x 2 x 18 (HART)</w:t>
            </w:r>
          </w:p>
        </w:tc>
        <w:tc>
          <w:tcPr>
            <w:tcW w:w="3828" w:type="dxa"/>
          </w:tcPr>
          <w:p w:rsidR="003B78F2" w:rsidRPr="00CA6A6D" w:rsidP="006E16E6" w14:paraId="13BD3321" w14:textId="60CC3682">
            <w:pPr>
              <w:rPr>
                <w:rFonts w:ascii="Times New Roman" w:hAnsi="Times New Roman" w:cs="Times New Roman"/>
                <w:szCs w:val="24"/>
                <w:lang w:eastAsia="nb-NO"/>
              </w:rPr>
            </w:pPr>
            <w:r w:rsidRPr="482BEE0A">
              <w:rPr>
                <w:rFonts w:ascii="Calibri" w:hAnsi="Calibri" w:cs="Calibri"/>
                <w:sz w:val="16"/>
                <w:szCs w:val="16"/>
              </w:rPr>
              <w:t xml:space="preserve">HR-MB2, PNET 6, PNET 5, HIT MED </w:t>
            </w:r>
            <w:r w:rsidRPr="482BEE0A">
              <w:rPr>
                <w:rFonts w:ascii="Calibri" w:hAnsi="Calibri" w:cs="Calibri"/>
                <w:sz w:val="16"/>
                <w:szCs w:val="16"/>
              </w:rPr>
              <w:t>Guidance</w:t>
            </w:r>
            <w:r>
              <w:rPr>
                <w:rFonts w:ascii="Calibri" w:hAnsi="Calibri" w:cs="Calibri"/>
                <w:sz w:val="16"/>
                <w:szCs w:val="16"/>
              </w:rPr>
              <w:t xml:space="preserve">, </w:t>
            </w:r>
            <w:hyperlink r:id="rId5" w:tooltip="XDF78859" w:history="1">
              <w:r w:rsidRPr="00611DB7" w:rsidR="00611DB7">
                <w:rPr>
                  <w:rStyle w:val="Hyperlink"/>
                  <w:sz w:val="16"/>
                  <w:szCs w:val="16"/>
                </w:rPr>
                <w:fldChar w:fldCharType="begin" w:fldLock="1"/>
              </w:r>
              <w:r w:rsidRPr="00611DB7" w:rsidR="00611DB7">
                <w:rPr>
                  <w:rStyle w:val="Hyperlink"/>
                  <w:sz w:val="16"/>
                  <w:szCs w:val="16"/>
                </w:rPr>
                <w:instrText xml:space="preserve"> DOCPROPERTY XDT78859 *charformat * MERGEFORMAT </w:instrText>
              </w:r>
              <w:r w:rsidRPr="00611DB7" w:rsidR="00611DB7">
                <w:rPr>
                  <w:rStyle w:val="Hyperlink"/>
                  <w:sz w:val="16"/>
                  <w:szCs w:val="16"/>
                </w:rPr>
                <w:fldChar w:fldCharType="separate"/>
              </w:r>
              <w:r w:rsidRPr="00611DB7" w:rsidR="00611DB7">
                <w:rPr>
                  <w:rStyle w:val="Hyperlink"/>
                  <w:sz w:val="16"/>
                  <w:szCs w:val="16"/>
                </w:rPr>
                <w:t>Cerebri - Retningslinje for protonplanlegging</w:t>
              </w:r>
              <w:r w:rsidRPr="00611DB7" w:rsidR="00611DB7">
                <w:rPr>
                  <w:rStyle w:val="Hyperlink"/>
                  <w:sz w:val="16"/>
                  <w:szCs w:val="16"/>
                </w:rPr>
                <w:fldChar w:fldCharType="end"/>
              </w:r>
            </w:hyperlink>
            <w:r w:rsidRPr="00611DB7">
              <w:rPr>
                <w:rFonts w:ascii="Calibri" w:hAnsi="Calibri" w:cs="Calibri"/>
                <w:sz w:val="16"/>
                <w:szCs w:val="16"/>
              </w:rPr>
              <w:t xml:space="preserve">, </w:t>
            </w:r>
            <w:hyperlink r:id="rId6" w:tooltip="XDF78860" w:history="1">
              <w:r w:rsidRPr="00611DB7" w:rsidR="00611DB7">
                <w:rPr>
                  <w:rStyle w:val="Hyperlink"/>
                  <w:sz w:val="16"/>
                  <w:szCs w:val="16"/>
                </w:rPr>
                <w:fldChar w:fldCharType="begin" w:fldLock="1"/>
              </w:r>
              <w:r w:rsidRPr="00611DB7" w:rsidR="00611DB7">
                <w:rPr>
                  <w:rStyle w:val="Hyperlink"/>
                  <w:sz w:val="16"/>
                  <w:szCs w:val="16"/>
                </w:rPr>
                <w:instrText xml:space="preserve"> DOCPROPERTY XDT78860 *charformat * MERGEFORMAT </w:instrText>
              </w:r>
              <w:r w:rsidRPr="00611DB7" w:rsidR="00611DB7">
                <w:rPr>
                  <w:rStyle w:val="Hyperlink"/>
                  <w:sz w:val="16"/>
                  <w:szCs w:val="16"/>
                </w:rPr>
                <w:fldChar w:fldCharType="separate"/>
              </w:r>
              <w:r w:rsidRPr="00611DB7" w:rsidR="00611DB7">
                <w:rPr>
                  <w:rStyle w:val="Hyperlink"/>
                  <w:sz w:val="16"/>
                  <w:szCs w:val="16"/>
                </w:rPr>
                <w:t>Total CNS-akse - Retningslinje for protonplanlegging</w:t>
              </w:r>
              <w:r w:rsidRPr="00611DB7" w:rsidR="00611DB7">
                <w:rPr>
                  <w:rStyle w:val="Hyperlink"/>
                  <w:sz w:val="16"/>
                  <w:szCs w:val="16"/>
                </w:rPr>
                <w:fldChar w:fldCharType="end"/>
              </w:r>
            </w:hyperlink>
            <w:r w:rsidRPr="00611DB7">
              <w:rPr>
                <w:rFonts w:ascii="Calibri" w:hAnsi="Calibri" w:cs="Calibri"/>
                <w:sz w:val="16"/>
                <w:szCs w:val="16"/>
              </w:rPr>
              <w:t>,</w:t>
            </w:r>
            <w:r w:rsidRPr="482BEE0A">
              <w:rPr>
                <w:rFonts w:ascii="Calibri" w:hAnsi="Calibri" w:cs="Calibri"/>
                <w:sz w:val="16"/>
                <w:szCs w:val="16"/>
              </w:rPr>
              <w:t xml:space="preserve"> </w:t>
            </w:r>
          </w:p>
        </w:tc>
      </w:tr>
      <w:tr w14:paraId="0B3C3F1C" w14:textId="77777777" w:rsidTr="002155CF">
        <w:tblPrEx>
          <w:tblW w:w="9493" w:type="dxa"/>
          <w:tblLayout w:type="fixed"/>
          <w:tblLook w:val="04A0"/>
        </w:tblPrEx>
        <w:trPr>
          <w:trHeight w:val="818"/>
        </w:trPr>
        <w:tc>
          <w:tcPr>
            <w:tcW w:w="846" w:type="dxa"/>
          </w:tcPr>
          <w:p w:rsidR="003B78F2" w:rsidRPr="00AC29D8" w:rsidP="006E16E6" w14:paraId="49005100" w14:textId="77777777">
            <w:pPr>
              <w:rPr>
                <w:rFonts w:ascii="Calibri" w:hAnsi="Calibri" w:cs="Calibri"/>
                <w:sz w:val="16"/>
                <w:szCs w:val="16"/>
              </w:rPr>
            </w:pPr>
          </w:p>
        </w:tc>
        <w:tc>
          <w:tcPr>
            <w:tcW w:w="1701" w:type="dxa"/>
          </w:tcPr>
          <w:p w:rsidR="003B78F2" w:rsidRPr="008B4C23" w:rsidP="006E16E6" w14:paraId="2C303B3A" w14:textId="77777777">
            <w:pPr>
              <w:autoSpaceDE w:val="0"/>
              <w:autoSpaceDN w:val="0"/>
              <w:adjustRightInd w:val="0"/>
              <w:rPr>
                <w:rFonts w:ascii="Calibri" w:hAnsi="Calibri" w:cs="Calibri"/>
                <w:sz w:val="16"/>
                <w:szCs w:val="16"/>
                <w:lang w:val="en-US"/>
              </w:rPr>
            </w:pPr>
            <w:r w:rsidRPr="5790D192">
              <w:rPr>
                <w:rFonts w:ascii="Calibri" w:hAnsi="Calibri" w:cs="Calibri"/>
                <w:sz w:val="16"/>
                <w:szCs w:val="16"/>
                <w:lang w:val="en-US"/>
              </w:rPr>
              <w:t>Ependymom</w:t>
            </w:r>
          </w:p>
        </w:tc>
        <w:tc>
          <w:tcPr>
            <w:tcW w:w="3118" w:type="dxa"/>
          </w:tcPr>
          <w:p w:rsidR="003B78F2" w:rsidP="006E16E6" w14:paraId="515CEBD2" w14:textId="77777777">
            <w:pPr>
              <w:spacing w:line="276" w:lineRule="auto"/>
              <w:rPr>
                <w:rFonts w:ascii="Calibri" w:hAnsi="Calibri" w:cs="Calibri"/>
                <w:sz w:val="16"/>
                <w:szCs w:val="16"/>
                <w:lang w:val="en-US"/>
              </w:rPr>
            </w:pPr>
            <w:r w:rsidRPr="5DD4D21D">
              <w:rPr>
                <w:rFonts w:ascii="Calibri" w:hAnsi="Calibri" w:cs="Calibri"/>
                <w:sz w:val="16"/>
                <w:szCs w:val="16"/>
                <w:lang w:val="en-US"/>
              </w:rPr>
              <w:t>1.8 Gy</w:t>
            </w:r>
            <w:r>
              <w:rPr>
                <w:rFonts w:ascii="Calibri" w:hAnsi="Calibri" w:cs="Calibri"/>
                <w:sz w:val="16"/>
                <w:szCs w:val="16"/>
                <w:lang w:val="en-US"/>
              </w:rPr>
              <w:t xml:space="preserve"> (RBE)</w:t>
            </w:r>
            <w:r w:rsidRPr="5DD4D21D">
              <w:rPr>
                <w:rFonts w:ascii="Calibri" w:hAnsi="Calibri" w:cs="Calibri"/>
                <w:sz w:val="16"/>
                <w:szCs w:val="16"/>
                <w:lang w:val="en-US"/>
              </w:rPr>
              <w:t xml:space="preserve"> x 30-33 </w:t>
            </w:r>
          </w:p>
          <w:p w:rsidR="003B78F2" w:rsidRPr="00D80F9A" w:rsidP="006E16E6" w14:paraId="74CFC9A0" w14:textId="77777777">
            <w:pPr>
              <w:spacing w:after="200" w:line="276" w:lineRule="auto"/>
              <w:rPr>
                <w:rFonts w:ascii="Calibri" w:hAnsi="Calibri" w:cs="Calibri"/>
                <w:sz w:val="16"/>
                <w:szCs w:val="16"/>
                <w:lang w:val="en-US"/>
              </w:rPr>
            </w:pPr>
            <w:r w:rsidRPr="5DD4D21D">
              <w:rPr>
                <w:rFonts w:ascii="Calibri" w:hAnsi="Calibri" w:cs="Calibri"/>
                <w:sz w:val="16"/>
                <w:szCs w:val="16"/>
                <w:lang w:val="en-US"/>
              </w:rPr>
              <w:t>+ evt boost 4 Gy</w:t>
            </w:r>
            <w:r>
              <w:rPr>
                <w:rFonts w:ascii="Calibri" w:hAnsi="Calibri" w:cs="Calibri"/>
                <w:sz w:val="16"/>
                <w:szCs w:val="16"/>
                <w:lang w:val="en-US"/>
              </w:rPr>
              <w:t xml:space="preserve"> (RBE)</w:t>
            </w:r>
            <w:r w:rsidRPr="5DD4D21D">
              <w:rPr>
                <w:rFonts w:ascii="Calibri" w:hAnsi="Calibri" w:cs="Calibri"/>
                <w:sz w:val="16"/>
                <w:szCs w:val="16"/>
                <w:lang w:val="en-US"/>
              </w:rPr>
              <w:t xml:space="preserve"> x 2 (SRS)</w:t>
            </w:r>
          </w:p>
        </w:tc>
        <w:tc>
          <w:tcPr>
            <w:tcW w:w="3828" w:type="dxa"/>
          </w:tcPr>
          <w:p w:rsidR="003B78F2" w:rsidRPr="00CF7D0E" w:rsidP="006E16E6" w14:paraId="6277065E" w14:textId="41DA0DEC">
            <w:pPr>
              <w:spacing w:after="200" w:line="276" w:lineRule="auto"/>
              <w:rPr>
                <w:rFonts w:ascii="Calibri" w:hAnsi="Calibri" w:cs="Calibri"/>
                <w:sz w:val="16"/>
                <w:szCs w:val="16"/>
              </w:rPr>
            </w:pPr>
            <w:r w:rsidRPr="147BBB9B">
              <w:rPr>
                <w:rFonts w:ascii="Calibri" w:hAnsi="Calibri" w:cs="Calibri"/>
                <w:sz w:val="16"/>
                <w:szCs w:val="16"/>
              </w:rPr>
              <w:t>SIOP EP II</w:t>
            </w:r>
            <w:r w:rsidRPr="00611DB7">
              <w:rPr>
                <w:rFonts w:ascii="Calibri" w:hAnsi="Calibri" w:cs="Calibri"/>
                <w:sz w:val="16"/>
                <w:szCs w:val="16"/>
              </w:rPr>
              <w:t xml:space="preserve">, </w:t>
            </w:r>
            <w:hyperlink r:id="rId5" w:tooltip="XDF78859" w:history="1">
              <w:r w:rsidRPr="00611DB7" w:rsidR="00611DB7">
                <w:rPr>
                  <w:rStyle w:val="Hyperlink"/>
                  <w:sz w:val="16"/>
                  <w:szCs w:val="16"/>
                </w:rPr>
                <w:fldChar w:fldCharType="begin" w:fldLock="1"/>
              </w:r>
              <w:r w:rsidRPr="00611DB7" w:rsidR="00611DB7">
                <w:rPr>
                  <w:rStyle w:val="Hyperlink"/>
                  <w:sz w:val="16"/>
                  <w:szCs w:val="16"/>
                </w:rPr>
                <w:instrText xml:space="preserve"> DOCPROPERTY XDT78859 *charformat * MERGEFORMAT </w:instrText>
              </w:r>
              <w:r w:rsidRPr="00611DB7" w:rsidR="00611DB7">
                <w:rPr>
                  <w:rStyle w:val="Hyperlink"/>
                  <w:sz w:val="16"/>
                  <w:szCs w:val="16"/>
                </w:rPr>
                <w:fldChar w:fldCharType="separate"/>
              </w:r>
              <w:r w:rsidRPr="00611DB7" w:rsidR="00611DB7">
                <w:rPr>
                  <w:rStyle w:val="Hyperlink"/>
                  <w:sz w:val="16"/>
                  <w:szCs w:val="16"/>
                </w:rPr>
                <w:t>Cerebri - Retningslinje for protonplanlegging</w:t>
              </w:r>
              <w:r w:rsidRPr="00611DB7" w:rsidR="00611DB7">
                <w:rPr>
                  <w:rStyle w:val="Hyperlink"/>
                  <w:sz w:val="16"/>
                  <w:szCs w:val="16"/>
                </w:rPr>
                <w:fldChar w:fldCharType="end"/>
              </w:r>
            </w:hyperlink>
            <w:r w:rsidRPr="00611DB7">
              <w:rPr>
                <w:rFonts w:ascii="Calibri" w:hAnsi="Calibri" w:cs="Calibri"/>
                <w:sz w:val="16"/>
                <w:szCs w:val="16"/>
              </w:rPr>
              <w:t xml:space="preserve">, </w:t>
            </w:r>
            <w:hyperlink r:id="rId6" w:tooltip="XDF78860" w:history="1">
              <w:r w:rsidRPr="00611DB7" w:rsidR="00611DB7">
                <w:rPr>
                  <w:rStyle w:val="Hyperlink"/>
                  <w:sz w:val="16"/>
                  <w:szCs w:val="16"/>
                </w:rPr>
                <w:fldChar w:fldCharType="begin" w:fldLock="1"/>
              </w:r>
              <w:r w:rsidRPr="00611DB7" w:rsidR="00611DB7">
                <w:rPr>
                  <w:rStyle w:val="Hyperlink"/>
                  <w:sz w:val="16"/>
                  <w:szCs w:val="16"/>
                </w:rPr>
                <w:instrText xml:space="preserve"> DOCPROPERTY XDT78860 *charformat * MERGEFORMAT </w:instrText>
              </w:r>
              <w:r w:rsidRPr="00611DB7" w:rsidR="00611DB7">
                <w:rPr>
                  <w:rStyle w:val="Hyperlink"/>
                  <w:sz w:val="16"/>
                  <w:szCs w:val="16"/>
                </w:rPr>
                <w:fldChar w:fldCharType="separate"/>
              </w:r>
              <w:r w:rsidRPr="00611DB7" w:rsidR="00611DB7">
                <w:rPr>
                  <w:rStyle w:val="Hyperlink"/>
                  <w:sz w:val="16"/>
                  <w:szCs w:val="16"/>
                </w:rPr>
                <w:t>Total CNS-akse - Retningslinje for protonplanlegging</w:t>
              </w:r>
              <w:r w:rsidRPr="00611DB7" w:rsidR="00611DB7">
                <w:rPr>
                  <w:rStyle w:val="Hyperlink"/>
                  <w:sz w:val="16"/>
                  <w:szCs w:val="16"/>
                </w:rPr>
                <w:fldChar w:fldCharType="end"/>
              </w:r>
            </w:hyperlink>
            <w:r w:rsidRPr="00611DB7">
              <w:rPr>
                <w:rFonts w:ascii="Calibri" w:hAnsi="Calibri" w:cs="Calibri"/>
                <w:sz w:val="16"/>
                <w:szCs w:val="16"/>
              </w:rPr>
              <w:t>,</w:t>
            </w:r>
            <w:r w:rsidR="00562810">
              <w:rPr>
                <w:rFonts w:ascii="Calibri" w:hAnsi="Calibri" w:cs="Calibri"/>
                <w:sz w:val="16"/>
                <w:szCs w:val="16"/>
              </w:rPr>
              <w:t xml:space="preserve"> </w:t>
            </w:r>
          </w:p>
        </w:tc>
      </w:tr>
      <w:tr w14:paraId="4F544A39" w14:textId="77777777" w:rsidTr="002155CF">
        <w:tblPrEx>
          <w:tblW w:w="9493" w:type="dxa"/>
          <w:tblLayout w:type="fixed"/>
          <w:tblLook w:val="04A0"/>
        </w:tblPrEx>
        <w:trPr>
          <w:trHeight w:val="300"/>
        </w:trPr>
        <w:tc>
          <w:tcPr>
            <w:tcW w:w="846" w:type="dxa"/>
          </w:tcPr>
          <w:p w:rsidR="003B78F2" w:rsidP="006E16E6" w14:paraId="214DCB6C" w14:textId="77777777">
            <w:pPr>
              <w:rPr>
                <w:rFonts w:ascii="Calibri" w:hAnsi="Calibri" w:cs="Calibri"/>
                <w:sz w:val="16"/>
                <w:szCs w:val="16"/>
              </w:rPr>
            </w:pPr>
          </w:p>
        </w:tc>
        <w:tc>
          <w:tcPr>
            <w:tcW w:w="1701" w:type="dxa"/>
          </w:tcPr>
          <w:p w:rsidR="003B78F2" w:rsidRPr="00CF7D0E" w:rsidP="006E16E6" w14:paraId="4081B531" w14:textId="77777777">
            <w:pPr>
              <w:autoSpaceDE w:val="0"/>
              <w:autoSpaceDN w:val="0"/>
              <w:adjustRightInd w:val="0"/>
              <w:rPr>
                <w:rFonts w:ascii="Calibri" w:hAnsi="Calibri" w:cs="Calibri"/>
                <w:sz w:val="16"/>
                <w:szCs w:val="16"/>
              </w:rPr>
            </w:pPr>
            <w:r w:rsidRPr="147BBB9B">
              <w:rPr>
                <w:rFonts w:ascii="Calibri" w:hAnsi="Calibri" w:cs="Calibri"/>
                <w:sz w:val="16"/>
                <w:szCs w:val="16"/>
              </w:rPr>
              <w:t>Lavgradig gliom</w:t>
            </w:r>
          </w:p>
          <w:p w:rsidR="003B78F2" w:rsidRPr="00CF7D0E" w:rsidP="006E16E6" w14:paraId="4B10F32A" w14:textId="77777777">
            <w:pPr>
              <w:autoSpaceDE w:val="0"/>
              <w:autoSpaceDN w:val="0"/>
              <w:adjustRightInd w:val="0"/>
              <w:rPr>
                <w:rFonts w:ascii="Calibri" w:hAnsi="Calibri" w:cs="Calibri"/>
                <w:sz w:val="16"/>
                <w:szCs w:val="16"/>
              </w:rPr>
            </w:pPr>
          </w:p>
        </w:tc>
        <w:tc>
          <w:tcPr>
            <w:tcW w:w="3118" w:type="dxa"/>
          </w:tcPr>
          <w:p w:rsidR="003B78F2" w:rsidP="006E16E6" w14:paraId="644D6E58" w14:textId="77777777">
            <w:pPr>
              <w:spacing w:after="200" w:line="276" w:lineRule="auto"/>
              <w:rPr>
                <w:rFonts w:ascii="Calibri" w:hAnsi="Calibri" w:cs="Calibri"/>
                <w:sz w:val="16"/>
                <w:szCs w:val="16"/>
              </w:rPr>
            </w:pPr>
            <w:r w:rsidRPr="5DD4D21D">
              <w:rPr>
                <w:rFonts w:ascii="Calibri" w:hAnsi="Calibri" w:cs="Calibri"/>
                <w:sz w:val="16"/>
                <w:szCs w:val="16"/>
              </w:rPr>
              <w:t>1.8 Gy</w:t>
            </w:r>
            <w:r>
              <w:rPr>
                <w:rFonts w:ascii="Calibri" w:hAnsi="Calibri" w:cs="Calibri"/>
                <w:sz w:val="16"/>
                <w:szCs w:val="16"/>
              </w:rPr>
              <w:t xml:space="preserve"> (RBE)</w:t>
            </w:r>
            <w:r w:rsidRPr="5DD4D21D">
              <w:rPr>
                <w:rFonts w:ascii="Calibri" w:hAnsi="Calibri" w:cs="Calibri"/>
                <w:sz w:val="16"/>
                <w:szCs w:val="16"/>
              </w:rPr>
              <w:t xml:space="preserve"> x 28-30</w:t>
            </w:r>
          </w:p>
        </w:tc>
        <w:tc>
          <w:tcPr>
            <w:tcW w:w="3828" w:type="dxa"/>
          </w:tcPr>
          <w:p w:rsidR="003B78F2" w:rsidRPr="00CF7D0E" w:rsidP="006E16E6" w14:paraId="098F08E1" w14:textId="77777777">
            <w:pPr>
              <w:spacing w:after="200" w:line="276" w:lineRule="auto"/>
              <w:rPr>
                <w:rFonts w:ascii="Calibri" w:hAnsi="Calibri" w:cs="Calibri"/>
                <w:sz w:val="16"/>
                <w:szCs w:val="16"/>
              </w:rPr>
            </w:pPr>
            <w:r w:rsidRPr="147BBB9B">
              <w:rPr>
                <w:rFonts w:ascii="Calibri" w:hAnsi="Calibri" w:cs="Calibri"/>
                <w:sz w:val="16"/>
                <w:szCs w:val="16"/>
              </w:rPr>
              <w:t xml:space="preserve">SIOP LGG 2004, </w:t>
            </w:r>
            <w:r w:rsidRPr="147BBB9B">
              <w:rPr>
                <w:rFonts w:ascii="Calibri" w:hAnsi="Calibri" w:cs="Calibri"/>
                <w:sz w:val="16"/>
                <w:szCs w:val="16"/>
              </w:rPr>
              <w:t>LOGGIC</w:t>
            </w:r>
          </w:p>
        </w:tc>
      </w:tr>
      <w:tr w14:paraId="6C430D2E" w14:textId="77777777" w:rsidTr="002155CF">
        <w:tblPrEx>
          <w:tblW w:w="9493" w:type="dxa"/>
          <w:tblLayout w:type="fixed"/>
          <w:tblLook w:val="04A0"/>
        </w:tblPrEx>
        <w:trPr>
          <w:trHeight w:val="300"/>
        </w:trPr>
        <w:tc>
          <w:tcPr>
            <w:tcW w:w="846" w:type="dxa"/>
          </w:tcPr>
          <w:p w:rsidR="003B78F2" w:rsidP="006E16E6" w14:paraId="6FB0462B" w14:textId="77777777">
            <w:pPr>
              <w:rPr>
                <w:rFonts w:ascii="Calibri" w:hAnsi="Calibri" w:cs="Calibri"/>
                <w:sz w:val="16"/>
                <w:szCs w:val="16"/>
              </w:rPr>
            </w:pPr>
          </w:p>
        </w:tc>
        <w:tc>
          <w:tcPr>
            <w:tcW w:w="1701" w:type="dxa"/>
          </w:tcPr>
          <w:p w:rsidR="003B78F2" w:rsidP="006E16E6" w14:paraId="5880DB2D" w14:textId="77777777">
            <w:pPr>
              <w:rPr>
                <w:rFonts w:ascii="Calibri" w:hAnsi="Calibri" w:cs="Calibri"/>
                <w:sz w:val="16"/>
                <w:szCs w:val="16"/>
              </w:rPr>
            </w:pPr>
            <w:r w:rsidRPr="147BBB9B">
              <w:rPr>
                <w:rFonts w:ascii="Calibri" w:hAnsi="Calibri" w:cs="Calibri"/>
                <w:sz w:val="16"/>
                <w:szCs w:val="16"/>
              </w:rPr>
              <w:t>Germin</w:t>
            </w:r>
            <w:r>
              <w:rPr>
                <w:rFonts w:ascii="Calibri" w:hAnsi="Calibri" w:cs="Calibri"/>
                <w:sz w:val="16"/>
                <w:szCs w:val="16"/>
              </w:rPr>
              <w:t>alcellesvulster</w:t>
            </w:r>
          </w:p>
          <w:p w:rsidR="003B78F2" w:rsidP="006E16E6" w14:paraId="62653B6A" w14:textId="77777777">
            <w:pPr>
              <w:rPr>
                <w:rFonts w:ascii="Calibri" w:hAnsi="Calibri" w:cs="Calibri"/>
                <w:sz w:val="16"/>
                <w:szCs w:val="16"/>
              </w:rPr>
            </w:pPr>
          </w:p>
        </w:tc>
        <w:tc>
          <w:tcPr>
            <w:tcW w:w="3118" w:type="dxa"/>
          </w:tcPr>
          <w:p w:rsidR="003B78F2" w:rsidRPr="001D600A" w:rsidP="006E16E6" w14:paraId="60A54B31" w14:textId="77777777">
            <w:pPr>
              <w:spacing w:line="276" w:lineRule="auto"/>
              <w:rPr>
                <w:rFonts w:ascii="Calibri" w:hAnsi="Calibri" w:cs="Calibri"/>
                <w:sz w:val="16"/>
                <w:szCs w:val="16"/>
                <w:lang w:val="en-US"/>
              </w:rPr>
            </w:pPr>
            <w:r w:rsidRPr="001D600A">
              <w:rPr>
                <w:rFonts w:ascii="Calibri" w:hAnsi="Calibri" w:cs="Calibri"/>
                <w:sz w:val="16"/>
                <w:szCs w:val="16"/>
                <w:lang w:val="en-US"/>
              </w:rPr>
              <w:t>1.6 Gy</w:t>
            </w:r>
            <w:r>
              <w:rPr>
                <w:rFonts w:ascii="Calibri" w:hAnsi="Calibri" w:cs="Calibri"/>
                <w:sz w:val="16"/>
                <w:szCs w:val="16"/>
                <w:lang w:val="en-US"/>
              </w:rPr>
              <w:t xml:space="preserve"> (RBE)</w:t>
            </w:r>
            <w:r w:rsidRPr="001D600A">
              <w:rPr>
                <w:rFonts w:ascii="Calibri" w:hAnsi="Calibri" w:cs="Calibri"/>
                <w:sz w:val="16"/>
                <w:szCs w:val="16"/>
                <w:lang w:val="en-US"/>
              </w:rPr>
              <w:t xml:space="preserve"> x 15-20 + 1.6 Gy</w:t>
            </w:r>
            <w:r>
              <w:rPr>
                <w:rFonts w:ascii="Calibri" w:hAnsi="Calibri" w:cs="Calibri"/>
                <w:sz w:val="16"/>
                <w:szCs w:val="16"/>
                <w:lang w:val="en-US"/>
              </w:rPr>
              <w:t xml:space="preserve"> (RBE)</w:t>
            </w:r>
            <w:r w:rsidRPr="001D600A">
              <w:rPr>
                <w:rFonts w:ascii="Calibri" w:hAnsi="Calibri" w:cs="Calibri"/>
                <w:sz w:val="16"/>
                <w:szCs w:val="16"/>
                <w:lang w:val="en-US"/>
              </w:rPr>
              <w:t xml:space="preserve"> x 10-19</w:t>
            </w:r>
          </w:p>
          <w:p w:rsidR="003B78F2" w:rsidRPr="001D600A" w:rsidP="006E16E6" w14:paraId="4042700A" w14:textId="77777777">
            <w:pPr>
              <w:spacing w:line="276" w:lineRule="auto"/>
              <w:rPr>
                <w:rFonts w:ascii="Calibri" w:hAnsi="Calibri" w:cs="Calibri"/>
                <w:sz w:val="16"/>
                <w:szCs w:val="16"/>
                <w:lang w:val="en-US"/>
              </w:rPr>
            </w:pPr>
            <w:r w:rsidRPr="001D600A">
              <w:rPr>
                <w:rFonts w:ascii="Calibri" w:hAnsi="Calibri" w:cs="Calibri"/>
                <w:sz w:val="16"/>
                <w:szCs w:val="16"/>
                <w:lang w:val="en-US"/>
              </w:rPr>
              <w:t>1.5 Gy</w:t>
            </w:r>
            <w:r>
              <w:rPr>
                <w:rFonts w:ascii="Calibri" w:hAnsi="Calibri" w:cs="Calibri"/>
                <w:sz w:val="16"/>
                <w:szCs w:val="16"/>
                <w:lang w:val="en-US"/>
              </w:rPr>
              <w:t xml:space="preserve"> (RBE)</w:t>
            </w:r>
            <w:r w:rsidRPr="001D600A">
              <w:rPr>
                <w:rFonts w:ascii="Calibri" w:hAnsi="Calibri" w:cs="Calibri"/>
                <w:sz w:val="16"/>
                <w:szCs w:val="16"/>
                <w:lang w:val="en-US"/>
              </w:rPr>
              <w:t xml:space="preserve"> x 20 + 1.6 Gy</w:t>
            </w:r>
            <w:r>
              <w:rPr>
                <w:rFonts w:ascii="Calibri" w:hAnsi="Calibri" w:cs="Calibri"/>
                <w:sz w:val="16"/>
                <w:szCs w:val="16"/>
                <w:lang w:val="en-US"/>
              </w:rPr>
              <w:t xml:space="preserve"> (RBE)</w:t>
            </w:r>
            <w:r w:rsidRPr="001D600A">
              <w:rPr>
                <w:rFonts w:ascii="Calibri" w:hAnsi="Calibri" w:cs="Calibri"/>
                <w:sz w:val="16"/>
                <w:szCs w:val="16"/>
                <w:lang w:val="en-US"/>
              </w:rPr>
              <w:t xml:space="preserve"> x 15</w:t>
            </w:r>
          </w:p>
        </w:tc>
        <w:tc>
          <w:tcPr>
            <w:tcW w:w="3828" w:type="dxa"/>
          </w:tcPr>
          <w:p w:rsidR="003B78F2" w:rsidP="006E16E6" w14:paraId="4FD11649" w14:textId="77777777">
            <w:pPr>
              <w:spacing w:line="276" w:lineRule="auto"/>
              <w:rPr>
                <w:rFonts w:ascii="Calibri" w:hAnsi="Calibri" w:cs="Calibri"/>
                <w:sz w:val="16"/>
                <w:szCs w:val="16"/>
              </w:rPr>
            </w:pPr>
            <w:r w:rsidRPr="147BBB9B">
              <w:rPr>
                <w:rFonts w:ascii="Calibri" w:hAnsi="Calibri" w:cs="Calibri"/>
                <w:sz w:val="16"/>
                <w:szCs w:val="16"/>
              </w:rPr>
              <w:t>SIOP CNS GCT II</w:t>
            </w:r>
          </w:p>
          <w:p w:rsidR="003B78F2" w:rsidP="006E16E6" w14:paraId="2350C284" w14:textId="77777777">
            <w:pPr>
              <w:spacing w:line="276" w:lineRule="auto"/>
              <w:rPr>
                <w:rFonts w:ascii="Calibri" w:hAnsi="Calibri" w:cs="Calibri"/>
                <w:sz w:val="16"/>
                <w:szCs w:val="16"/>
              </w:rPr>
            </w:pPr>
            <w:r>
              <w:rPr>
                <w:rFonts w:ascii="Calibri" w:hAnsi="Calibri" w:cs="Calibri"/>
                <w:sz w:val="16"/>
                <w:szCs w:val="16"/>
              </w:rPr>
              <w:t>Avh av germinom vs non-germinom og M0 vs M+</w:t>
            </w:r>
          </w:p>
        </w:tc>
      </w:tr>
      <w:tr w14:paraId="2C471D63" w14:textId="77777777" w:rsidTr="002155CF">
        <w:tblPrEx>
          <w:tblW w:w="9493" w:type="dxa"/>
          <w:tblLayout w:type="fixed"/>
          <w:tblLook w:val="04A0"/>
        </w:tblPrEx>
        <w:trPr>
          <w:trHeight w:val="300"/>
        </w:trPr>
        <w:tc>
          <w:tcPr>
            <w:tcW w:w="846" w:type="dxa"/>
          </w:tcPr>
          <w:p w:rsidR="003B78F2" w:rsidP="006E16E6" w14:paraId="635D85A2" w14:textId="77777777">
            <w:pPr>
              <w:rPr>
                <w:rFonts w:ascii="Calibri" w:hAnsi="Calibri" w:cs="Calibri"/>
                <w:sz w:val="16"/>
                <w:szCs w:val="16"/>
              </w:rPr>
            </w:pPr>
          </w:p>
        </w:tc>
        <w:tc>
          <w:tcPr>
            <w:tcW w:w="1701" w:type="dxa"/>
          </w:tcPr>
          <w:p w:rsidR="003B78F2" w:rsidP="006E16E6" w14:paraId="15DC95A9" w14:textId="77777777">
            <w:pPr>
              <w:rPr>
                <w:rFonts w:ascii="Calibri" w:hAnsi="Calibri" w:cs="Calibri"/>
                <w:sz w:val="16"/>
                <w:szCs w:val="16"/>
              </w:rPr>
            </w:pPr>
            <w:r w:rsidRPr="72B949E9">
              <w:rPr>
                <w:rFonts w:ascii="Calibri" w:hAnsi="Calibri" w:cs="Calibri"/>
                <w:sz w:val="16"/>
                <w:szCs w:val="16"/>
              </w:rPr>
              <w:t>AT-RT</w:t>
            </w:r>
          </w:p>
        </w:tc>
        <w:tc>
          <w:tcPr>
            <w:tcW w:w="3118" w:type="dxa"/>
          </w:tcPr>
          <w:p w:rsidR="003B78F2" w:rsidP="006E16E6" w14:paraId="4A6626E5" w14:textId="77777777">
            <w:pPr>
              <w:spacing w:line="276" w:lineRule="auto"/>
              <w:rPr>
                <w:rFonts w:ascii="Calibri" w:hAnsi="Calibri" w:cs="Calibri"/>
                <w:sz w:val="16"/>
                <w:szCs w:val="16"/>
              </w:rPr>
            </w:pPr>
            <w:r w:rsidRPr="5DD4D21D">
              <w:rPr>
                <w:rFonts w:ascii="Calibri" w:hAnsi="Calibri" w:cs="Calibri"/>
                <w:sz w:val="16"/>
                <w:szCs w:val="16"/>
              </w:rPr>
              <w:t xml:space="preserve">1.8 Gy </w:t>
            </w:r>
            <w:r>
              <w:rPr>
                <w:rFonts w:ascii="Calibri" w:hAnsi="Calibri" w:cs="Calibri"/>
                <w:sz w:val="16"/>
                <w:szCs w:val="16"/>
              </w:rPr>
              <w:t xml:space="preserve">(RBE) </w:t>
            </w:r>
            <w:r w:rsidRPr="5DD4D21D">
              <w:rPr>
                <w:rFonts w:ascii="Calibri" w:hAnsi="Calibri" w:cs="Calibri"/>
                <w:sz w:val="16"/>
                <w:szCs w:val="16"/>
              </w:rPr>
              <w:t>x 30-33</w:t>
            </w:r>
          </w:p>
        </w:tc>
        <w:tc>
          <w:tcPr>
            <w:tcW w:w="3828" w:type="dxa"/>
          </w:tcPr>
          <w:p w:rsidR="003B78F2" w:rsidP="006E16E6" w14:paraId="4BEF095D" w14:textId="77777777">
            <w:pPr>
              <w:spacing w:line="276" w:lineRule="auto"/>
              <w:rPr>
                <w:rFonts w:ascii="Calibri" w:hAnsi="Calibri" w:cs="Calibri"/>
                <w:sz w:val="16"/>
                <w:szCs w:val="16"/>
              </w:rPr>
            </w:pPr>
            <w:r w:rsidRPr="72B949E9">
              <w:rPr>
                <w:rFonts w:ascii="Calibri" w:hAnsi="Calibri" w:cs="Calibri"/>
                <w:sz w:val="16"/>
                <w:szCs w:val="16"/>
              </w:rPr>
              <w:t>SIOP ATRT01, EU-RHAB,</w:t>
            </w:r>
          </w:p>
        </w:tc>
      </w:tr>
      <w:tr w14:paraId="51565B92" w14:textId="77777777" w:rsidTr="002155CF">
        <w:tblPrEx>
          <w:tblW w:w="9493" w:type="dxa"/>
          <w:tblLayout w:type="fixed"/>
          <w:tblLook w:val="04A0"/>
        </w:tblPrEx>
        <w:trPr>
          <w:trHeight w:val="300"/>
        </w:trPr>
        <w:tc>
          <w:tcPr>
            <w:tcW w:w="846" w:type="dxa"/>
          </w:tcPr>
          <w:p w:rsidR="003B78F2" w:rsidP="006E16E6" w14:paraId="3F3F2852" w14:textId="77777777">
            <w:pPr>
              <w:rPr>
                <w:rFonts w:ascii="Calibri" w:hAnsi="Calibri" w:cs="Calibri"/>
                <w:sz w:val="16"/>
                <w:szCs w:val="16"/>
              </w:rPr>
            </w:pPr>
            <w:r w:rsidRPr="5790D192">
              <w:rPr>
                <w:b w:val="0"/>
                <w:bCs w:val="0"/>
                <w:sz w:val="16"/>
                <w:szCs w:val="16"/>
              </w:rPr>
              <w:t>Sarkom</w:t>
            </w:r>
          </w:p>
        </w:tc>
        <w:tc>
          <w:tcPr>
            <w:tcW w:w="1701" w:type="dxa"/>
          </w:tcPr>
          <w:p w:rsidR="003B78F2" w:rsidRPr="00CF7D0E" w:rsidP="006E16E6" w14:paraId="74FAA4F5" w14:textId="77777777">
            <w:pPr>
              <w:autoSpaceDE w:val="0"/>
              <w:autoSpaceDN w:val="0"/>
              <w:adjustRightInd w:val="0"/>
              <w:rPr>
                <w:color w:val="FF0000"/>
              </w:rPr>
            </w:pPr>
          </w:p>
        </w:tc>
        <w:tc>
          <w:tcPr>
            <w:tcW w:w="3118" w:type="dxa"/>
          </w:tcPr>
          <w:p w:rsidR="003B78F2" w:rsidP="006E16E6" w14:paraId="4E973CAB" w14:textId="77777777">
            <w:pPr>
              <w:spacing w:after="200" w:line="276" w:lineRule="auto"/>
              <w:rPr>
                <w:rFonts w:ascii="Calibri" w:hAnsi="Calibri" w:cs="Calibri"/>
                <w:sz w:val="16"/>
                <w:szCs w:val="16"/>
              </w:rPr>
            </w:pPr>
          </w:p>
        </w:tc>
        <w:tc>
          <w:tcPr>
            <w:tcW w:w="3828" w:type="dxa"/>
          </w:tcPr>
          <w:p w:rsidR="003B78F2" w:rsidRPr="00CF7D0E" w:rsidP="006E16E6" w14:paraId="1AFF5B18" w14:textId="77777777">
            <w:pPr>
              <w:spacing w:after="200" w:line="276" w:lineRule="auto"/>
              <w:rPr>
                <w:rFonts w:ascii="Calibri" w:hAnsi="Calibri" w:cs="Calibri"/>
                <w:sz w:val="16"/>
                <w:szCs w:val="16"/>
              </w:rPr>
            </w:pPr>
          </w:p>
        </w:tc>
      </w:tr>
      <w:tr w14:paraId="09CF3CC3" w14:textId="77777777" w:rsidTr="002155CF">
        <w:tblPrEx>
          <w:tblW w:w="9493" w:type="dxa"/>
          <w:tblLayout w:type="fixed"/>
          <w:tblLook w:val="04A0"/>
        </w:tblPrEx>
        <w:trPr>
          <w:trHeight w:val="300"/>
        </w:trPr>
        <w:tc>
          <w:tcPr>
            <w:tcW w:w="846" w:type="dxa"/>
          </w:tcPr>
          <w:p w:rsidR="003B78F2" w:rsidP="006E16E6" w14:paraId="7903BE30" w14:textId="77777777">
            <w:pPr>
              <w:rPr>
                <w:rFonts w:ascii="Calibri" w:hAnsi="Calibri" w:cs="Calibri"/>
                <w:sz w:val="16"/>
                <w:szCs w:val="16"/>
              </w:rPr>
            </w:pPr>
          </w:p>
        </w:tc>
        <w:tc>
          <w:tcPr>
            <w:tcW w:w="1701" w:type="dxa"/>
          </w:tcPr>
          <w:p w:rsidR="003B78F2" w:rsidRPr="00CF7D0E" w:rsidP="006E16E6" w14:paraId="1FA42296" w14:textId="77777777">
            <w:pPr>
              <w:autoSpaceDE w:val="0"/>
              <w:autoSpaceDN w:val="0"/>
              <w:adjustRightInd w:val="0"/>
              <w:rPr>
                <w:rFonts w:ascii="Calibri" w:hAnsi="Calibri" w:cs="Calibri"/>
                <w:sz w:val="16"/>
                <w:szCs w:val="16"/>
              </w:rPr>
            </w:pPr>
            <w:r w:rsidRPr="5790D192">
              <w:rPr>
                <w:rFonts w:ascii="Calibri" w:hAnsi="Calibri" w:cs="Calibri"/>
                <w:sz w:val="16"/>
                <w:szCs w:val="16"/>
              </w:rPr>
              <w:t>Rhabdomyosarkom</w:t>
            </w:r>
            <w:r>
              <w:rPr>
                <w:rFonts w:ascii="Calibri" w:hAnsi="Calibri" w:cs="Calibri"/>
                <w:sz w:val="16"/>
                <w:szCs w:val="16"/>
              </w:rPr>
              <w:t xml:space="preserve">   </w:t>
            </w:r>
          </w:p>
        </w:tc>
        <w:tc>
          <w:tcPr>
            <w:tcW w:w="3118" w:type="dxa"/>
          </w:tcPr>
          <w:p w:rsidR="003B78F2" w:rsidRPr="00CF7D0E" w:rsidP="006E16E6" w14:paraId="76CFA4BD" w14:textId="77777777">
            <w:pPr>
              <w:spacing w:after="200" w:line="276" w:lineRule="auto"/>
              <w:rPr>
                <w:rFonts w:ascii="Calibri" w:hAnsi="Calibri" w:cs="Calibri"/>
                <w:sz w:val="16"/>
                <w:szCs w:val="16"/>
              </w:rPr>
            </w:pPr>
            <w:r>
              <w:rPr>
                <w:rFonts w:ascii="Calibri" w:hAnsi="Calibri" w:cs="Calibri"/>
                <w:sz w:val="16"/>
                <w:szCs w:val="16"/>
              </w:rPr>
              <w:t>1.8 Gy (RBE) x 23-33</w:t>
            </w:r>
          </w:p>
        </w:tc>
        <w:tc>
          <w:tcPr>
            <w:tcW w:w="3828" w:type="dxa"/>
          </w:tcPr>
          <w:p w:rsidR="003B78F2" w:rsidRPr="00CF7D0E" w:rsidP="006E16E6" w14:paraId="16EFD51B" w14:textId="4CCCB43A">
            <w:pPr>
              <w:spacing w:after="200" w:line="276" w:lineRule="auto"/>
              <w:rPr>
                <w:rFonts w:ascii="Calibri" w:hAnsi="Calibri" w:cs="Calibri"/>
                <w:sz w:val="16"/>
                <w:szCs w:val="16"/>
              </w:rPr>
            </w:pPr>
            <w:r w:rsidRPr="5384E437">
              <w:rPr>
                <w:rFonts w:ascii="Calibri" w:hAnsi="Calibri" w:cs="Calibri"/>
                <w:sz w:val="16"/>
                <w:szCs w:val="16"/>
              </w:rPr>
              <w:t xml:space="preserve">Far-RMS, </w:t>
            </w:r>
            <w:hyperlink r:id="rId7" w:tooltip="XDF78851" w:history="1">
              <w:r w:rsidRPr="00611DB7" w:rsidR="00611DB7">
                <w:rPr>
                  <w:rStyle w:val="Hyperlink"/>
                  <w:sz w:val="16"/>
                  <w:szCs w:val="16"/>
                </w:rPr>
                <w:fldChar w:fldCharType="begin" w:fldLock="1"/>
              </w:r>
              <w:r w:rsidRPr="00611DB7" w:rsidR="00611DB7">
                <w:rPr>
                  <w:rStyle w:val="Hyperlink"/>
                  <w:sz w:val="16"/>
                  <w:szCs w:val="16"/>
                </w:rPr>
                <w:instrText xml:space="preserve"> DOCPROPERTY XDT78851 *charformat * MERGEFORMAT </w:instrText>
              </w:r>
              <w:r w:rsidRPr="00611DB7" w:rsidR="00611DB7">
                <w:rPr>
                  <w:rStyle w:val="Hyperlink"/>
                  <w:sz w:val="16"/>
                  <w:szCs w:val="16"/>
                </w:rPr>
                <w:fldChar w:fldCharType="separate"/>
              </w:r>
              <w:r w:rsidRPr="00611DB7" w:rsidR="00611DB7">
                <w:rPr>
                  <w:rStyle w:val="Hyperlink"/>
                  <w:sz w:val="16"/>
                  <w:szCs w:val="16"/>
                </w:rPr>
                <w:t>Sarcom - Retningslinje for protonplanlegging</w:t>
              </w:r>
              <w:r w:rsidRPr="00611DB7" w:rsidR="00611DB7">
                <w:rPr>
                  <w:rStyle w:val="Hyperlink"/>
                  <w:sz w:val="16"/>
                  <w:szCs w:val="16"/>
                </w:rPr>
                <w:fldChar w:fldCharType="end"/>
              </w:r>
            </w:hyperlink>
            <w:r w:rsidRPr="00611DB7">
              <w:rPr>
                <w:rFonts w:ascii="Calibri" w:hAnsi="Calibri" w:cs="Calibri"/>
                <w:sz w:val="16"/>
                <w:szCs w:val="16"/>
              </w:rPr>
              <w:t>,</w:t>
            </w:r>
            <w:r w:rsidRPr="5384E437">
              <w:rPr>
                <w:rFonts w:ascii="Calibri" w:hAnsi="Calibri" w:cs="Calibri"/>
                <w:sz w:val="16"/>
                <w:szCs w:val="16"/>
              </w:rPr>
              <w:t xml:space="preserve"> </w:t>
            </w:r>
          </w:p>
        </w:tc>
      </w:tr>
      <w:tr w14:paraId="6E822EEC" w14:textId="77777777" w:rsidTr="002155CF">
        <w:tblPrEx>
          <w:tblW w:w="9493" w:type="dxa"/>
          <w:tblLayout w:type="fixed"/>
          <w:tblLook w:val="04A0"/>
        </w:tblPrEx>
        <w:trPr>
          <w:trHeight w:val="300"/>
        </w:trPr>
        <w:tc>
          <w:tcPr>
            <w:tcW w:w="846" w:type="dxa"/>
          </w:tcPr>
          <w:p w:rsidR="003B78F2" w:rsidP="006E16E6" w14:paraId="6E5AB10C" w14:textId="77777777">
            <w:pPr>
              <w:rPr>
                <w:rFonts w:ascii="Calibri" w:hAnsi="Calibri" w:cs="Calibri"/>
                <w:sz w:val="16"/>
                <w:szCs w:val="16"/>
              </w:rPr>
            </w:pPr>
          </w:p>
        </w:tc>
        <w:tc>
          <w:tcPr>
            <w:tcW w:w="1701" w:type="dxa"/>
          </w:tcPr>
          <w:p w:rsidR="003B78F2" w:rsidRPr="00CF7D0E" w:rsidP="006E16E6" w14:paraId="2846F9A5" w14:textId="77777777">
            <w:pPr>
              <w:autoSpaceDE w:val="0"/>
              <w:autoSpaceDN w:val="0"/>
              <w:adjustRightInd w:val="0"/>
              <w:rPr>
                <w:rFonts w:ascii="Calibri" w:hAnsi="Calibri" w:cs="Calibri"/>
                <w:sz w:val="16"/>
                <w:szCs w:val="16"/>
              </w:rPr>
            </w:pPr>
            <w:r w:rsidRPr="5790D192">
              <w:rPr>
                <w:rFonts w:ascii="Calibri" w:hAnsi="Calibri" w:cs="Calibri"/>
                <w:sz w:val="16"/>
                <w:szCs w:val="16"/>
              </w:rPr>
              <w:t>Ewing sarkom</w:t>
            </w:r>
          </w:p>
        </w:tc>
        <w:tc>
          <w:tcPr>
            <w:tcW w:w="3118" w:type="dxa"/>
          </w:tcPr>
          <w:p w:rsidR="003B78F2" w:rsidRPr="00CF7D0E" w:rsidP="006E16E6" w14:paraId="45E3F227" w14:textId="77777777">
            <w:pPr>
              <w:spacing w:after="200" w:line="276" w:lineRule="auto"/>
              <w:rPr>
                <w:rFonts w:ascii="Calibri" w:hAnsi="Calibri" w:cs="Calibri"/>
                <w:sz w:val="16"/>
                <w:szCs w:val="16"/>
              </w:rPr>
            </w:pPr>
            <w:r>
              <w:rPr>
                <w:rFonts w:ascii="Calibri" w:hAnsi="Calibri" w:cs="Calibri"/>
                <w:sz w:val="16"/>
                <w:szCs w:val="16"/>
              </w:rPr>
              <w:t>1.8 Gy (RBE) x 25-36</w:t>
            </w:r>
          </w:p>
        </w:tc>
        <w:tc>
          <w:tcPr>
            <w:tcW w:w="3828" w:type="dxa"/>
          </w:tcPr>
          <w:p w:rsidR="003B78F2" w:rsidRPr="00CF7D0E" w:rsidP="006E16E6" w14:paraId="54CD9962" w14:textId="08589B04">
            <w:pPr>
              <w:spacing w:after="200" w:line="276" w:lineRule="auto"/>
              <w:rPr>
                <w:rFonts w:ascii="Calibri" w:hAnsi="Calibri" w:cs="Calibri"/>
                <w:sz w:val="16"/>
                <w:szCs w:val="16"/>
              </w:rPr>
            </w:pPr>
            <w:r w:rsidRPr="147BBB9B">
              <w:rPr>
                <w:rFonts w:ascii="Calibri" w:hAnsi="Calibri" w:cs="Calibri"/>
                <w:sz w:val="16"/>
                <w:szCs w:val="16"/>
              </w:rPr>
              <w:t>Inter-Ewing</w:t>
            </w:r>
            <w:r>
              <w:rPr>
                <w:rFonts w:ascii="Calibri" w:hAnsi="Calibri" w:cs="Calibri"/>
                <w:sz w:val="16"/>
                <w:szCs w:val="16"/>
              </w:rPr>
              <w:t>-1</w:t>
            </w:r>
            <w:r w:rsidRPr="147BBB9B">
              <w:rPr>
                <w:rFonts w:ascii="Calibri" w:hAnsi="Calibri" w:cs="Calibri"/>
                <w:sz w:val="16"/>
                <w:szCs w:val="16"/>
              </w:rPr>
              <w:t xml:space="preserve">, </w:t>
            </w:r>
            <w:r w:rsidRPr="147BBB9B">
              <w:rPr>
                <w:rFonts w:ascii="Calibri" w:hAnsi="Calibri" w:cs="Calibri"/>
                <w:sz w:val="16"/>
                <w:szCs w:val="16"/>
              </w:rPr>
              <w:t>EuroEwing</w:t>
            </w:r>
            <w:r w:rsidRPr="147BBB9B">
              <w:rPr>
                <w:rFonts w:ascii="Calibri" w:hAnsi="Calibri" w:cs="Calibri"/>
                <w:sz w:val="16"/>
                <w:szCs w:val="16"/>
              </w:rPr>
              <w:t xml:space="preserve">, </w:t>
            </w:r>
            <w:hyperlink r:id="rId7" w:tooltip="XDF78851" w:history="1">
              <w:r w:rsidRPr="009D5246" w:rsidR="009D5246">
                <w:rPr>
                  <w:rStyle w:val="Hyperlink"/>
                  <w:sz w:val="16"/>
                  <w:szCs w:val="16"/>
                </w:rPr>
                <w:fldChar w:fldCharType="begin" w:fldLock="1"/>
              </w:r>
              <w:r w:rsidRPr="009D5246" w:rsidR="009D5246">
                <w:rPr>
                  <w:rStyle w:val="Hyperlink"/>
                  <w:sz w:val="16"/>
                  <w:szCs w:val="16"/>
                </w:rPr>
                <w:instrText xml:space="preserve"> DOCPROPERTY XDT78851 *charformat * MERGEFORMAT </w:instrText>
              </w:r>
              <w:r w:rsidRPr="009D5246" w:rsidR="009D5246">
                <w:rPr>
                  <w:rStyle w:val="Hyperlink"/>
                  <w:sz w:val="16"/>
                  <w:szCs w:val="16"/>
                </w:rPr>
                <w:fldChar w:fldCharType="separate"/>
              </w:r>
              <w:r w:rsidRPr="009D5246" w:rsidR="009D5246">
                <w:rPr>
                  <w:rStyle w:val="Hyperlink"/>
                  <w:sz w:val="16"/>
                  <w:szCs w:val="16"/>
                </w:rPr>
                <w:t>Sarcom - Retningslinje for protonplanlegging</w:t>
              </w:r>
              <w:r w:rsidRPr="009D5246" w:rsidR="009D5246">
                <w:rPr>
                  <w:rStyle w:val="Hyperlink"/>
                  <w:sz w:val="16"/>
                  <w:szCs w:val="16"/>
                </w:rPr>
                <w:fldChar w:fldCharType="end"/>
              </w:r>
            </w:hyperlink>
            <w:r w:rsidRPr="147BBB9B">
              <w:rPr>
                <w:rFonts w:ascii="Calibri" w:hAnsi="Calibri" w:cs="Calibri"/>
                <w:sz w:val="16"/>
                <w:szCs w:val="16"/>
              </w:rPr>
              <w:t xml:space="preserve">, </w:t>
            </w:r>
          </w:p>
        </w:tc>
      </w:tr>
      <w:tr w14:paraId="5A753F70" w14:textId="77777777" w:rsidTr="002155CF">
        <w:tblPrEx>
          <w:tblW w:w="9493" w:type="dxa"/>
          <w:tblLayout w:type="fixed"/>
          <w:tblLook w:val="04A0"/>
        </w:tblPrEx>
        <w:trPr>
          <w:trHeight w:val="300"/>
        </w:trPr>
        <w:tc>
          <w:tcPr>
            <w:tcW w:w="846" w:type="dxa"/>
          </w:tcPr>
          <w:p w:rsidR="003B78F2" w:rsidP="006E16E6" w14:paraId="134F0A46" w14:textId="77777777">
            <w:pPr>
              <w:rPr>
                <w:rFonts w:ascii="Calibri" w:hAnsi="Calibri" w:cs="Calibri"/>
                <w:sz w:val="16"/>
                <w:szCs w:val="16"/>
              </w:rPr>
            </w:pPr>
            <w:r w:rsidRPr="5790D192">
              <w:rPr>
                <w:b w:val="0"/>
                <w:bCs w:val="0"/>
                <w:sz w:val="16"/>
                <w:szCs w:val="16"/>
              </w:rPr>
              <w:t>Lymfom</w:t>
            </w:r>
          </w:p>
        </w:tc>
        <w:tc>
          <w:tcPr>
            <w:tcW w:w="1701" w:type="dxa"/>
          </w:tcPr>
          <w:p w:rsidR="003B78F2" w:rsidRPr="00CF7D0E" w:rsidP="006E16E6" w14:paraId="5A49E0B1" w14:textId="77777777">
            <w:pPr>
              <w:autoSpaceDE w:val="0"/>
              <w:autoSpaceDN w:val="0"/>
              <w:adjustRightInd w:val="0"/>
              <w:rPr>
                <w:rFonts w:ascii="Calibri" w:hAnsi="Calibri" w:cs="Calibri"/>
                <w:sz w:val="16"/>
                <w:szCs w:val="16"/>
              </w:rPr>
            </w:pPr>
          </w:p>
        </w:tc>
        <w:tc>
          <w:tcPr>
            <w:tcW w:w="3118" w:type="dxa"/>
          </w:tcPr>
          <w:p w:rsidR="003B78F2" w:rsidP="006E16E6" w14:paraId="5F3DC828" w14:textId="77777777">
            <w:pPr>
              <w:spacing w:after="200" w:line="276" w:lineRule="auto"/>
              <w:rPr>
                <w:rFonts w:ascii="Calibri" w:hAnsi="Calibri" w:cs="Calibri"/>
                <w:sz w:val="16"/>
                <w:szCs w:val="16"/>
              </w:rPr>
            </w:pPr>
          </w:p>
        </w:tc>
        <w:tc>
          <w:tcPr>
            <w:tcW w:w="3828" w:type="dxa"/>
          </w:tcPr>
          <w:p w:rsidR="003B78F2" w:rsidP="006E16E6" w14:paraId="603488E9" w14:textId="77777777">
            <w:pPr>
              <w:spacing w:after="200" w:line="276" w:lineRule="auto"/>
              <w:rPr>
                <w:rFonts w:ascii="Calibri" w:hAnsi="Calibri" w:cs="Calibri"/>
                <w:sz w:val="16"/>
                <w:szCs w:val="16"/>
              </w:rPr>
            </w:pPr>
          </w:p>
        </w:tc>
      </w:tr>
      <w:tr w14:paraId="6DDC3300" w14:textId="77777777" w:rsidTr="002155CF">
        <w:tblPrEx>
          <w:tblW w:w="9493" w:type="dxa"/>
          <w:tblLayout w:type="fixed"/>
          <w:tblLook w:val="04A0"/>
        </w:tblPrEx>
        <w:trPr>
          <w:trHeight w:val="300"/>
        </w:trPr>
        <w:tc>
          <w:tcPr>
            <w:tcW w:w="846" w:type="dxa"/>
          </w:tcPr>
          <w:p w:rsidR="003B78F2" w:rsidP="006E16E6" w14:paraId="5F0FA1FF" w14:textId="77777777">
            <w:pPr>
              <w:rPr>
                <w:rFonts w:ascii="Calibri" w:hAnsi="Calibri" w:cs="Calibri"/>
                <w:sz w:val="16"/>
                <w:szCs w:val="16"/>
              </w:rPr>
            </w:pPr>
          </w:p>
        </w:tc>
        <w:tc>
          <w:tcPr>
            <w:tcW w:w="1701" w:type="dxa"/>
          </w:tcPr>
          <w:p w:rsidR="003B78F2" w:rsidRPr="00CF7D0E" w:rsidP="006E16E6" w14:paraId="75C6AC91" w14:textId="77777777">
            <w:pPr>
              <w:autoSpaceDE w:val="0"/>
              <w:autoSpaceDN w:val="0"/>
              <w:adjustRightInd w:val="0"/>
              <w:rPr>
                <w:rFonts w:ascii="Calibri" w:hAnsi="Calibri" w:cs="Calibri"/>
                <w:sz w:val="16"/>
                <w:szCs w:val="16"/>
              </w:rPr>
            </w:pPr>
            <w:r w:rsidRPr="147BBB9B">
              <w:rPr>
                <w:rFonts w:ascii="Calibri" w:hAnsi="Calibri" w:cs="Calibri"/>
                <w:sz w:val="16"/>
                <w:szCs w:val="16"/>
              </w:rPr>
              <w:t>Hodgkin lymfom</w:t>
            </w:r>
          </w:p>
        </w:tc>
        <w:tc>
          <w:tcPr>
            <w:tcW w:w="3118" w:type="dxa"/>
          </w:tcPr>
          <w:p w:rsidR="003B78F2" w:rsidP="006E16E6" w14:paraId="61D73D52" w14:textId="77777777">
            <w:pPr>
              <w:spacing w:after="200" w:line="276" w:lineRule="auto"/>
              <w:rPr>
                <w:rFonts w:ascii="Calibri" w:hAnsi="Calibri" w:cs="Calibri"/>
                <w:sz w:val="16"/>
                <w:szCs w:val="16"/>
              </w:rPr>
            </w:pPr>
          </w:p>
        </w:tc>
        <w:tc>
          <w:tcPr>
            <w:tcW w:w="3828" w:type="dxa"/>
          </w:tcPr>
          <w:p w:rsidR="003B78F2" w:rsidP="006E16E6" w14:paraId="19585C5E" w14:textId="77777777">
            <w:pPr>
              <w:spacing w:after="200" w:line="276" w:lineRule="auto"/>
              <w:rPr>
                <w:rFonts w:ascii="Calibri" w:hAnsi="Calibri" w:cs="Calibri"/>
                <w:sz w:val="16"/>
                <w:szCs w:val="16"/>
              </w:rPr>
            </w:pPr>
            <w:r w:rsidRPr="147BBB9B">
              <w:rPr>
                <w:rFonts w:ascii="Calibri" w:hAnsi="Calibri" w:cs="Calibri"/>
                <w:sz w:val="16"/>
                <w:szCs w:val="16"/>
              </w:rPr>
              <w:t>Euro-Net PHL-C2</w:t>
            </w:r>
          </w:p>
        </w:tc>
      </w:tr>
      <w:tr w14:paraId="79AC449B" w14:textId="77777777" w:rsidTr="002155CF">
        <w:tblPrEx>
          <w:tblW w:w="9493" w:type="dxa"/>
          <w:tblLayout w:type="fixed"/>
          <w:tblLook w:val="04A0"/>
        </w:tblPrEx>
        <w:trPr>
          <w:trHeight w:val="300"/>
        </w:trPr>
        <w:tc>
          <w:tcPr>
            <w:tcW w:w="846" w:type="dxa"/>
          </w:tcPr>
          <w:p w:rsidR="003B78F2" w:rsidP="006E16E6" w14:paraId="339D7153" w14:textId="77777777">
            <w:pPr>
              <w:rPr>
                <w:rFonts w:ascii="Calibri" w:hAnsi="Calibri" w:cs="Calibri"/>
                <w:sz w:val="16"/>
                <w:szCs w:val="16"/>
              </w:rPr>
            </w:pPr>
            <w:r>
              <w:rPr>
                <w:rFonts w:ascii="Calibri" w:hAnsi="Calibri" w:cs="Calibri"/>
                <w:b w:val="0"/>
                <w:bCs w:val="0"/>
                <w:sz w:val="16"/>
                <w:szCs w:val="16"/>
              </w:rPr>
              <w:t>Andre</w:t>
            </w:r>
          </w:p>
        </w:tc>
        <w:tc>
          <w:tcPr>
            <w:tcW w:w="1701" w:type="dxa"/>
          </w:tcPr>
          <w:p w:rsidR="003B78F2" w:rsidP="006E16E6" w14:paraId="3A114D67" w14:textId="77777777">
            <w:pPr>
              <w:rPr>
                <w:rFonts w:ascii="Calibri" w:hAnsi="Calibri" w:cs="Calibri"/>
                <w:sz w:val="16"/>
                <w:szCs w:val="16"/>
              </w:rPr>
            </w:pPr>
          </w:p>
        </w:tc>
        <w:tc>
          <w:tcPr>
            <w:tcW w:w="3118" w:type="dxa"/>
          </w:tcPr>
          <w:p w:rsidR="003B78F2" w:rsidP="006E16E6" w14:paraId="44D33080" w14:textId="77777777">
            <w:pPr>
              <w:spacing w:line="276" w:lineRule="auto"/>
              <w:rPr>
                <w:rFonts w:ascii="Calibri" w:hAnsi="Calibri" w:cs="Calibri"/>
                <w:sz w:val="16"/>
                <w:szCs w:val="16"/>
              </w:rPr>
            </w:pPr>
          </w:p>
        </w:tc>
        <w:tc>
          <w:tcPr>
            <w:tcW w:w="3828" w:type="dxa"/>
          </w:tcPr>
          <w:p w:rsidR="003B78F2" w:rsidP="006E16E6" w14:paraId="74F86E4C" w14:textId="77777777">
            <w:pPr>
              <w:spacing w:line="276" w:lineRule="auto"/>
              <w:rPr>
                <w:rFonts w:ascii="Calibri" w:hAnsi="Calibri" w:cs="Calibri"/>
                <w:sz w:val="16"/>
                <w:szCs w:val="16"/>
              </w:rPr>
            </w:pPr>
          </w:p>
        </w:tc>
      </w:tr>
      <w:tr w14:paraId="69803452" w14:textId="77777777" w:rsidTr="002155CF">
        <w:tblPrEx>
          <w:tblW w:w="9493" w:type="dxa"/>
          <w:tblLayout w:type="fixed"/>
          <w:tblLook w:val="04A0"/>
        </w:tblPrEx>
        <w:trPr>
          <w:trHeight w:val="300"/>
        </w:trPr>
        <w:tc>
          <w:tcPr>
            <w:tcW w:w="846" w:type="dxa"/>
          </w:tcPr>
          <w:p w:rsidR="003B78F2" w:rsidP="006E16E6" w14:paraId="60D0D6D5" w14:textId="77777777">
            <w:pPr>
              <w:rPr>
                <w:rFonts w:ascii="Calibri" w:hAnsi="Calibri" w:cs="Calibri"/>
                <w:sz w:val="16"/>
                <w:szCs w:val="16"/>
              </w:rPr>
            </w:pPr>
          </w:p>
        </w:tc>
        <w:tc>
          <w:tcPr>
            <w:tcW w:w="1701" w:type="dxa"/>
          </w:tcPr>
          <w:p w:rsidR="003B78F2" w:rsidP="006E16E6" w14:paraId="46CE9234" w14:textId="77777777">
            <w:pPr>
              <w:rPr>
                <w:rFonts w:ascii="Calibri" w:hAnsi="Calibri" w:cs="Calibri"/>
                <w:sz w:val="16"/>
                <w:szCs w:val="16"/>
              </w:rPr>
            </w:pPr>
            <w:r w:rsidRPr="147BBB9B">
              <w:rPr>
                <w:rFonts w:ascii="Calibri" w:hAnsi="Calibri" w:cs="Calibri"/>
                <w:sz w:val="16"/>
                <w:szCs w:val="16"/>
              </w:rPr>
              <w:t>Neuroblastom</w:t>
            </w:r>
          </w:p>
        </w:tc>
        <w:tc>
          <w:tcPr>
            <w:tcW w:w="3118" w:type="dxa"/>
          </w:tcPr>
          <w:p w:rsidR="003B78F2" w:rsidP="006E16E6" w14:paraId="7DCBB326" w14:textId="77777777">
            <w:pPr>
              <w:spacing w:line="276" w:lineRule="auto"/>
              <w:rPr>
                <w:rFonts w:ascii="Calibri" w:hAnsi="Calibri" w:cs="Calibri"/>
                <w:sz w:val="16"/>
                <w:szCs w:val="16"/>
              </w:rPr>
            </w:pPr>
            <w:r>
              <w:rPr>
                <w:rFonts w:ascii="Calibri" w:hAnsi="Calibri" w:cs="Calibri"/>
                <w:sz w:val="16"/>
                <w:szCs w:val="16"/>
              </w:rPr>
              <w:t>1.8 Gy (RBE) x 12 - 20</w:t>
            </w:r>
          </w:p>
        </w:tc>
        <w:tc>
          <w:tcPr>
            <w:tcW w:w="3828" w:type="dxa"/>
          </w:tcPr>
          <w:p w:rsidR="003B78F2" w:rsidP="006E16E6" w14:paraId="0AA4A5FB" w14:textId="77777777">
            <w:pPr>
              <w:spacing w:line="276" w:lineRule="auto"/>
              <w:rPr>
                <w:rFonts w:ascii="Calibri" w:hAnsi="Calibri" w:cs="Calibri"/>
                <w:sz w:val="16"/>
                <w:szCs w:val="16"/>
              </w:rPr>
            </w:pPr>
            <w:r w:rsidRPr="147BBB9B">
              <w:rPr>
                <w:rFonts w:ascii="Calibri" w:hAnsi="Calibri" w:cs="Calibri"/>
                <w:sz w:val="16"/>
                <w:szCs w:val="16"/>
              </w:rPr>
              <w:t xml:space="preserve">HR-NBL2 </w:t>
            </w:r>
          </w:p>
        </w:tc>
      </w:tr>
      <w:tr w14:paraId="5A5D9EE0" w14:textId="77777777" w:rsidTr="002155CF">
        <w:tblPrEx>
          <w:tblW w:w="9493" w:type="dxa"/>
          <w:tblLayout w:type="fixed"/>
          <w:tblLook w:val="04A0"/>
        </w:tblPrEx>
        <w:trPr>
          <w:trHeight w:val="300"/>
        </w:trPr>
        <w:tc>
          <w:tcPr>
            <w:tcW w:w="846" w:type="dxa"/>
          </w:tcPr>
          <w:p w:rsidR="003B78F2" w:rsidP="006E16E6" w14:paraId="76641915" w14:textId="77777777">
            <w:pPr>
              <w:rPr>
                <w:rFonts w:ascii="Calibri" w:hAnsi="Calibri" w:cs="Calibri"/>
                <w:sz w:val="16"/>
                <w:szCs w:val="16"/>
              </w:rPr>
            </w:pPr>
          </w:p>
        </w:tc>
        <w:tc>
          <w:tcPr>
            <w:tcW w:w="1701" w:type="dxa"/>
          </w:tcPr>
          <w:p w:rsidR="003B78F2" w:rsidP="006E16E6" w14:paraId="79233F06" w14:textId="77777777">
            <w:pPr>
              <w:rPr>
                <w:rFonts w:ascii="Calibri" w:hAnsi="Calibri" w:cs="Calibri"/>
                <w:sz w:val="16"/>
                <w:szCs w:val="16"/>
              </w:rPr>
            </w:pPr>
            <w:r w:rsidRPr="147BBB9B">
              <w:rPr>
                <w:rFonts w:ascii="Calibri" w:hAnsi="Calibri" w:cs="Calibri"/>
                <w:sz w:val="16"/>
                <w:szCs w:val="16"/>
              </w:rPr>
              <w:t>Nephroblastom</w:t>
            </w:r>
          </w:p>
        </w:tc>
        <w:tc>
          <w:tcPr>
            <w:tcW w:w="3118" w:type="dxa"/>
          </w:tcPr>
          <w:p w:rsidR="003B78F2" w:rsidP="006E16E6" w14:paraId="5835C7E2" w14:textId="77777777">
            <w:pPr>
              <w:spacing w:line="276" w:lineRule="auto"/>
              <w:rPr>
                <w:rFonts w:ascii="Calibri" w:hAnsi="Calibri" w:cs="Calibri"/>
                <w:sz w:val="16"/>
                <w:szCs w:val="16"/>
              </w:rPr>
            </w:pPr>
            <w:r w:rsidRPr="5DD4D21D">
              <w:rPr>
                <w:rFonts w:ascii="Calibri" w:hAnsi="Calibri" w:cs="Calibri"/>
                <w:sz w:val="16"/>
                <w:szCs w:val="16"/>
              </w:rPr>
              <w:t xml:space="preserve">1.8 Gy </w:t>
            </w:r>
            <w:r>
              <w:rPr>
                <w:rFonts w:ascii="Calibri" w:hAnsi="Calibri" w:cs="Calibri"/>
                <w:sz w:val="16"/>
                <w:szCs w:val="16"/>
              </w:rPr>
              <w:t xml:space="preserve">(RBE) </w:t>
            </w:r>
            <w:r w:rsidRPr="5DD4D21D">
              <w:rPr>
                <w:rFonts w:ascii="Calibri" w:hAnsi="Calibri" w:cs="Calibri"/>
                <w:sz w:val="16"/>
                <w:szCs w:val="16"/>
              </w:rPr>
              <w:t>x 6-14</w:t>
            </w:r>
          </w:p>
        </w:tc>
        <w:tc>
          <w:tcPr>
            <w:tcW w:w="3828" w:type="dxa"/>
          </w:tcPr>
          <w:p w:rsidR="003B78F2" w:rsidP="006E16E6" w14:paraId="224208F0" w14:textId="77777777">
            <w:pPr>
              <w:spacing w:line="276" w:lineRule="auto"/>
              <w:rPr>
                <w:rFonts w:ascii="Calibri" w:hAnsi="Calibri" w:cs="Calibri"/>
                <w:sz w:val="16"/>
                <w:szCs w:val="16"/>
              </w:rPr>
            </w:pPr>
            <w:r w:rsidRPr="147BBB9B">
              <w:rPr>
                <w:rFonts w:ascii="Calibri" w:hAnsi="Calibri" w:cs="Calibri"/>
                <w:sz w:val="16"/>
                <w:szCs w:val="16"/>
              </w:rPr>
              <w:t>UMBRELLA</w:t>
            </w:r>
          </w:p>
        </w:tc>
      </w:tr>
      <w:tr w14:paraId="305A2E23" w14:textId="77777777" w:rsidTr="002155CF">
        <w:tblPrEx>
          <w:tblW w:w="9493" w:type="dxa"/>
          <w:tblLayout w:type="fixed"/>
          <w:tblLook w:val="04A0"/>
        </w:tblPrEx>
        <w:trPr>
          <w:trHeight w:val="300"/>
        </w:trPr>
        <w:tc>
          <w:tcPr>
            <w:tcW w:w="846" w:type="dxa"/>
          </w:tcPr>
          <w:p w:rsidR="003B78F2" w:rsidP="006E16E6" w14:paraId="54A4E059" w14:textId="77777777">
            <w:pPr>
              <w:rPr>
                <w:rFonts w:ascii="Calibri" w:hAnsi="Calibri" w:cs="Calibri"/>
                <w:sz w:val="16"/>
                <w:szCs w:val="16"/>
              </w:rPr>
            </w:pPr>
          </w:p>
        </w:tc>
        <w:tc>
          <w:tcPr>
            <w:tcW w:w="1701" w:type="dxa"/>
          </w:tcPr>
          <w:p w:rsidR="003B78F2" w:rsidP="006E16E6" w14:paraId="543FA287" w14:textId="77777777">
            <w:pPr>
              <w:rPr>
                <w:rFonts w:ascii="Calibri" w:hAnsi="Calibri" w:cs="Calibri"/>
                <w:sz w:val="16"/>
                <w:szCs w:val="16"/>
              </w:rPr>
            </w:pPr>
            <w:r w:rsidRPr="669743DA">
              <w:rPr>
                <w:rFonts w:ascii="Calibri" w:hAnsi="Calibri" w:cs="Calibri"/>
                <w:sz w:val="16"/>
                <w:szCs w:val="16"/>
              </w:rPr>
              <w:t>ØNH-tumorer</w:t>
            </w:r>
          </w:p>
        </w:tc>
        <w:tc>
          <w:tcPr>
            <w:tcW w:w="3118" w:type="dxa"/>
          </w:tcPr>
          <w:p w:rsidR="003B78F2" w:rsidP="006E16E6" w14:paraId="284AF9F9" w14:textId="77777777">
            <w:pPr>
              <w:spacing w:line="276" w:lineRule="auto"/>
              <w:rPr>
                <w:rFonts w:ascii="Calibri" w:hAnsi="Calibri" w:cs="Calibri"/>
                <w:sz w:val="16"/>
                <w:szCs w:val="16"/>
              </w:rPr>
            </w:pPr>
            <w:r>
              <w:rPr>
                <w:rFonts w:ascii="Calibri" w:hAnsi="Calibri" w:cs="Calibri"/>
                <w:sz w:val="16"/>
                <w:szCs w:val="16"/>
              </w:rPr>
              <w:t>1.8 Gy (RBE) x 33</w:t>
            </w:r>
          </w:p>
        </w:tc>
        <w:tc>
          <w:tcPr>
            <w:tcW w:w="3828" w:type="dxa"/>
          </w:tcPr>
          <w:p w:rsidR="003B78F2" w:rsidP="006E16E6" w14:paraId="5F6492A2" w14:textId="77777777">
            <w:pPr>
              <w:spacing w:line="276" w:lineRule="auto"/>
              <w:rPr>
                <w:rFonts w:ascii="Calibri" w:hAnsi="Calibri" w:cs="Calibri"/>
                <w:sz w:val="16"/>
                <w:szCs w:val="16"/>
              </w:rPr>
            </w:pPr>
            <w:r>
              <w:rPr>
                <w:rFonts w:ascii="Calibri" w:hAnsi="Calibri" w:cs="Calibri"/>
                <w:sz w:val="16"/>
                <w:szCs w:val="16"/>
              </w:rPr>
              <w:t>NPC2003GPOH</w:t>
            </w:r>
          </w:p>
        </w:tc>
      </w:tr>
    </w:tbl>
    <w:p w:rsidR="00DF7BA8" w:rsidRPr="003B78F2" w:rsidP="00066A58" w14:paraId="1503EC90" w14:textId="77777777">
      <w:pPr>
        <w:spacing w:line="259" w:lineRule="auto"/>
        <w:rPr>
          <w:rFonts w:cstheme="minorHAnsi"/>
          <w:color w:val="808080" w:themeColor="background1" w:themeShade="80"/>
          <w:lang w:val="en-US"/>
        </w:rPr>
      </w:pPr>
    </w:p>
    <w:p w:rsidR="00510BDF" w:rsidP="00066A58" w14:paraId="1503EC95" w14:textId="77777777">
      <w:pPr>
        <w:pStyle w:val="Heading1"/>
        <w:spacing w:line="259" w:lineRule="auto"/>
      </w:pPr>
      <w:bookmarkStart w:id="3" w:name="_Toc256000001"/>
      <w:r>
        <w:t>Ansvar</w:t>
      </w:r>
      <w:bookmarkEnd w:id="3"/>
      <w:r>
        <w:t xml:space="preserve"> </w:t>
      </w:r>
    </w:p>
    <w:p w:rsidR="00CA656B" w:rsidP="003B78F2" w14:paraId="4A0A4C10" w14:textId="77777777">
      <w:r>
        <w:t xml:space="preserve">Denne </w:t>
      </w:r>
      <w:r>
        <w:t>retningslinjen er utviklet av en gruppe bestående av sentrale fagpersoner innenfor strålebehandling av barn ved Oslo Universitetssykehus og Haukeland Universitetssykehus. Retningslinjen er avstemt ved stråleterapimiljøer på St. Olavs hospital og Universite</w:t>
      </w:r>
      <w:r>
        <w:t>tssykehuset Nord-Norge. Fremtidige revisjoner skal gjennomføres i samarbeid mellom OUS og HUS, og skal videre avstemmes med SOH og UNN før ny publisering.</w:t>
      </w:r>
    </w:p>
    <w:p w:rsidR="00CA656B" w:rsidP="003B78F2" w14:paraId="22DF6B7B" w14:textId="77777777"/>
    <w:p w:rsidR="00DF7BA8" w:rsidP="003B78F2" w14:paraId="1503EC97" w14:textId="0814D942">
      <w:r>
        <w:t xml:space="preserve"> </w:t>
      </w:r>
    </w:p>
    <w:p w:rsidR="003B78F2" w:rsidRPr="00DF7BA8" w:rsidP="003B78F2" w14:paraId="0F51C6E0" w14:textId="77777777">
      <w:pPr>
        <w:rPr>
          <w:rFonts w:cstheme="minorHAnsi"/>
        </w:rPr>
      </w:pPr>
    </w:p>
    <w:p w:rsidR="00510BDF" w:rsidP="00066A58" w14:paraId="1503EC98" w14:textId="2C8F92AA">
      <w:pPr>
        <w:pStyle w:val="Heading1"/>
        <w:spacing w:line="259" w:lineRule="auto"/>
      </w:pPr>
      <w:bookmarkStart w:id="4" w:name="_Toc256000002"/>
      <w:r>
        <w:t>Bildegrunnlag og fiksering</w:t>
      </w:r>
      <w:bookmarkEnd w:id="4"/>
    </w:p>
    <w:p w:rsidR="00246F8B" w:rsidP="00246F8B" w14:paraId="7A84DC24" w14:textId="77777777">
      <w:pPr>
        <w:pStyle w:val="Heading2"/>
      </w:pPr>
      <w:bookmarkStart w:id="5" w:name="_Toc256000003"/>
      <w:r>
        <w:t>Fiksering</w:t>
      </w:r>
      <w:bookmarkEnd w:id="5"/>
    </w:p>
    <w:p w:rsidR="00246F8B" w:rsidP="00246F8B" w14:paraId="55FE5B05" w14:textId="1E880CD3">
      <w:r>
        <w:t>Pasienten skal fikseres med hensiktsmessig protonfiksering a</w:t>
      </w:r>
      <w:r>
        <w:t>vhengig av behandlingsområde, som angitt i</w:t>
      </w:r>
      <w:r w:rsidR="00611DB7">
        <w:t xml:space="preserve"> dokumentet </w:t>
      </w:r>
      <w:hyperlink r:id="rId8" w:tooltip="XDF78855" w:history="1">
        <w:r w:rsidRPr="00611DB7" w:rsidR="00611DB7">
          <w:rPr>
            <w:rStyle w:val="Hyperlink"/>
          </w:rPr>
          <w:fldChar w:fldCharType="begin" w:fldLock="1"/>
        </w:r>
        <w:r w:rsidRPr="00611DB7" w:rsidR="00611DB7">
          <w:rPr>
            <w:rStyle w:val="Hyperlink"/>
          </w:rPr>
          <w:instrText xml:space="preserve"> DOCPROPERTY XDT78855 *charformat * MERGEFORMAT </w:instrText>
        </w:r>
        <w:r w:rsidRPr="00611DB7" w:rsidR="00611DB7">
          <w:rPr>
            <w:rStyle w:val="Hyperlink"/>
          </w:rPr>
          <w:fldChar w:fldCharType="separate"/>
        </w:r>
        <w:r w:rsidRPr="00611DB7" w:rsidR="00611DB7">
          <w:rPr>
            <w:rStyle w:val="Hyperlink"/>
          </w:rPr>
          <w:t>Protonfiksering - oversikt</w:t>
        </w:r>
        <w:r w:rsidRPr="00611DB7" w:rsidR="00611DB7">
          <w:rPr>
            <w:rStyle w:val="Hyperlink"/>
          </w:rPr>
          <w:fldChar w:fldCharType="end"/>
        </w:r>
      </w:hyperlink>
      <w:r w:rsidR="00611DB7">
        <w:t>.</w:t>
      </w:r>
    </w:p>
    <w:p w:rsidR="00246F8B" w:rsidP="00246F8B" w14:paraId="3EA89EAF" w14:textId="77777777"/>
    <w:p w:rsidR="00246F8B" w:rsidRPr="002205ED" w:rsidP="00246F8B" w14:paraId="19F6B818" w14:textId="77777777">
      <w:pPr>
        <w:pStyle w:val="Heading2"/>
      </w:pPr>
      <w:bookmarkStart w:id="6" w:name="_Toc256000004"/>
      <w:r w:rsidRPr="006603AA">
        <w:t>Anes</w:t>
      </w:r>
      <w:r w:rsidRPr="006603AA">
        <w:t>tesi</w:t>
      </w:r>
      <w:bookmarkEnd w:id="6"/>
    </w:p>
    <w:p w:rsidR="00246F8B" w:rsidP="00246F8B" w14:paraId="29012C10" w14:textId="77777777">
      <w:pPr>
        <w:rPr>
          <w:rFonts w:ascii="Calibri" w:hAnsi="Calibri" w:cs="Calibri"/>
        </w:rPr>
      </w:pPr>
      <w:r w:rsidRPr="00323B63">
        <w:rPr>
          <w:rFonts w:ascii="Calibri" w:hAnsi="Calibri" w:cs="Calibri"/>
        </w:rPr>
        <w:t xml:space="preserve">Ved behov for anestesi anbefales det at fiksering og avbildning gjøres i samme anestesisesjon. </w:t>
      </w:r>
      <w:r>
        <w:rPr>
          <w:rFonts w:ascii="Calibri" w:hAnsi="Calibri" w:cs="Calibri"/>
        </w:rPr>
        <w:t xml:space="preserve">Dersom maskefiksering tillages på CT, skal man likevel ta seg tid til at masken kjøles helt ned, og denne skal tas av og på igjen før CT-bildene tas. </w:t>
      </w:r>
    </w:p>
    <w:p w:rsidR="007D7B5E" w:rsidP="00246F8B" w14:paraId="1774E316" w14:textId="77777777">
      <w:pPr>
        <w:rPr>
          <w:rFonts w:ascii="Calibri" w:hAnsi="Calibri" w:cs="Calibri"/>
        </w:rPr>
      </w:pPr>
    </w:p>
    <w:p w:rsidR="00246F8B" w:rsidP="00246F8B" w14:paraId="2D043642" w14:textId="77777777">
      <w:pPr>
        <w:rPr>
          <w:rFonts w:ascii="Calibri" w:hAnsi="Calibri" w:cs="Calibri"/>
        </w:rPr>
      </w:pPr>
      <w:r>
        <w:rPr>
          <w:rFonts w:ascii="Calibri" w:hAnsi="Calibri" w:cs="Calibri"/>
        </w:rPr>
        <w:t>A</w:t>
      </w:r>
      <w:r w:rsidRPr="00516910">
        <w:rPr>
          <w:rFonts w:ascii="Calibri" w:hAnsi="Calibri" w:cs="Calibri"/>
        </w:rPr>
        <w:t>nes</w:t>
      </w:r>
      <w:r>
        <w:rPr>
          <w:rFonts w:ascii="Calibri" w:hAnsi="Calibri" w:cs="Calibri"/>
        </w:rPr>
        <w:t>t</w:t>
      </w:r>
      <w:r w:rsidRPr="00516910">
        <w:rPr>
          <w:rFonts w:ascii="Calibri" w:hAnsi="Calibri" w:cs="Calibri"/>
        </w:rPr>
        <w:t xml:space="preserve">esipersonalet </w:t>
      </w:r>
      <w:r>
        <w:rPr>
          <w:rFonts w:ascii="Calibri" w:hAnsi="Calibri" w:cs="Calibri"/>
        </w:rPr>
        <w:t xml:space="preserve">bør </w:t>
      </w:r>
      <w:r w:rsidRPr="00516910">
        <w:rPr>
          <w:rFonts w:ascii="Calibri" w:hAnsi="Calibri" w:cs="Calibri"/>
        </w:rPr>
        <w:t>ha en aktiv rolle ved utforming av fikseringen, sær</w:t>
      </w:r>
      <w:r>
        <w:rPr>
          <w:rFonts w:ascii="Calibri" w:hAnsi="Calibri" w:cs="Calibri"/>
        </w:rPr>
        <w:t>lig</w:t>
      </w:r>
      <w:r w:rsidRPr="00516910">
        <w:rPr>
          <w:rFonts w:ascii="Calibri" w:hAnsi="Calibri" w:cs="Calibri"/>
        </w:rPr>
        <w:t xml:space="preserve"> ved utforming av pasientspesifikt utstyr, som formbare puter, maske og va</w:t>
      </w:r>
      <w:r>
        <w:rPr>
          <w:rFonts w:ascii="Calibri" w:hAnsi="Calibri" w:cs="Calibri"/>
        </w:rPr>
        <w:t>kuumpute</w:t>
      </w:r>
      <w:r w:rsidRPr="00516910">
        <w:rPr>
          <w:rFonts w:ascii="Calibri" w:hAnsi="Calibri" w:cs="Calibri"/>
        </w:rPr>
        <w:t xml:space="preserve">. Det </w:t>
      </w:r>
      <w:r>
        <w:rPr>
          <w:rFonts w:ascii="Calibri" w:hAnsi="Calibri" w:cs="Calibri"/>
        </w:rPr>
        <w:t>er avgjørende at</w:t>
      </w:r>
      <w:r w:rsidRPr="00516910">
        <w:rPr>
          <w:rFonts w:ascii="Calibri" w:hAnsi="Calibri" w:cs="Calibri"/>
        </w:rPr>
        <w:t xml:space="preserve"> anestesiutstyr nær behandlingsområdet </w:t>
      </w:r>
      <w:r>
        <w:rPr>
          <w:rFonts w:ascii="Calibri" w:hAnsi="Calibri" w:cs="Calibri"/>
        </w:rPr>
        <w:t xml:space="preserve">kan reproduseres </w:t>
      </w:r>
      <w:r w:rsidRPr="00516910">
        <w:rPr>
          <w:rFonts w:ascii="Calibri" w:hAnsi="Calibri" w:cs="Calibri"/>
        </w:rPr>
        <w:t xml:space="preserve">likt ved hver behandlingsfraksjon. </w:t>
      </w:r>
      <w:r>
        <w:rPr>
          <w:rFonts w:ascii="Calibri" w:hAnsi="Calibri" w:cs="Calibri"/>
        </w:rPr>
        <w:t>Ha gjerne en plan for fiksering og plassering av anestesiutstyr før barnet kommer, og sørg for at det dokumenteres godt. Samme anestesistrategi bør benyttes ved planleggings-CT og behandling.</w:t>
      </w:r>
    </w:p>
    <w:p w:rsidR="007D7B5E" w:rsidP="00246F8B" w14:paraId="641A0045" w14:textId="77777777">
      <w:pPr>
        <w:rPr>
          <w:rFonts w:ascii="Calibri" w:hAnsi="Calibri" w:cs="Calibri"/>
        </w:rPr>
      </w:pPr>
    </w:p>
    <w:p w:rsidR="00246F8B" w:rsidP="00246F8B" w14:paraId="15A250A7" w14:textId="77777777">
      <w:pPr>
        <w:rPr>
          <w:rFonts w:ascii="Calibri" w:hAnsi="Calibri" w:cs="Calibri"/>
        </w:rPr>
      </w:pPr>
      <w:r w:rsidRPr="00323B63">
        <w:rPr>
          <w:rFonts w:ascii="Calibri" w:hAnsi="Calibri" w:cs="Calibri"/>
        </w:rPr>
        <w:t xml:space="preserve">Dersom </w:t>
      </w:r>
      <w:r>
        <w:rPr>
          <w:rFonts w:ascii="Calibri" w:hAnsi="Calibri" w:cs="Calibri"/>
        </w:rPr>
        <w:t xml:space="preserve">det er </w:t>
      </w:r>
      <w:r w:rsidRPr="00323B63">
        <w:rPr>
          <w:rFonts w:ascii="Calibri" w:hAnsi="Calibri" w:cs="Calibri"/>
        </w:rPr>
        <w:t>usikkert om an</w:t>
      </w:r>
      <w:r w:rsidRPr="00323B63">
        <w:rPr>
          <w:rFonts w:ascii="Calibri" w:hAnsi="Calibri" w:cs="Calibri"/>
        </w:rPr>
        <w:t>estesi er nødvendig kan egen fikseringstime bookes uten anestesi en dag eller to før CT-timen</w:t>
      </w:r>
      <w:r>
        <w:rPr>
          <w:rFonts w:ascii="Calibri" w:hAnsi="Calibri" w:cs="Calibri"/>
        </w:rPr>
        <w:t>, i tråd med lokal praksis</w:t>
      </w:r>
      <w:r w:rsidRPr="00323B63">
        <w:rPr>
          <w:rFonts w:ascii="Calibri" w:hAnsi="Calibri" w:cs="Calibri"/>
        </w:rPr>
        <w:t xml:space="preserve">. </w:t>
      </w:r>
      <w:r w:rsidRPr="009B6245">
        <w:rPr>
          <w:rFonts w:ascii="Calibri" w:hAnsi="Calibri" w:cs="Calibri"/>
        </w:rPr>
        <w:t>Opplegg med egen fikseringstime først</w:t>
      </w:r>
      <w:r>
        <w:rPr>
          <w:rFonts w:ascii="Calibri" w:hAnsi="Calibri" w:cs="Calibri"/>
        </w:rPr>
        <w:t>,</w:t>
      </w:r>
      <w:r w:rsidRPr="009B6245">
        <w:rPr>
          <w:rFonts w:ascii="Calibri" w:hAnsi="Calibri" w:cs="Calibri"/>
        </w:rPr>
        <w:t xml:space="preserve"> hvor man beregner god tid og hvor ikke pasienten er fastende, kan gi større mulighet for å unngå</w:t>
      </w:r>
      <w:r w:rsidRPr="009B6245">
        <w:rPr>
          <w:rFonts w:ascii="Calibri" w:hAnsi="Calibri" w:cs="Calibri"/>
        </w:rPr>
        <w:t xml:space="preserve"> anestesi</w:t>
      </w:r>
      <w:r>
        <w:rPr>
          <w:rFonts w:ascii="Calibri" w:hAnsi="Calibri" w:cs="Calibri"/>
        </w:rPr>
        <w:t xml:space="preserve"> for barn med usikkert anestesibehov. Hvis man konkluderer at anestesi likevel er nødvendig, tilpasses fiksering i forbindelse med CT-timen og CT tas med anestesi.</w:t>
      </w:r>
    </w:p>
    <w:p w:rsidR="00246F8B" w:rsidRPr="004803F7" w:rsidP="00246F8B" w14:paraId="546FFD18" w14:textId="77777777">
      <w:pPr>
        <w:rPr>
          <w:rFonts w:ascii="Times New Roman" w:hAnsi="Times New Roman"/>
          <w:szCs w:val="24"/>
        </w:rPr>
      </w:pPr>
    </w:p>
    <w:p w:rsidR="00246F8B" w:rsidP="00246F8B" w14:paraId="0EFCE5DF" w14:textId="77777777">
      <w:pPr>
        <w:pStyle w:val="Heading2"/>
      </w:pPr>
      <w:bookmarkStart w:id="7" w:name="_Toc256000005"/>
      <w:r w:rsidRPr="006603AA">
        <w:t>Bildegrunnlag</w:t>
      </w:r>
      <w:bookmarkEnd w:id="7"/>
    </w:p>
    <w:p w:rsidR="00246F8B" w:rsidP="00246F8B" w14:paraId="170B4F44" w14:textId="6885D254">
      <w:r>
        <w:t>Se generell</w:t>
      </w:r>
      <w:r w:rsidR="00611DB7">
        <w:t xml:space="preserve"> retningslinje </w:t>
      </w:r>
      <w:r>
        <w:t xml:space="preserve">for avbildning </w:t>
      </w:r>
      <w:r w:rsidR="00611DB7">
        <w:t>(</w:t>
      </w:r>
      <w:hyperlink r:id="rId9" w:tooltip="XDF78863" w:history="1">
        <w:r w:rsidRPr="00611DB7" w:rsidR="00611DB7">
          <w:rPr>
            <w:rStyle w:val="Hyperlink"/>
          </w:rPr>
          <w:fldChar w:fldCharType="begin" w:fldLock="1"/>
        </w:r>
        <w:r w:rsidRPr="00611DB7" w:rsidR="00611DB7">
          <w:rPr>
            <w:rStyle w:val="Hyperlink"/>
          </w:rPr>
          <w:instrText xml:space="preserve"> DOCPROPERTY XDT78863 *charformat * MERGEFORMAT </w:instrText>
        </w:r>
        <w:r w:rsidRPr="00611DB7" w:rsidR="00611DB7">
          <w:rPr>
            <w:rStyle w:val="Hyperlink"/>
          </w:rPr>
          <w:fldChar w:fldCharType="separate"/>
        </w:r>
        <w:r w:rsidRPr="00611DB7" w:rsidR="00611DB7">
          <w:rPr>
            <w:rStyle w:val="Hyperlink"/>
          </w:rPr>
          <w:t>Avbildning for protonterapi - retningslinje</w:t>
        </w:r>
        <w:r w:rsidRPr="00611DB7" w:rsidR="00611DB7">
          <w:rPr>
            <w:rStyle w:val="Hyperlink"/>
          </w:rPr>
          <w:fldChar w:fldCharType="end"/>
        </w:r>
      </w:hyperlink>
      <w:r w:rsidRPr="00611DB7" w:rsidR="00611DB7">
        <w:t xml:space="preserve"> </w:t>
      </w:r>
      <w:r w:rsidR="00611DB7">
        <w:t>)</w:t>
      </w:r>
      <w:r>
        <w:t>, samt aktuell barnespesifikk CT-protokoll.</w:t>
      </w:r>
    </w:p>
    <w:p w:rsidR="007D7B5E" w:rsidP="00246F8B" w14:paraId="3316CD0D" w14:textId="77777777"/>
    <w:p w:rsidR="00246F8B" w:rsidP="00246F8B" w14:paraId="27ECA079" w14:textId="77777777">
      <w:r>
        <w:t>CT for doseplanlegging r</w:t>
      </w:r>
      <w:r>
        <w:t>ekonstrueres med hensiktsmessig tynne snitt, for fremstilling av små strukturer og god kalkuleringsoppløsning ved doseplanlegging. Det er ønskelig å begrense Field of View og skannlengden for hhv. bedret oppløsning og dosereduksjon, men det er samtidig vik</w:t>
      </w:r>
      <w:r>
        <w:t xml:space="preserve">tig å påse at skannet dekker et stort nok område for pålitelig doseberegning. Dette inkluderer også alt fikseringsutstyr av betydning for strålefeltene, der nevnte utstyr ikke modelleres på annen måte i doseplanleggingssystemene. </w:t>
      </w:r>
    </w:p>
    <w:p w:rsidR="00246F8B" w:rsidP="00246F8B" w14:paraId="3BD50159" w14:textId="77777777">
      <w:r>
        <w:t>MR foretrekkes fremfor CT</w:t>
      </w:r>
      <w:r>
        <w:t xml:space="preserve"> der det er mulig, eksempelvis for inntegningshjelp, da man ikke ønsker unødvendig avbildningsdose. </w:t>
      </w:r>
    </w:p>
    <w:p w:rsidR="007D7B5E" w:rsidP="00246F8B" w14:paraId="0572495A" w14:textId="77777777"/>
    <w:p w:rsidR="00246F8B" w:rsidRPr="009F1D79" w:rsidP="00246F8B" w14:paraId="75A1806E" w14:textId="3C5EF3FD">
      <w:r w:rsidRPr="009F1D79">
        <w:rPr>
          <w:rFonts w:ascii="Calibri" w:hAnsi="Calibri" w:cs="Calibri"/>
        </w:rPr>
        <w:t xml:space="preserve">Ved behov for </w:t>
      </w:r>
      <w:r>
        <w:rPr>
          <w:rFonts w:ascii="Calibri" w:hAnsi="Calibri" w:cs="Calibri"/>
        </w:rPr>
        <w:t>sentralt venekateter (</w:t>
      </w:r>
      <w:r w:rsidRPr="009F1D79">
        <w:rPr>
          <w:rFonts w:ascii="Calibri" w:hAnsi="Calibri" w:cs="Calibri"/>
        </w:rPr>
        <w:t>S</w:t>
      </w:r>
      <w:r>
        <w:rPr>
          <w:rFonts w:ascii="Calibri" w:hAnsi="Calibri" w:cs="Calibri"/>
        </w:rPr>
        <w:t>VK)</w:t>
      </w:r>
      <w:r w:rsidRPr="009F1D79">
        <w:rPr>
          <w:rFonts w:ascii="Calibri" w:hAnsi="Calibri" w:cs="Calibri"/>
        </w:rPr>
        <w:t xml:space="preserve"> bør dette på plass før CT-timen. Tenk gjennom plassering relativt målvolumet,</w:t>
      </w:r>
      <w:r>
        <w:rPr>
          <w:rFonts w:ascii="Calibri" w:hAnsi="Calibri" w:cs="Calibri"/>
        </w:rPr>
        <w:t xml:space="preserve"> dvs.</w:t>
      </w:r>
      <w:r w:rsidRPr="009F1D79">
        <w:rPr>
          <w:rFonts w:ascii="Calibri" w:hAnsi="Calibri" w:cs="Calibri"/>
        </w:rPr>
        <w:t xml:space="preserve"> </w:t>
      </w:r>
      <w:r>
        <w:rPr>
          <w:rFonts w:ascii="Calibri" w:hAnsi="Calibri" w:cs="Calibri"/>
        </w:rPr>
        <w:t xml:space="preserve">se til </w:t>
      </w:r>
      <w:r w:rsidRPr="009F1D79">
        <w:rPr>
          <w:rFonts w:ascii="Calibri" w:hAnsi="Calibri" w:cs="Calibri"/>
        </w:rPr>
        <w:t xml:space="preserve">at </w:t>
      </w:r>
      <w:r>
        <w:rPr>
          <w:rFonts w:ascii="Calibri" w:hAnsi="Calibri" w:cs="Calibri"/>
        </w:rPr>
        <w:t>SVK</w:t>
      </w:r>
      <w:r w:rsidRPr="009F1D79">
        <w:rPr>
          <w:rFonts w:ascii="Calibri" w:hAnsi="Calibri" w:cs="Calibri"/>
        </w:rPr>
        <w:t xml:space="preserve"> ikke unødvendig blokkerer gunstige feltinnganger.</w:t>
      </w:r>
      <w:r w:rsidR="001659B1">
        <w:rPr>
          <w:rFonts w:ascii="Calibri" w:hAnsi="Calibri" w:cs="Calibri"/>
        </w:rPr>
        <w:t xml:space="preserve"> </w:t>
      </w:r>
      <w:r w:rsidR="006B77E2">
        <w:rPr>
          <w:rFonts w:ascii="Calibri" w:hAnsi="Calibri" w:cs="Calibri"/>
        </w:rPr>
        <w:t>For CT-opptak med kontrast</w:t>
      </w:r>
      <w:r w:rsidR="001659B1">
        <w:rPr>
          <w:rFonts w:ascii="Calibri" w:hAnsi="Calibri" w:cs="Calibri"/>
        </w:rPr>
        <w:t xml:space="preserve"> kan det være behov for venflon i tillegg. Dette er særlig viktig </w:t>
      </w:r>
      <w:r w:rsidR="006B77E2">
        <w:rPr>
          <w:rFonts w:ascii="Calibri" w:hAnsi="Calibri" w:cs="Calibri"/>
        </w:rPr>
        <w:t xml:space="preserve">å være forberedt på dersom barnet ikke skal ha anestesi, da barnet gjerne trenger god informasjon på forhånd og </w:t>
      </w:r>
      <w:r w:rsidR="0019139E">
        <w:rPr>
          <w:rFonts w:ascii="Calibri" w:hAnsi="Calibri" w:cs="Calibri"/>
        </w:rPr>
        <w:t>som oftest skal ha emla-plaster (lokalbedøvende krem) på stikkstedet, som trenger tid for å virke.</w:t>
      </w:r>
    </w:p>
    <w:p w:rsidR="00510BDF" w:rsidP="00066A58" w14:paraId="1503EC9A" w14:textId="77777777">
      <w:pPr>
        <w:spacing w:line="259" w:lineRule="auto"/>
        <w:rPr>
          <w:rFonts w:cstheme="minorHAnsi"/>
        </w:rPr>
      </w:pPr>
    </w:p>
    <w:p w:rsidR="00246F8B" w:rsidP="00066A58" w14:paraId="19948D76" w14:textId="77777777">
      <w:pPr>
        <w:pStyle w:val="Heading1"/>
        <w:spacing w:line="259" w:lineRule="auto"/>
      </w:pPr>
      <w:bookmarkStart w:id="8" w:name="_Toc256000006"/>
      <w:r>
        <w:t>Inntegning av volumer</w:t>
      </w:r>
      <w:bookmarkEnd w:id="8"/>
    </w:p>
    <w:p w:rsidR="00520F04" w:rsidRPr="002009DD" w:rsidP="00520F04" w14:paraId="30AF006C" w14:textId="77777777">
      <w:pPr>
        <w:pStyle w:val="Heading2"/>
      </w:pPr>
      <w:bookmarkStart w:id="9" w:name="_Toc256000007"/>
      <w:r>
        <w:t>Ikke-biologisk materiale</w:t>
      </w:r>
      <w:bookmarkEnd w:id="9"/>
    </w:p>
    <w:p w:rsidR="007D7B5E" w:rsidP="00520F04" w14:paraId="79AB4D3A" w14:textId="23B6703F">
      <w:r>
        <w:t xml:space="preserve">Alt </w:t>
      </w:r>
      <w:r>
        <w:t xml:space="preserve">fikseringsutstyr bør tegnes inn og tas hensyn til ved doseberegning. Metaller og implantater bør tegnes inn og håndteres i tråd med </w:t>
      </w:r>
      <w:r w:rsidR="00611DB7">
        <w:t xml:space="preserve">dokumentet </w:t>
      </w:r>
      <w:hyperlink r:id="rId10" w:tooltip="XDF78847" w:history="1">
        <w:r w:rsidRPr="00611DB7" w:rsidR="00611DB7">
          <w:rPr>
            <w:rStyle w:val="Hyperlink"/>
          </w:rPr>
          <w:fldChar w:fldCharType="begin" w:fldLock="1"/>
        </w:r>
        <w:r w:rsidRPr="00611DB7" w:rsidR="00611DB7">
          <w:rPr>
            <w:rStyle w:val="Hyperlink"/>
          </w:rPr>
          <w:instrText xml:space="preserve"> DOCPROPERTY XDT78847 *charformat * MERGEFORMAT </w:instrText>
        </w:r>
        <w:r w:rsidRPr="00611DB7" w:rsidR="00611DB7">
          <w:rPr>
            <w:rStyle w:val="Hyperlink"/>
          </w:rPr>
          <w:fldChar w:fldCharType="separate"/>
        </w:r>
        <w:r w:rsidRPr="00611DB7" w:rsidR="00611DB7">
          <w:rPr>
            <w:rStyle w:val="Hyperlink"/>
          </w:rPr>
          <w:t>Håndtering av implantat og artefakter ved protonbehandling</w:t>
        </w:r>
        <w:r w:rsidRPr="00611DB7" w:rsidR="00611DB7">
          <w:rPr>
            <w:rStyle w:val="Hyperlink"/>
          </w:rPr>
          <w:fldChar w:fldCharType="end"/>
        </w:r>
      </w:hyperlink>
      <w:r>
        <w:t>. Anestesiutstyr, inklusive eksterne slanger og ledninger, håndteres som implantater.</w:t>
      </w:r>
    </w:p>
    <w:p w:rsidR="00520F04" w:rsidRPr="00431093" w:rsidP="00520F04" w14:paraId="71807E43" w14:textId="77777777">
      <w:pPr>
        <w:rPr>
          <w:rFonts w:ascii="Times New Roman" w:hAnsi="Times New Roman"/>
          <w:szCs w:val="24"/>
        </w:rPr>
      </w:pPr>
    </w:p>
    <w:p w:rsidR="00520F04" w:rsidP="00520F04" w14:paraId="2C0081A0" w14:textId="77777777">
      <w:pPr>
        <w:pStyle w:val="Heading2"/>
      </w:pPr>
      <w:bookmarkStart w:id="10" w:name="_Toc256000008"/>
      <w:r w:rsidRPr="00CF7D0E">
        <w:t>Risikoorgan</w:t>
      </w:r>
      <w:bookmarkEnd w:id="10"/>
    </w:p>
    <w:p w:rsidR="00520F04" w:rsidP="00520F04" w14:paraId="2A79A01B" w14:textId="77777777">
      <w:r>
        <w:t>Hvilke risikoorganer som skal tegnes må vurd</w:t>
      </w:r>
      <w:r>
        <w:t>eres individuelt avhengig av diagnose, målvolumets lokalisasjon, behandlingsintensjon, fraksjonering og totaldose. Generelt tegnes risikoorganer som angitt i aktuell behandlingsprotokoll. Om ikke annet er angitt følges områdespesifikke prosedyrer, og risik</w:t>
      </w:r>
      <w:r>
        <w:t xml:space="preserve">oorganer tegnes på lik linje som for voksne pasienter. Utviklingsfølsomme organer skal tegnes i tillegg, og er gjengitt i </w:t>
      </w:r>
      <w:r>
        <w:fldChar w:fldCharType="begin"/>
      </w:r>
      <w:r>
        <w:instrText xml:space="preserve"> REF _Ref160801662 \h </w:instrText>
      </w:r>
      <w:r>
        <w:fldChar w:fldCharType="separate"/>
      </w:r>
      <w:r>
        <w:t xml:space="preserve">Tabell </w:t>
      </w:r>
      <w:r>
        <w:t>2</w:t>
      </w:r>
      <w:r>
        <w:fldChar w:fldCharType="end"/>
      </w:r>
      <w:r>
        <w:t>. Merk at tabellen ikke nødvendigvis</w:t>
      </w:r>
      <w:r>
        <w:t xml:space="preserve"> er utfyllende og andre risikoområder som ikke dekkes her kan være aktuelle å tegne. </w:t>
      </w:r>
    </w:p>
    <w:p w:rsidR="00520F04" w:rsidRPr="00CF7D0E" w:rsidP="00520F04" w14:paraId="5B77CFB9" w14:textId="77777777"/>
    <w:p w:rsidR="00520F04" w:rsidP="00520F04" w14:paraId="17000281" w14:textId="77777777">
      <w:pPr>
        <w:pStyle w:val="Caption"/>
        <w:keepNext/>
        <w:rPr>
          <w:noProof/>
        </w:rPr>
      </w:pPr>
      <w:bookmarkStart w:id="11" w:name="_Ref160801662"/>
      <w:r>
        <w:t xml:space="preserve">Tabell </w:t>
      </w:r>
      <w:r>
        <w:fldChar w:fldCharType="begin"/>
      </w:r>
      <w:r>
        <w:instrText>SEQ Tabell \* ARABIC</w:instrText>
      </w:r>
      <w:r>
        <w:fldChar w:fldCharType="separate"/>
      </w:r>
      <w:r>
        <w:t>2</w:t>
      </w:r>
      <w:r>
        <w:fldChar w:fldCharType="end"/>
      </w:r>
      <w:bookmarkEnd w:id="11"/>
      <w:r w:rsidRPr="5DD4D21D">
        <w:rPr>
          <w:noProof/>
        </w:rPr>
        <w:t xml:space="preserve"> Oversikt over risikoorganer særskilt for barn og unge</w:t>
      </w:r>
      <w:r>
        <w:rPr>
          <w:noProof/>
        </w:rPr>
        <w:t>.</w:t>
      </w:r>
    </w:p>
    <w:tbl>
      <w:tblPr>
        <w:tblStyle w:val="GridTable4Accent1"/>
        <w:tblW w:w="7234" w:type="dxa"/>
        <w:tblLook w:val="04A0"/>
      </w:tblPr>
      <w:tblGrid>
        <w:gridCol w:w="1990"/>
        <w:gridCol w:w="5244"/>
      </w:tblGrid>
      <w:tr w14:paraId="32E3DF67" w14:textId="77777777" w:rsidTr="002155CF">
        <w:tblPrEx>
          <w:tblW w:w="7234" w:type="dxa"/>
          <w:tblLook w:val="04A0"/>
        </w:tblPrEx>
        <w:tc>
          <w:tcPr>
            <w:tcW w:w="1990" w:type="dxa"/>
          </w:tcPr>
          <w:p w:rsidR="00520F04" w:rsidRPr="00CF7D0E" w:rsidP="006E16E6" w14:paraId="766CC868" w14:textId="77777777">
            <w:pPr>
              <w:rPr>
                <w:sz w:val="16"/>
                <w:szCs w:val="16"/>
              </w:rPr>
            </w:pPr>
            <w:r>
              <w:rPr>
                <w:sz w:val="16"/>
                <w:szCs w:val="16"/>
              </w:rPr>
              <w:t>Struktur</w:t>
            </w:r>
          </w:p>
        </w:tc>
        <w:tc>
          <w:tcPr>
            <w:tcW w:w="5244" w:type="dxa"/>
          </w:tcPr>
          <w:p w:rsidR="00520F04" w:rsidRPr="00CF7D0E" w:rsidP="006E16E6" w14:paraId="46512ACD" w14:textId="77777777">
            <w:pPr>
              <w:rPr>
                <w:sz w:val="16"/>
              </w:rPr>
            </w:pPr>
            <w:r>
              <w:rPr>
                <w:sz w:val="16"/>
              </w:rPr>
              <w:t>Beskrivelse/Merknad</w:t>
            </w:r>
          </w:p>
        </w:tc>
      </w:tr>
      <w:tr w14:paraId="788D3F3E" w14:textId="77777777" w:rsidTr="002155CF">
        <w:tblPrEx>
          <w:tblW w:w="7234" w:type="dxa"/>
          <w:tblLook w:val="04A0"/>
        </w:tblPrEx>
        <w:tc>
          <w:tcPr>
            <w:tcW w:w="1990" w:type="dxa"/>
            <w:vAlign w:val="center"/>
          </w:tcPr>
          <w:p w:rsidR="00520F04" w:rsidRPr="007E0997" w:rsidP="006E16E6" w14:paraId="6AFE3F98" w14:textId="77777777">
            <w:pPr>
              <w:rPr>
                <w:sz w:val="16"/>
                <w:szCs w:val="16"/>
              </w:rPr>
            </w:pPr>
            <w:r w:rsidRPr="482BEE0A">
              <w:rPr>
                <w:sz w:val="16"/>
                <w:szCs w:val="16"/>
              </w:rPr>
              <w:t>Bone</w:t>
            </w:r>
          </w:p>
        </w:tc>
        <w:tc>
          <w:tcPr>
            <w:tcW w:w="5244" w:type="dxa"/>
          </w:tcPr>
          <w:p w:rsidR="00520F04" w:rsidRPr="0040517A" w:rsidP="006E16E6" w14:paraId="36DA8781" w14:textId="123C86BC">
            <w:pPr>
              <w:rPr>
                <w:sz w:val="16"/>
                <w:szCs w:val="16"/>
              </w:rPr>
            </w:pPr>
            <w:r>
              <w:rPr>
                <w:sz w:val="16"/>
                <w:szCs w:val="16"/>
              </w:rPr>
              <w:t>Defineres o</w:t>
            </w:r>
            <w:r w:rsidRPr="3F8B9016">
              <w:rPr>
                <w:sz w:val="16"/>
                <w:szCs w:val="16"/>
              </w:rPr>
              <w:t xml:space="preserve">gså mtp. </w:t>
            </w:r>
            <w:r>
              <w:rPr>
                <w:sz w:val="16"/>
                <w:szCs w:val="16"/>
              </w:rPr>
              <w:t>v</w:t>
            </w:r>
            <w:r w:rsidRPr="3F8B9016">
              <w:rPr>
                <w:sz w:val="16"/>
                <w:szCs w:val="16"/>
              </w:rPr>
              <w:t>ekstsoner</w:t>
            </w:r>
            <w:r>
              <w:rPr>
                <w:sz w:val="16"/>
                <w:szCs w:val="16"/>
              </w:rPr>
              <w:t>,</w:t>
            </w:r>
            <w:r w:rsidRPr="3F8B9016">
              <w:rPr>
                <w:sz w:val="16"/>
                <w:szCs w:val="16"/>
              </w:rPr>
              <w:t xml:space="preserve"> f.eks. i</w:t>
            </w:r>
            <w:r>
              <w:rPr>
                <w:sz w:val="16"/>
                <w:szCs w:val="16"/>
              </w:rPr>
              <w:t xml:space="preserve"> pelvis eller</w:t>
            </w:r>
            <w:r w:rsidRPr="3F8B9016">
              <w:rPr>
                <w:sz w:val="16"/>
                <w:szCs w:val="16"/>
              </w:rPr>
              <w:t xml:space="preserve"> ekstremiteter</w:t>
            </w:r>
            <w:r>
              <w:rPr>
                <w:sz w:val="16"/>
                <w:szCs w:val="16"/>
              </w:rPr>
              <w:t xml:space="preserve">. Vær obs på at doseplanleggingssystemenes autosegmenteringsalgoritmer ofte definerer bein basert på høyere HU-verdier og vekstsoner blir ikke alltid fullstendig inkludert; inntegning må følgelig justeres manuelt </w:t>
            </w:r>
            <w:hyperlink r:id="rId11" w:anchor="abss0001" w:history="1">
              <w:r w:rsidRPr="007D7B5E">
                <w:rPr>
                  <w:rStyle w:val="Hyperlink"/>
                  <w:sz w:val="16"/>
                  <w:szCs w:val="16"/>
                </w:rPr>
                <w:t xml:space="preserve">Risks of Spinal Abnormalities and Growth Impairment </w:t>
              </w:r>
              <w:r w:rsidRPr="007D7B5E">
                <w:rPr>
                  <w:rStyle w:val="Hyperlink"/>
                  <w:sz w:val="16"/>
                  <w:szCs w:val="16"/>
                </w:rPr>
                <w:t>After</w:t>
              </w:r>
              <w:r w:rsidRPr="007D7B5E">
                <w:rPr>
                  <w:rStyle w:val="Hyperlink"/>
                  <w:sz w:val="16"/>
                  <w:szCs w:val="16"/>
                </w:rPr>
                <w:t xml:space="preserve"> </w:t>
              </w:r>
              <w:r w:rsidRPr="007D7B5E">
                <w:rPr>
                  <w:rStyle w:val="Hyperlink"/>
                  <w:sz w:val="16"/>
                  <w:szCs w:val="16"/>
                </w:rPr>
                <w:t>Radiation</w:t>
              </w:r>
            </w:hyperlink>
            <w:r>
              <w:t xml:space="preserve"> </w:t>
            </w:r>
            <w:r>
              <w:rPr>
                <w:sz w:val="16"/>
                <w:szCs w:val="16"/>
              </w:rPr>
              <w:t>[</w:t>
            </w:r>
            <w:r w:rsidRPr="00E0019E" w:rsidR="00D81DD0">
              <w:rPr>
                <w:sz w:val="16"/>
                <w:szCs w:val="16"/>
              </w:rPr>
              <w:fldChar w:fldCharType="begin"/>
            </w:r>
            <w:r w:rsidRPr="00E0019E" w:rsidR="00D81DD0">
              <w:rPr>
                <w:sz w:val="16"/>
                <w:szCs w:val="16"/>
              </w:rPr>
              <w:instrText xml:space="preserve"> REF  Nanda \f  \* MERGEFORMAT </w:instrText>
            </w:r>
            <w:r w:rsidRPr="00E0019E" w:rsidR="00D81DD0">
              <w:rPr>
                <w:sz w:val="16"/>
                <w:szCs w:val="16"/>
              </w:rPr>
              <w:fldChar w:fldCharType="separate"/>
            </w:r>
            <w:r w:rsidRPr="00E0019E" w:rsidR="00E0019E">
              <w:rPr>
                <w:sz w:val="16"/>
                <w:szCs w:val="16"/>
              </w:rPr>
              <w:t>1</w:t>
            </w:r>
            <w:r w:rsidRPr="00E0019E" w:rsidR="00D81DD0">
              <w:rPr>
                <w:sz w:val="16"/>
                <w:szCs w:val="16"/>
              </w:rPr>
              <w:fldChar w:fldCharType="end"/>
            </w:r>
            <w:r w:rsidRPr="0040517A">
              <w:rPr>
                <w:sz w:val="16"/>
                <w:szCs w:val="16"/>
              </w:rPr>
              <w:t>].</w:t>
            </w:r>
          </w:p>
        </w:tc>
      </w:tr>
      <w:tr w14:paraId="796F2B1E" w14:textId="77777777" w:rsidTr="002155CF">
        <w:tblPrEx>
          <w:tblW w:w="7234" w:type="dxa"/>
          <w:tblLook w:val="04A0"/>
        </w:tblPrEx>
        <w:trPr>
          <w:trHeight w:val="300"/>
        </w:trPr>
        <w:tc>
          <w:tcPr>
            <w:tcW w:w="1990" w:type="dxa"/>
            <w:vAlign w:val="center"/>
          </w:tcPr>
          <w:p w:rsidR="00520F04" w:rsidP="006E16E6" w14:paraId="5DC0367E" w14:textId="77777777">
            <w:pPr>
              <w:rPr>
                <w:sz w:val="16"/>
                <w:szCs w:val="16"/>
              </w:rPr>
            </w:pPr>
            <w:r>
              <w:rPr>
                <w:sz w:val="16"/>
                <w:szCs w:val="16"/>
              </w:rPr>
              <w:t>Breast_L/R</w:t>
            </w:r>
          </w:p>
        </w:tc>
        <w:tc>
          <w:tcPr>
            <w:tcW w:w="5244" w:type="dxa"/>
          </w:tcPr>
          <w:p w:rsidR="00520F04" w:rsidP="006E16E6" w14:paraId="31F75B1D" w14:textId="77777777">
            <w:pPr>
              <w:rPr>
                <w:sz w:val="16"/>
                <w:szCs w:val="16"/>
              </w:rPr>
            </w:pPr>
          </w:p>
        </w:tc>
      </w:tr>
      <w:tr w14:paraId="2F065620" w14:textId="77777777" w:rsidTr="002155CF">
        <w:tblPrEx>
          <w:tblW w:w="7234" w:type="dxa"/>
          <w:tblLook w:val="04A0"/>
        </w:tblPrEx>
        <w:trPr>
          <w:trHeight w:val="300"/>
        </w:trPr>
        <w:tc>
          <w:tcPr>
            <w:tcW w:w="1990" w:type="dxa"/>
            <w:vAlign w:val="center"/>
          </w:tcPr>
          <w:p w:rsidR="00520F04" w:rsidP="006E16E6" w14:paraId="38D617F5" w14:textId="77777777">
            <w:pPr>
              <w:rPr>
                <w:sz w:val="16"/>
                <w:szCs w:val="16"/>
              </w:rPr>
            </w:pPr>
            <w:r>
              <w:rPr>
                <w:sz w:val="16"/>
                <w:szCs w:val="16"/>
              </w:rPr>
              <w:t>BreastBud</w:t>
            </w:r>
          </w:p>
        </w:tc>
        <w:tc>
          <w:tcPr>
            <w:tcW w:w="5244" w:type="dxa"/>
          </w:tcPr>
          <w:p w:rsidR="00520F04" w:rsidP="006E16E6" w14:paraId="0861E7CD" w14:textId="77777777">
            <w:pPr>
              <w:rPr>
                <w:sz w:val="16"/>
                <w:szCs w:val="16"/>
              </w:rPr>
            </w:pPr>
          </w:p>
        </w:tc>
      </w:tr>
      <w:tr w14:paraId="1F3C541E" w14:textId="77777777" w:rsidTr="002155CF">
        <w:tblPrEx>
          <w:tblW w:w="7234" w:type="dxa"/>
          <w:tblLook w:val="04A0"/>
        </w:tblPrEx>
        <w:trPr>
          <w:trHeight w:val="300"/>
        </w:trPr>
        <w:tc>
          <w:tcPr>
            <w:tcW w:w="1990" w:type="dxa"/>
            <w:vAlign w:val="center"/>
          </w:tcPr>
          <w:p w:rsidR="00520F04" w:rsidP="006E16E6" w14:paraId="2122DB60" w14:textId="77777777">
            <w:pPr>
              <w:rPr>
                <w:sz w:val="16"/>
                <w:szCs w:val="16"/>
              </w:rPr>
            </w:pPr>
            <w:r>
              <w:rPr>
                <w:sz w:val="16"/>
                <w:szCs w:val="16"/>
              </w:rPr>
              <w:t>Cerebellum</w:t>
            </w:r>
          </w:p>
        </w:tc>
        <w:tc>
          <w:tcPr>
            <w:tcW w:w="5244" w:type="dxa"/>
          </w:tcPr>
          <w:p w:rsidR="00520F04" w:rsidRPr="482BEE0A" w:rsidP="006E16E6" w14:paraId="5146ABDE" w14:textId="77777777">
            <w:pPr>
              <w:rPr>
                <w:sz w:val="16"/>
                <w:szCs w:val="16"/>
              </w:rPr>
            </w:pPr>
          </w:p>
        </w:tc>
      </w:tr>
      <w:tr w14:paraId="7071B446" w14:textId="77777777" w:rsidTr="002155CF">
        <w:tblPrEx>
          <w:tblW w:w="7234" w:type="dxa"/>
          <w:tblLook w:val="04A0"/>
        </w:tblPrEx>
        <w:trPr>
          <w:trHeight w:val="300"/>
        </w:trPr>
        <w:tc>
          <w:tcPr>
            <w:tcW w:w="1990" w:type="dxa"/>
            <w:vAlign w:val="center"/>
          </w:tcPr>
          <w:p w:rsidR="00520F04" w:rsidP="006E16E6" w14:paraId="6873CF06" w14:textId="77777777">
            <w:pPr>
              <w:rPr>
                <w:sz w:val="16"/>
                <w:szCs w:val="16"/>
              </w:rPr>
            </w:pPr>
            <w:r>
              <w:rPr>
                <w:sz w:val="16"/>
                <w:szCs w:val="16"/>
              </w:rPr>
              <w:t>Dentition</w:t>
            </w:r>
          </w:p>
        </w:tc>
        <w:tc>
          <w:tcPr>
            <w:tcW w:w="5244" w:type="dxa"/>
          </w:tcPr>
          <w:p w:rsidR="00520F04" w:rsidP="006E16E6" w14:paraId="3DDA0800" w14:textId="77777777">
            <w:pPr>
              <w:rPr>
                <w:sz w:val="16"/>
                <w:szCs w:val="16"/>
              </w:rPr>
            </w:pPr>
            <w:r w:rsidRPr="482BEE0A">
              <w:rPr>
                <w:sz w:val="16"/>
                <w:szCs w:val="16"/>
              </w:rPr>
              <w:t>Tann-anlegg</w:t>
            </w:r>
          </w:p>
        </w:tc>
      </w:tr>
      <w:tr w14:paraId="6B1927F8" w14:textId="77777777" w:rsidTr="002155CF">
        <w:tblPrEx>
          <w:tblW w:w="7234" w:type="dxa"/>
          <w:tblLook w:val="04A0"/>
        </w:tblPrEx>
        <w:trPr>
          <w:trHeight w:val="300"/>
        </w:trPr>
        <w:tc>
          <w:tcPr>
            <w:tcW w:w="1990" w:type="dxa"/>
            <w:vAlign w:val="center"/>
          </w:tcPr>
          <w:p w:rsidR="00520F04" w:rsidP="006E16E6" w14:paraId="551DDE2F" w14:textId="77777777">
            <w:pPr>
              <w:rPr>
                <w:sz w:val="16"/>
                <w:szCs w:val="16"/>
              </w:rPr>
            </w:pPr>
            <w:r>
              <w:rPr>
                <w:sz w:val="16"/>
                <w:szCs w:val="16"/>
              </w:rPr>
              <w:t>FrontalLobe</w:t>
            </w:r>
          </w:p>
        </w:tc>
        <w:tc>
          <w:tcPr>
            <w:tcW w:w="5244" w:type="dxa"/>
          </w:tcPr>
          <w:p w:rsidR="00520F04" w:rsidRPr="482BEE0A" w:rsidP="006E16E6" w14:paraId="75E19B8B" w14:textId="77777777">
            <w:pPr>
              <w:rPr>
                <w:sz w:val="16"/>
                <w:szCs w:val="16"/>
              </w:rPr>
            </w:pPr>
          </w:p>
        </w:tc>
      </w:tr>
      <w:tr w14:paraId="1E188187" w14:textId="77777777" w:rsidTr="002155CF">
        <w:tblPrEx>
          <w:tblW w:w="7234" w:type="dxa"/>
          <w:tblLook w:val="04A0"/>
        </w:tblPrEx>
        <w:trPr>
          <w:trHeight w:val="236"/>
        </w:trPr>
        <w:tc>
          <w:tcPr>
            <w:tcW w:w="1990" w:type="dxa"/>
            <w:vAlign w:val="center"/>
          </w:tcPr>
          <w:p w:rsidR="00520F04" w:rsidRPr="004A75AA" w:rsidP="006E16E6" w14:paraId="3F1F3454" w14:textId="77777777">
            <w:pPr>
              <w:rPr>
                <w:rFonts w:ascii="Times New Roman" w:hAnsi="Times New Roman" w:cs="Times New Roman"/>
                <w:szCs w:val="24"/>
                <w:lang w:eastAsia="nb-NO"/>
              </w:rPr>
            </w:pPr>
            <w:r>
              <w:rPr>
                <w:sz w:val="16"/>
                <w:szCs w:val="16"/>
              </w:rPr>
              <w:t>Ovary</w:t>
            </w:r>
            <w:r w:rsidRPr="008B1E1E">
              <w:rPr>
                <w:sz w:val="16"/>
                <w:szCs w:val="16"/>
              </w:rPr>
              <w:t xml:space="preserve"> </w:t>
            </w:r>
          </w:p>
        </w:tc>
        <w:tc>
          <w:tcPr>
            <w:tcW w:w="5244" w:type="dxa"/>
          </w:tcPr>
          <w:p w:rsidR="00520F04" w:rsidRPr="00BA3C12" w:rsidP="006E16E6" w14:paraId="2B274F43" w14:textId="5A2D158A">
            <w:pPr>
              <w:rPr>
                <w:sz w:val="16"/>
                <w:szCs w:val="16"/>
              </w:rPr>
            </w:pPr>
            <w:r w:rsidRPr="00BA3C12">
              <w:rPr>
                <w:sz w:val="16"/>
                <w:szCs w:val="16"/>
              </w:rPr>
              <w:t xml:space="preserve">Se beskrivelse i Far-RMS protokollen og </w:t>
            </w:r>
            <w:hyperlink r:id="rId12" w:history="1">
              <w:r w:rsidRPr="007D7B5E">
                <w:rPr>
                  <w:rStyle w:val="Hyperlink"/>
                  <w:sz w:val="16"/>
                  <w:szCs w:val="16"/>
                </w:rPr>
                <w:t>RTOG Consensus Panel ATLAS</w:t>
              </w:r>
            </w:hyperlink>
            <w:r w:rsidRPr="007D7B5E">
              <w:rPr>
                <w:sz w:val="16"/>
                <w:szCs w:val="16"/>
              </w:rPr>
              <w:t xml:space="preserve"> </w:t>
            </w:r>
            <w:r w:rsidRPr="00BA3C12">
              <w:rPr>
                <w:sz w:val="16"/>
                <w:szCs w:val="16"/>
              </w:rPr>
              <w:t>[</w:t>
            </w:r>
            <w:r w:rsidRPr="00E0019E">
              <w:rPr>
                <w:sz w:val="16"/>
                <w:szCs w:val="16"/>
              </w:rPr>
              <w:fldChar w:fldCharType="begin"/>
            </w:r>
            <w:r w:rsidRPr="00E0019E">
              <w:rPr>
                <w:sz w:val="16"/>
                <w:szCs w:val="16"/>
              </w:rPr>
              <w:instrText xml:space="preserve"> REF Gay \h  \* MERGEFO</w:instrText>
            </w:r>
            <w:r w:rsidRPr="00E0019E">
              <w:rPr>
                <w:sz w:val="16"/>
                <w:szCs w:val="16"/>
              </w:rPr>
              <w:instrText xml:space="preserve">RMAT </w:instrText>
            </w:r>
            <w:r w:rsidRPr="00E0019E">
              <w:rPr>
                <w:sz w:val="16"/>
                <w:szCs w:val="16"/>
              </w:rPr>
              <w:fldChar w:fldCharType="separate"/>
            </w:r>
            <w:r w:rsidRPr="00E0019E" w:rsidR="00E0019E">
              <w:rPr>
                <w:sz w:val="16"/>
                <w:szCs w:val="16"/>
              </w:rPr>
              <w:t>2</w:t>
            </w:r>
            <w:r w:rsidRPr="00E0019E">
              <w:rPr>
                <w:sz w:val="16"/>
                <w:szCs w:val="16"/>
              </w:rPr>
              <w:fldChar w:fldCharType="end"/>
            </w:r>
            <w:r w:rsidRPr="00BA3C12">
              <w:rPr>
                <w:sz w:val="16"/>
                <w:szCs w:val="16"/>
              </w:rPr>
              <w:t>].</w:t>
            </w:r>
          </w:p>
        </w:tc>
      </w:tr>
      <w:tr w14:paraId="2C8794E7" w14:textId="77777777" w:rsidTr="002155CF">
        <w:tblPrEx>
          <w:tblW w:w="7234" w:type="dxa"/>
          <w:tblLook w:val="04A0"/>
        </w:tblPrEx>
        <w:trPr>
          <w:trHeight w:val="268"/>
        </w:trPr>
        <w:tc>
          <w:tcPr>
            <w:tcW w:w="1990" w:type="dxa"/>
            <w:vAlign w:val="center"/>
          </w:tcPr>
          <w:p w:rsidR="00520F04" w:rsidRPr="482BEE0A" w:rsidP="006E16E6" w14:paraId="2D2DD6C2" w14:textId="77777777">
            <w:pPr>
              <w:rPr>
                <w:sz w:val="16"/>
                <w:szCs w:val="16"/>
              </w:rPr>
            </w:pPr>
            <w:r>
              <w:rPr>
                <w:sz w:val="16"/>
                <w:szCs w:val="16"/>
              </w:rPr>
              <w:t>TeporalLobe_L/R</w:t>
            </w:r>
          </w:p>
        </w:tc>
        <w:tc>
          <w:tcPr>
            <w:tcW w:w="5244" w:type="dxa"/>
          </w:tcPr>
          <w:p w:rsidR="00520F04" w:rsidRPr="00CF7D0E" w:rsidP="006E16E6" w14:paraId="5294AB97" w14:textId="77777777">
            <w:pPr>
              <w:rPr>
                <w:rFonts w:ascii="Calibri" w:hAnsi="Calibri" w:cs="Calibri"/>
                <w:sz w:val="16"/>
                <w:szCs w:val="16"/>
              </w:rPr>
            </w:pPr>
          </w:p>
        </w:tc>
      </w:tr>
      <w:tr w14:paraId="57883F19" w14:textId="77777777" w:rsidTr="002155CF">
        <w:tblPrEx>
          <w:tblW w:w="7234" w:type="dxa"/>
          <w:tblLook w:val="04A0"/>
        </w:tblPrEx>
        <w:trPr>
          <w:trHeight w:val="286"/>
        </w:trPr>
        <w:tc>
          <w:tcPr>
            <w:tcW w:w="1990" w:type="dxa"/>
            <w:vAlign w:val="center"/>
          </w:tcPr>
          <w:p w:rsidR="00520F04" w:rsidRPr="007E0997" w:rsidP="006E16E6" w14:paraId="68681B9C" w14:textId="77777777">
            <w:pPr>
              <w:rPr>
                <w:sz w:val="16"/>
                <w:szCs w:val="16"/>
              </w:rPr>
            </w:pPr>
            <w:r w:rsidRPr="482BEE0A">
              <w:rPr>
                <w:sz w:val="16"/>
                <w:szCs w:val="16"/>
              </w:rPr>
              <w:t>Testis</w:t>
            </w:r>
          </w:p>
        </w:tc>
        <w:tc>
          <w:tcPr>
            <w:tcW w:w="5244" w:type="dxa"/>
          </w:tcPr>
          <w:p w:rsidR="00520F04" w:rsidRPr="00CF7D0E" w:rsidP="006E16E6" w14:paraId="7CF82AA0" w14:textId="77777777">
            <w:pPr>
              <w:rPr>
                <w:rFonts w:ascii="Calibri" w:hAnsi="Calibri" w:cs="Calibri"/>
                <w:sz w:val="16"/>
                <w:szCs w:val="16"/>
              </w:rPr>
            </w:pPr>
          </w:p>
        </w:tc>
      </w:tr>
      <w:tr w14:paraId="1E3BA0BF" w14:textId="77777777" w:rsidTr="002155CF">
        <w:tblPrEx>
          <w:tblW w:w="7234" w:type="dxa"/>
          <w:tblLook w:val="04A0"/>
        </w:tblPrEx>
        <w:tc>
          <w:tcPr>
            <w:tcW w:w="1990" w:type="dxa"/>
            <w:vAlign w:val="center"/>
          </w:tcPr>
          <w:p w:rsidR="00520F04" w:rsidP="006E16E6" w14:paraId="20E98F68" w14:textId="77777777">
            <w:pPr>
              <w:rPr>
                <w:sz w:val="16"/>
                <w:szCs w:val="16"/>
              </w:rPr>
            </w:pPr>
            <w:r w:rsidRPr="482BEE0A">
              <w:rPr>
                <w:sz w:val="16"/>
                <w:szCs w:val="16"/>
              </w:rPr>
              <w:t>VB</w:t>
            </w:r>
          </w:p>
        </w:tc>
        <w:tc>
          <w:tcPr>
            <w:tcW w:w="5244" w:type="dxa"/>
          </w:tcPr>
          <w:p w:rsidR="00520F04" w:rsidRPr="007E30B1" w:rsidP="006E16E6" w14:paraId="3B2F3CC8" w14:textId="4980FD50">
            <w:pPr>
              <w:rPr>
                <w:rFonts w:ascii="Calibri" w:eastAsia="Calibri" w:hAnsi="Calibri" w:cs="Calibri"/>
                <w:sz w:val="16"/>
                <w:szCs w:val="16"/>
              </w:rPr>
            </w:pPr>
            <w:r w:rsidRPr="482BEE0A">
              <w:rPr>
                <w:rFonts w:ascii="Calibri" w:eastAsia="Calibri" w:hAnsi="Calibri" w:cs="Calibri"/>
                <w:color w:val="000000" w:themeColor="text1"/>
                <w:sz w:val="16"/>
                <w:szCs w:val="16"/>
              </w:rPr>
              <w:t xml:space="preserve">Vertebral Body er en hjelpestruktur som skal tegnes på prepubertale barn for å sikre jevn dose over columna. Dette minsker sjanse for skjev vekst. </w:t>
            </w:r>
            <w:r w:rsidRPr="00CA656B">
              <w:rPr>
                <w:rFonts w:ascii="Calibri" w:eastAsia="Calibri" w:hAnsi="Calibri" w:cs="Calibri"/>
                <w:color w:val="000000" w:themeColor="text1"/>
                <w:sz w:val="16"/>
                <w:szCs w:val="16"/>
              </w:rPr>
              <w:t xml:space="preserve">Tegnes som beskrevet </w:t>
            </w:r>
            <w:r w:rsidRPr="007D7B5E">
              <w:rPr>
                <w:rFonts w:ascii="Calibri" w:eastAsia="Calibri" w:hAnsi="Calibri" w:cs="Calibri"/>
                <w:color w:val="000000" w:themeColor="text1"/>
                <w:sz w:val="16"/>
                <w:szCs w:val="16"/>
              </w:rPr>
              <w:t xml:space="preserve">i </w:t>
            </w:r>
            <w:hyperlink r:id="rId13">
              <w:r w:rsidRPr="007D7B5E">
                <w:rPr>
                  <w:rStyle w:val="Hyperlink"/>
                  <w:rFonts w:ascii="Calibri" w:eastAsia="Calibri" w:hAnsi="Calibri" w:cs="Calibri"/>
                  <w:sz w:val="16"/>
                  <w:szCs w:val="16"/>
                </w:rPr>
                <w:t>C</w:t>
              </w:r>
              <w:r w:rsidRPr="007D7B5E">
                <w:rPr>
                  <w:rStyle w:val="Hyperlink"/>
                  <w:rFonts w:ascii="Calibri" w:eastAsia="Calibri" w:hAnsi="Calibri" w:cs="Calibri"/>
                  <w:sz w:val="16"/>
                  <w:szCs w:val="16"/>
                </w:rPr>
                <w:t xml:space="preserve">onsensus recommendations from the SIOPE radiotherapy </w:t>
              </w:r>
              <w:r w:rsidRPr="007D7B5E">
                <w:rPr>
                  <w:rStyle w:val="Hyperlink"/>
                  <w:rFonts w:ascii="Calibri" w:eastAsia="Calibri" w:hAnsi="Calibri" w:cs="Calibri"/>
                  <w:sz w:val="16"/>
                  <w:szCs w:val="16"/>
                </w:rPr>
                <w:t>working</w:t>
              </w:r>
              <w:r w:rsidRPr="007D7B5E">
                <w:rPr>
                  <w:rStyle w:val="Hyperlink"/>
                  <w:rFonts w:ascii="Calibri" w:eastAsia="Calibri" w:hAnsi="Calibri" w:cs="Calibri"/>
                  <w:sz w:val="16"/>
                  <w:szCs w:val="16"/>
                </w:rPr>
                <w:t xml:space="preserve"> </w:t>
              </w:r>
              <w:r w:rsidRPr="007D7B5E">
                <w:rPr>
                  <w:rStyle w:val="Hyperlink"/>
                  <w:rFonts w:ascii="Calibri" w:eastAsia="Calibri" w:hAnsi="Calibri" w:cs="Calibri"/>
                  <w:sz w:val="16"/>
                  <w:szCs w:val="16"/>
                </w:rPr>
                <w:t>group</w:t>
              </w:r>
            </w:hyperlink>
            <w:r w:rsidRPr="00CA656B">
              <w:rPr>
                <w:rFonts w:ascii="Calibri" w:eastAsia="Calibri" w:hAnsi="Calibri" w:cs="Calibri"/>
                <w:color w:val="000000" w:themeColor="text1"/>
                <w:sz w:val="16"/>
                <w:szCs w:val="16"/>
              </w:rPr>
              <w:t xml:space="preserve"> [</w:t>
            </w:r>
            <w:r w:rsidRPr="0047177C">
              <w:rPr>
                <w:rFonts w:ascii="Calibri" w:eastAsia="Calibri" w:hAnsi="Calibri" w:cs="Calibri"/>
                <w:color w:val="000000" w:themeColor="text1"/>
                <w:sz w:val="16"/>
                <w:szCs w:val="16"/>
              </w:rPr>
              <w:fldChar w:fldCharType="begin"/>
            </w:r>
            <w:r w:rsidRPr="0047177C">
              <w:rPr>
                <w:rFonts w:ascii="Calibri" w:eastAsia="Calibri" w:hAnsi="Calibri" w:cs="Calibri"/>
                <w:color w:val="000000" w:themeColor="text1"/>
                <w:sz w:val="16"/>
                <w:szCs w:val="16"/>
              </w:rPr>
              <w:instrText xml:space="preserve"> REF Hoeben \h  \* MERGEFORMAT </w:instrText>
            </w:r>
            <w:r w:rsidRPr="0047177C">
              <w:rPr>
                <w:rFonts w:ascii="Calibri" w:eastAsia="Calibri" w:hAnsi="Calibri" w:cs="Calibri"/>
                <w:color w:val="000000" w:themeColor="text1"/>
                <w:sz w:val="16"/>
                <w:szCs w:val="16"/>
              </w:rPr>
              <w:fldChar w:fldCharType="separate"/>
            </w:r>
            <w:r w:rsidRPr="0047177C" w:rsidR="0047177C">
              <w:rPr>
                <w:rFonts w:ascii="Calibri" w:eastAsia="Calibri" w:hAnsi="Calibri" w:cs="Calibri"/>
                <w:color w:val="000000" w:themeColor="text1"/>
                <w:sz w:val="16"/>
                <w:szCs w:val="16"/>
              </w:rPr>
              <w:t>3</w:t>
            </w:r>
            <w:r w:rsidRPr="0047177C">
              <w:rPr>
                <w:rFonts w:ascii="Calibri" w:eastAsia="Calibri" w:hAnsi="Calibri" w:cs="Calibri"/>
                <w:color w:val="000000" w:themeColor="text1"/>
                <w:sz w:val="16"/>
                <w:szCs w:val="16"/>
              </w:rPr>
              <w:fldChar w:fldCharType="end"/>
            </w:r>
            <w:r w:rsidRPr="007E30B1">
              <w:rPr>
                <w:rFonts w:ascii="Calibri" w:eastAsia="Calibri" w:hAnsi="Calibri" w:cs="Calibri"/>
                <w:color w:val="000000" w:themeColor="text1"/>
                <w:sz w:val="16"/>
                <w:szCs w:val="16"/>
              </w:rPr>
              <w:t xml:space="preserve">], eksempel vist i </w:t>
            </w:r>
            <w:r w:rsidRPr="00611DB7" w:rsidR="00611DB7">
              <w:rPr>
                <w:rFonts w:ascii="Calibri" w:eastAsia="Calibri" w:hAnsi="Calibri" w:cs="Calibri"/>
                <w:color w:val="000000" w:themeColor="text1"/>
                <w:sz w:val="16"/>
                <w:szCs w:val="16"/>
                <w:lang w:val="en-US"/>
              </w:rPr>
              <w:fldChar w:fldCharType="begin"/>
            </w:r>
            <w:r w:rsidRPr="007E30B1" w:rsidR="00611DB7">
              <w:rPr>
                <w:rFonts w:ascii="Calibri" w:eastAsia="Calibri" w:hAnsi="Calibri" w:cs="Calibri"/>
                <w:color w:val="000000" w:themeColor="text1"/>
                <w:sz w:val="16"/>
                <w:szCs w:val="16"/>
              </w:rPr>
              <w:instrText xml:space="preserve"> REF _Ref167440844 \h  \* MERGEFORMAT </w:instrText>
            </w:r>
            <w:r w:rsidRPr="00611DB7" w:rsidR="00611DB7">
              <w:rPr>
                <w:rFonts w:ascii="Calibri" w:eastAsia="Calibri" w:hAnsi="Calibri" w:cs="Calibri"/>
                <w:color w:val="000000" w:themeColor="text1"/>
                <w:sz w:val="16"/>
                <w:szCs w:val="16"/>
                <w:lang w:val="en-US"/>
              </w:rPr>
              <w:fldChar w:fldCharType="separate"/>
            </w:r>
            <w:r w:rsidRPr="007E30B1" w:rsidR="00611DB7">
              <w:rPr>
                <w:sz w:val="16"/>
                <w:szCs w:val="16"/>
              </w:rPr>
              <w:t xml:space="preserve">Figur </w:t>
            </w:r>
            <w:r w:rsidRPr="007E30B1" w:rsidR="00611DB7">
              <w:rPr>
                <w:noProof/>
                <w:sz w:val="16"/>
                <w:szCs w:val="16"/>
              </w:rPr>
              <w:t>1</w:t>
            </w:r>
            <w:r w:rsidRPr="00611DB7" w:rsidR="00611DB7">
              <w:rPr>
                <w:rFonts w:ascii="Calibri" w:eastAsia="Calibri" w:hAnsi="Calibri" w:cs="Calibri"/>
                <w:color w:val="000000" w:themeColor="text1"/>
                <w:sz w:val="16"/>
                <w:szCs w:val="16"/>
                <w:lang w:val="en-US"/>
              </w:rPr>
              <w:fldChar w:fldCharType="end"/>
            </w:r>
          </w:p>
        </w:tc>
      </w:tr>
    </w:tbl>
    <w:p w:rsidR="00611DB7" w:rsidP="00611DB7" w14:paraId="14CBE2E3" w14:textId="77777777">
      <w:pPr>
        <w:keepNext/>
        <w:spacing w:before="240"/>
      </w:pPr>
      <w:r>
        <w:rPr>
          <w:noProof/>
        </w:rPr>
        <w:drawing>
          <wp:inline distT="0" distB="0" distL="0" distR="0">
            <wp:extent cx="2843562" cy="2332990"/>
            <wp:effectExtent l="0" t="0" r="0" b="0"/>
            <wp:docPr id="1365570262" name="Bilde 136557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570262" name=""/>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rcRect l="50647"/>
                    <a:stretch>
                      <a:fillRect/>
                    </a:stretch>
                  </pic:blipFill>
                  <pic:spPr bwMode="auto">
                    <a:xfrm>
                      <a:off x="0" y="0"/>
                      <a:ext cx="2844797" cy="2334003"/>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520F04" w:rsidP="00520F04" w14:paraId="3EA92A4F" w14:textId="46B26B1C">
      <w:pPr>
        <w:pStyle w:val="Caption"/>
        <w:rPr>
          <w:lang w:val="en-US"/>
        </w:rPr>
      </w:pPr>
      <w:bookmarkStart w:id="12" w:name="_Ref167440844"/>
      <w:r>
        <w:t xml:space="preserve">Figur </w:t>
      </w:r>
      <w:r>
        <w:fldChar w:fldCharType="begin"/>
      </w:r>
      <w:r>
        <w:instrText xml:space="preserve"> SEQ Figur \* ARABIC </w:instrText>
      </w:r>
      <w:r>
        <w:fldChar w:fldCharType="separate"/>
      </w:r>
      <w:r>
        <w:t>1</w:t>
      </w:r>
      <w:r>
        <w:rPr>
          <w:noProof/>
        </w:rPr>
        <w:fldChar w:fldCharType="end"/>
      </w:r>
      <w:bookmarkEnd w:id="12"/>
      <w:r w:rsidRPr="00611DB7">
        <w:t xml:space="preserve"> </w:t>
      </w:r>
      <w:r>
        <w:t xml:space="preserve">Eksempel på inntegning av Vertebral Body, som inkluderer primære ossifikasjonssentre. Sekundære ossifikasjonssentre er ikke av betydning for vekstutviklingen og kan utelates. </w:t>
      </w:r>
      <w:r w:rsidRPr="007A356D">
        <w:rPr>
          <w:lang w:val="en-US"/>
        </w:rPr>
        <w:t xml:space="preserve">Illustrasjonen er et utsnitt av figur 3 i </w:t>
      </w:r>
      <w:hyperlink r:id="rId13" w:history="1">
        <w:r w:rsidRPr="007A356D">
          <w:rPr>
            <w:rStyle w:val="Hyperlink"/>
            <w:sz w:val="18"/>
            <w:lang w:val="en-US"/>
          </w:rPr>
          <w:t>Consensus recommendations from the SIOPE radiotherapy working group</w:t>
        </w:r>
      </w:hyperlink>
      <w:r w:rsidRPr="007A356D">
        <w:rPr>
          <w:lang w:val="en-US"/>
        </w:rPr>
        <w:t xml:space="preserve"> [</w:t>
      </w:r>
      <w:r w:rsidRPr="0047177C">
        <w:fldChar w:fldCharType="begin"/>
      </w:r>
      <w:r w:rsidRPr="0047177C">
        <w:rPr>
          <w:lang w:val="en-US"/>
        </w:rPr>
        <w:instrText xml:space="preserve"> REF Hoeben \h </w:instrText>
      </w:r>
      <w:r w:rsidRPr="0047177C" w:rsidR="001823C1">
        <w:rPr>
          <w:lang w:val="en-US"/>
        </w:rPr>
        <w:instrText xml:space="preserve"> \* MERGEFORMAT </w:instrText>
      </w:r>
      <w:r w:rsidRPr="0047177C">
        <w:fldChar w:fldCharType="separate"/>
      </w:r>
      <w:r w:rsidRPr="0047177C" w:rsidR="0047177C">
        <w:rPr>
          <w:lang w:val="en-US"/>
        </w:rPr>
        <w:t>3</w:t>
      </w:r>
      <w:r w:rsidRPr="0047177C">
        <w:fldChar w:fldCharType="end"/>
      </w:r>
      <w:r w:rsidRPr="007A356D">
        <w:rPr>
          <w:lang w:val="en-US"/>
        </w:rPr>
        <w:t>].</w:t>
      </w:r>
    </w:p>
    <w:p w:rsidR="00520F04" w:rsidRPr="00CF7D0E" w:rsidP="00520F04" w14:paraId="7AC8F23C" w14:textId="77777777">
      <w:pPr>
        <w:pStyle w:val="Heading2"/>
      </w:pPr>
      <w:bookmarkStart w:id="13" w:name="_Toc256000009"/>
      <w:r w:rsidRPr="00CD5747">
        <w:t>Målvolum</w:t>
      </w:r>
      <w:bookmarkEnd w:id="13"/>
    </w:p>
    <w:p w:rsidR="00520F04" w:rsidRPr="00CF7D0E" w:rsidP="00520F04" w14:paraId="0A01EA53" w14:textId="77777777">
      <w:pPr>
        <w:rPr>
          <w:color w:val="FF0000"/>
        </w:rPr>
      </w:pPr>
      <w:r>
        <w:t xml:space="preserve">De fleste barneprotokollene har egne inntegningsretningslinjer, som må følges. </w:t>
      </w:r>
      <w:r w:rsidRPr="5790D192">
        <w:rPr>
          <w:rFonts w:ascii="Calibri" w:hAnsi="Calibri" w:cs="Calibri"/>
        </w:rPr>
        <w:t xml:space="preserve">Påse alltid at de siste oppdaterte retningslinjene </w:t>
      </w:r>
      <w:r>
        <w:rPr>
          <w:rFonts w:ascii="Calibri" w:hAnsi="Calibri" w:cs="Calibri"/>
        </w:rPr>
        <w:t>følges.</w:t>
      </w:r>
    </w:p>
    <w:p w:rsidR="00246F8B" w:rsidRPr="00246F8B" w:rsidP="00246F8B" w14:paraId="6C6870C4" w14:textId="77777777"/>
    <w:p w:rsidR="00246F8B" w:rsidP="00066A58" w14:paraId="4090F180" w14:textId="77777777">
      <w:pPr>
        <w:pStyle w:val="Heading1"/>
        <w:spacing w:line="259" w:lineRule="auto"/>
      </w:pPr>
      <w:bookmarkStart w:id="14" w:name="_Toc256000010"/>
      <w:r>
        <w:t>Protonplanlegging</w:t>
      </w:r>
      <w:bookmarkEnd w:id="14"/>
    </w:p>
    <w:p w:rsidR="00520F04" w:rsidP="00520F04" w14:paraId="28C5C059" w14:textId="77777777">
      <w:pPr>
        <w:rPr>
          <w:color w:val="000000" w:themeColor="text1"/>
        </w:rPr>
      </w:pPr>
      <w:r>
        <w:rPr>
          <w:color w:val="000000" w:themeColor="text1"/>
        </w:rPr>
        <w:t xml:space="preserve">Doseplanlegging av barn følger i all hovedsak samme tilnærming som ved doseplanlegging av </w:t>
      </w:r>
      <w:r>
        <w:rPr>
          <w:color w:val="000000" w:themeColor="text1"/>
        </w:rPr>
        <w:t>aktuelt behandlingsområde hos voksne. For generelt planoppsett henvises det derfor til aktuelle områdespesifikke retningslinjer for protonplanlegging, om ikke annet er gitt av aktuell behandlingsprotokoll. Under følger en oversikt over spesielle hensyn ved</w:t>
      </w:r>
      <w:r>
        <w:rPr>
          <w:color w:val="000000" w:themeColor="text1"/>
        </w:rPr>
        <w:t xml:space="preserve"> protonplanlegging av barn, som skal følges i tillegg. Der informasjon i aktuell planleggingsretningslinje avviker fra denne retningslinjen, er det informasjonen i dette dokumentet som gjelder.</w:t>
      </w:r>
    </w:p>
    <w:p w:rsidR="00520F04" w:rsidP="00520F04" w14:paraId="1C3B28D5" w14:textId="77777777">
      <w:pPr>
        <w:rPr>
          <w:color w:val="000000" w:themeColor="text1"/>
        </w:rPr>
      </w:pPr>
    </w:p>
    <w:p w:rsidR="00520F04" w:rsidP="00520F04" w14:paraId="4570EB60" w14:textId="77777777">
      <w:pPr>
        <w:pStyle w:val="Heading2"/>
      </w:pPr>
      <w:bookmarkStart w:id="15" w:name="_Toc256000011"/>
      <w:r>
        <w:t>Forberedelser</w:t>
      </w:r>
      <w:bookmarkEnd w:id="15"/>
    </w:p>
    <w:p w:rsidR="00520F04" w:rsidP="00520F04" w14:paraId="1802A1F0" w14:textId="77777777">
      <w:r>
        <w:t>Egne kalibreringskurver for mindre pasienter?</w:t>
      </w:r>
    </w:p>
    <w:p w:rsidR="00520F04" w:rsidRPr="009449A0" w:rsidP="00520F04" w14:paraId="4BB1501F" w14:textId="77777777"/>
    <w:p w:rsidR="00520F04" w:rsidP="00520F04" w14:paraId="380B226B" w14:textId="77777777">
      <w:pPr>
        <w:pStyle w:val="Heading2"/>
      </w:pPr>
      <w:bookmarkStart w:id="16" w:name="_Toc159914971"/>
      <w:bookmarkStart w:id="17" w:name="_Toc159918370"/>
      <w:bookmarkStart w:id="18" w:name="_Toc159914973"/>
      <w:bookmarkStart w:id="19" w:name="_Toc159918372"/>
      <w:bookmarkEnd w:id="16"/>
      <w:bookmarkEnd w:id="17"/>
      <w:bookmarkEnd w:id="18"/>
      <w:bookmarkEnd w:id="19"/>
      <w:bookmarkStart w:id="20" w:name="_Toc256000012"/>
      <w:r>
        <w:t>Planoppsett</w:t>
      </w:r>
      <w:bookmarkEnd w:id="20"/>
    </w:p>
    <w:p w:rsidR="00520F04" w:rsidP="00520F04" w14:paraId="1E343F7C" w14:textId="77777777">
      <w:r>
        <w:t>Endelig doseberegning kan med fordel gjøres med en dosegrid med mindre vokselstørrelse for mindre pasienter.</w:t>
      </w:r>
    </w:p>
    <w:p w:rsidR="007D7B5E" w:rsidP="00520F04" w14:paraId="0B84CABF" w14:textId="77777777"/>
    <w:p w:rsidR="00520F04" w:rsidP="00520F04" w14:paraId="55743F01" w14:textId="77777777">
      <w:r>
        <w:t>Komplekst behandlingsoppsett som krever lang liggetid ved protonbehandling bør vurderes opp mot pasientens alder og modenhet, eventuel</w:t>
      </w:r>
      <w:r>
        <w:t>t mot anestesi for yngre barn.</w:t>
      </w:r>
    </w:p>
    <w:p w:rsidR="00520F04" w:rsidRPr="00680CF5" w:rsidP="00520F04" w14:paraId="125C49CA" w14:textId="77777777"/>
    <w:p w:rsidR="00520F04" w:rsidRPr="00CF7D0E" w:rsidP="00520F04" w14:paraId="67A1E3BA" w14:textId="77777777">
      <w:pPr>
        <w:pStyle w:val="Heading3"/>
      </w:pPr>
      <w:bookmarkStart w:id="21" w:name="_Toc256000013"/>
      <w:r>
        <w:t>Feltoppsett</w:t>
      </w:r>
      <w:bookmarkEnd w:id="21"/>
    </w:p>
    <w:p w:rsidR="00520F04" w:rsidP="00520F04" w14:paraId="48AA32A8" w14:textId="77777777">
      <w:r>
        <w:t xml:space="preserve">Unngå feltvinkler som fører til unødvendig bestråling av vekstsoner. </w:t>
      </w:r>
    </w:p>
    <w:p w:rsidR="00520F04" w:rsidRPr="00DF563F" w:rsidP="00520F04" w14:paraId="5EB7A9CC" w14:textId="77777777"/>
    <w:p w:rsidR="00520F04" w:rsidRPr="00CF7D0E" w:rsidP="00520F04" w14:paraId="446639F0" w14:textId="77777777">
      <w:pPr>
        <w:pStyle w:val="Heading2"/>
      </w:pPr>
      <w:bookmarkStart w:id="22" w:name="_Toc256000014"/>
      <w:r>
        <w:t xml:space="preserve">Robust </w:t>
      </w:r>
      <w:r w:rsidRPr="00CD5747">
        <w:t>optimering</w:t>
      </w:r>
      <w:bookmarkEnd w:id="22"/>
    </w:p>
    <w:p w:rsidR="00520F04" w:rsidP="00520F04" w14:paraId="20C97D0A" w14:textId="77777777">
      <w:r>
        <w:t>Planen bør robustoptimeres med robusthetsparametere som er avhengig av målvolumets plassering. Om ikke annet er nevnt i akt</w:t>
      </w:r>
      <w:r>
        <w:t>uell behandlingsprotokoll, kan marginer oppgitt i områdespesifikke planleggingsprosedyrer (for voksne) ofte benyttes som et utgangspunkt. Mindre marginer bør vurderes dersom anestesi, fiksering, og/eller (mindre) størrelse på målvolum tilsier at man forven</w:t>
      </w:r>
      <w:r>
        <w:t>ter en mer presis match ved behandling og mindre interfraksjonell variasjon. Ved behandling av yngre pasienter, særlig ved behandling under anestesi, vil man også kunne forvente mindre intrafraksjonell bevegelse siden utslag av pustebevegelse typisk er min</w:t>
      </w:r>
      <w:r>
        <w:t>dre sammenlignet med voksne pasienter.</w:t>
      </w:r>
    </w:p>
    <w:p w:rsidR="007D7B5E" w:rsidP="00520F04" w14:paraId="54F19103" w14:textId="77777777"/>
    <w:p w:rsidR="00520F04" w:rsidP="00520F04" w14:paraId="6CCE9BBB" w14:textId="77777777">
      <w:r>
        <w:t>Noen ganger, særlig hos mindre barn, vil normal geometrisk setup-margin ofte omslutte en uforholdsmessig stor andel normalvev. Kliniker kan i disse tilfellene ønske å redusere margin for å begrense den totale stråleb</w:t>
      </w:r>
      <w:r>
        <w:t xml:space="preserve">elastningen til pasienten. I disse tilfellene er det viktig å kommunisere at margin ikke er redusert pga. økt presisjon, men for å redusere strålebelastning, og hyppig kontrollavbildning og behov for adapsjon må påregnes. </w:t>
      </w:r>
    </w:p>
    <w:p w:rsidR="00246F8B" w:rsidRPr="00246F8B" w:rsidP="00246F8B" w14:paraId="3825CD9C" w14:textId="77777777"/>
    <w:p w:rsidR="00246F8B" w:rsidP="00066A58" w14:paraId="686DD2C2" w14:textId="77777777">
      <w:pPr>
        <w:pStyle w:val="Heading1"/>
        <w:spacing w:line="259" w:lineRule="auto"/>
      </w:pPr>
      <w:bookmarkStart w:id="23" w:name="_Toc256000015"/>
      <w:r>
        <w:t>Planevaluering</w:t>
      </w:r>
      <w:bookmarkEnd w:id="23"/>
    </w:p>
    <w:p w:rsidR="00520F04" w:rsidP="00520F04" w14:paraId="3052C18E" w14:textId="77777777">
      <w:r>
        <w:t>Planen skal evalu</w:t>
      </w:r>
      <w:r>
        <w:t>eres både nominelt og robust. I tillegg bør dosefordelingen evalueres på feltbasis. Alle doser skal oppgis i Gy (RBE), hvor RBE = 1.1</w:t>
      </w:r>
    </w:p>
    <w:p w:rsidR="00520F04" w:rsidRPr="00A83D65" w:rsidP="00520F04" w14:paraId="6823EFCA" w14:textId="77777777"/>
    <w:p w:rsidR="00520F04" w:rsidRPr="00CF7D0E" w:rsidP="00520F04" w14:paraId="71D82F36" w14:textId="77777777">
      <w:pPr>
        <w:pStyle w:val="Heading2"/>
      </w:pPr>
      <w:bookmarkStart w:id="24" w:name="_Toc256000016"/>
      <w:r w:rsidRPr="00CF7D0E">
        <w:t>Doser til målvolum</w:t>
      </w:r>
      <w:bookmarkEnd w:id="24"/>
    </w:p>
    <w:p w:rsidR="00520F04" w:rsidP="00520F04" w14:paraId="0D982787" w14:textId="77777777">
      <w:r>
        <w:t>Plandosen rekvireres til median (D</w:t>
      </w:r>
      <w:r w:rsidRPr="5366EBA0">
        <w:rPr>
          <w:vertAlign w:val="subscript"/>
        </w:rPr>
        <w:t>50%</w:t>
      </w:r>
      <w:r>
        <w:t xml:space="preserve">) i CTV, alternativt i croppet CTV. Ved forskjellige dosenivå til flere CTV-er bør median dose for hvert CTV være innenfor </w:t>
      </w:r>
      <w:r w:rsidRPr="5366EBA0">
        <w:t>±</w:t>
      </w:r>
      <w:r>
        <w:t xml:space="preserve">2% av respektive måldoser. </w:t>
      </w:r>
    </w:p>
    <w:p w:rsidR="00520F04" w:rsidRPr="0082761B" w:rsidP="00520F04" w14:paraId="02D72343" w14:textId="77777777"/>
    <w:p w:rsidR="00520F04" w:rsidRPr="00CF7D0E" w:rsidP="00520F04" w14:paraId="213111BA" w14:textId="77777777">
      <w:pPr>
        <w:pStyle w:val="Caption"/>
        <w:keepNext/>
      </w:pPr>
      <w:r>
        <w:t xml:space="preserve">Tabell </w:t>
      </w:r>
      <w:r>
        <w:fldChar w:fldCharType="begin"/>
      </w:r>
      <w:r>
        <w:instrText>SEQ Tabell \* ARABIC</w:instrText>
      </w:r>
      <w:r>
        <w:fldChar w:fldCharType="separate"/>
      </w:r>
      <w:r>
        <w:t>3</w:t>
      </w:r>
      <w:r>
        <w:fldChar w:fldCharType="end"/>
      </w:r>
      <w:r>
        <w:t>: Nominelle dekningskrav.</w:t>
      </w:r>
    </w:p>
    <w:tbl>
      <w:tblPr>
        <w:tblStyle w:val="GridTable4Accent1"/>
        <w:tblW w:w="4288" w:type="dxa"/>
        <w:tblLook w:val="04A0"/>
      </w:tblPr>
      <w:tblGrid>
        <w:gridCol w:w="1560"/>
        <w:gridCol w:w="1440"/>
        <w:gridCol w:w="1288"/>
      </w:tblGrid>
      <w:tr w14:paraId="347A08DA" w14:textId="77777777" w:rsidTr="002155CF">
        <w:tblPrEx>
          <w:tblW w:w="4288" w:type="dxa"/>
          <w:tblLook w:val="04A0"/>
        </w:tblPrEx>
        <w:trPr>
          <w:trHeight w:val="300"/>
        </w:trPr>
        <w:tc>
          <w:tcPr>
            <w:tcW w:w="1560" w:type="dxa"/>
          </w:tcPr>
          <w:p w:rsidR="00520F04" w:rsidRPr="00CF7D0E" w:rsidP="006E16E6" w14:paraId="7281E26F" w14:textId="77777777">
            <w:pPr>
              <w:autoSpaceDE w:val="0"/>
              <w:autoSpaceDN w:val="0"/>
              <w:adjustRightInd w:val="0"/>
              <w:rPr>
                <w:rFonts w:ascii="Calibri" w:hAnsi="Calibri" w:cs="Calibri"/>
                <w:sz w:val="16"/>
                <w:szCs w:val="24"/>
              </w:rPr>
            </w:pPr>
            <w:r w:rsidRPr="00CF7D0E">
              <w:rPr>
                <w:rFonts w:ascii="Calibri" w:hAnsi="Calibri" w:cs="Calibri"/>
                <w:sz w:val="16"/>
                <w:szCs w:val="24"/>
              </w:rPr>
              <w:t>Målvolum</w:t>
            </w:r>
          </w:p>
        </w:tc>
        <w:tc>
          <w:tcPr>
            <w:tcW w:w="1440" w:type="dxa"/>
          </w:tcPr>
          <w:p w:rsidR="00520F04" w:rsidRPr="00CF7D0E" w:rsidP="006E16E6" w14:paraId="7BD8C2AB" w14:textId="77777777">
            <w:pPr>
              <w:autoSpaceDE w:val="0"/>
              <w:autoSpaceDN w:val="0"/>
              <w:adjustRightInd w:val="0"/>
              <w:rPr>
                <w:rFonts w:ascii="Calibri" w:hAnsi="Calibri" w:cs="Calibri"/>
                <w:sz w:val="16"/>
                <w:szCs w:val="24"/>
              </w:rPr>
            </w:pPr>
            <w:r w:rsidRPr="00CF7D0E">
              <w:rPr>
                <w:rFonts w:ascii="Calibri" w:hAnsi="Calibri" w:cs="Calibri"/>
                <w:sz w:val="16"/>
                <w:szCs w:val="24"/>
              </w:rPr>
              <w:t>Nominelt dekningskrav</w:t>
            </w:r>
          </w:p>
        </w:tc>
        <w:tc>
          <w:tcPr>
            <w:tcW w:w="1288" w:type="dxa"/>
          </w:tcPr>
          <w:p w:rsidR="00520F04" w:rsidRPr="00CF7D0E" w:rsidP="006E16E6" w14:paraId="45B10E2F" w14:textId="77777777">
            <w:pPr>
              <w:autoSpaceDE w:val="0"/>
              <w:autoSpaceDN w:val="0"/>
              <w:adjustRightInd w:val="0"/>
              <w:rPr>
                <w:rFonts w:ascii="Calibri" w:hAnsi="Calibri" w:cs="Calibri"/>
                <w:sz w:val="16"/>
                <w:szCs w:val="24"/>
              </w:rPr>
            </w:pPr>
            <w:r w:rsidRPr="00CF7D0E">
              <w:rPr>
                <w:rFonts w:ascii="Calibri" w:hAnsi="Calibri" w:cs="Calibri"/>
                <w:sz w:val="16"/>
                <w:szCs w:val="24"/>
              </w:rPr>
              <w:t>Maks</w:t>
            </w:r>
            <w:r>
              <w:rPr>
                <w:rFonts w:ascii="Calibri" w:hAnsi="Calibri" w:cs="Calibri"/>
                <w:sz w:val="16"/>
                <w:szCs w:val="24"/>
              </w:rPr>
              <w:t>imum</w:t>
            </w:r>
          </w:p>
        </w:tc>
      </w:tr>
      <w:tr w14:paraId="1EFAC886" w14:textId="77777777" w:rsidTr="002155CF">
        <w:tblPrEx>
          <w:tblW w:w="4288" w:type="dxa"/>
          <w:tblLook w:val="04A0"/>
        </w:tblPrEx>
        <w:trPr>
          <w:trHeight w:val="300"/>
        </w:trPr>
        <w:tc>
          <w:tcPr>
            <w:tcW w:w="1560" w:type="dxa"/>
          </w:tcPr>
          <w:p w:rsidR="00520F04" w:rsidRPr="00CF7D0E" w:rsidP="006E16E6" w14:paraId="48B25CA0" w14:textId="77777777">
            <w:pPr>
              <w:autoSpaceDE w:val="0"/>
              <w:autoSpaceDN w:val="0"/>
              <w:adjustRightInd w:val="0"/>
              <w:rPr>
                <w:rFonts w:ascii="Calibri" w:hAnsi="Calibri" w:cs="Calibri"/>
                <w:sz w:val="16"/>
                <w:szCs w:val="16"/>
              </w:rPr>
            </w:pPr>
            <w:r w:rsidRPr="00CF7D0E">
              <w:rPr>
                <w:rFonts w:ascii="Calibri" w:hAnsi="Calibri" w:cs="Calibri"/>
                <w:sz w:val="16"/>
                <w:szCs w:val="24"/>
              </w:rPr>
              <w:t>CTV</w:t>
            </w:r>
            <w:r>
              <w:rPr>
                <w:rFonts w:ascii="Calibri" w:hAnsi="Calibri" w:cs="Calibri"/>
                <w:sz w:val="16"/>
                <w:szCs w:val="24"/>
              </w:rPr>
              <w:t>_XX*</w:t>
            </w:r>
          </w:p>
        </w:tc>
        <w:tc>
          <w:tcPr>
            <w:tcW w:w="1440" w:type="dxa"/>
          </w:tcPr>
          <w:p w:rsidR="00520F04" w:rsidRPr="00CF7D0E" w:rsidP="006E16E6" w14:paraId="7D984043" w14:textId="77777777">
            <w:pPr>
              <w:autoSpaceDE w:val="0"/>
              <w:autoSpaceDN w:val="0"/>
              <w:adjustRightInd w:val="0"/>
              <w:rPr>
                <w:rFonts w:ascii="Calibri" w:hAnsi="Calibri" w:cs="Calibri"/>
                <w:sz w:val="16"/>
                <w:szCs w:val="24"/>
              </w:rPr>
            </w:pPr>
            <w:r w:rsidRPr="00CF7D0E">
              <w:rPr>
                <w:rFonts w:ascii="Calibri" w:hAnsi="Calibri" w:cs="Calibri"/>
                <w:sz w:val="16"/>
                <w:szCs w:val="24"/>
              </w:rPr>
              <w:t>D</w:t>
            </w:r>
            <w:r w:rsidRPr="00CF7D0E">
              <w:rPr>
                <w:rFonts w:ascii="Calibri" w:hAnsi="Calibri" w:cs="Calibri"/>
                <w:sz w:val="16"/>
                <w:szCs w:val="24"/>
                <w:vertAlign w:val="subscript"/>
              </w:rPr>
              <w:t>9</w:t>
            </w:r>
            <w:r>
              <w:rPr>
                <w:rFonts w:ascii="Calibri" w:hAnsi="Calibri" w:cs="Calibri"/>
                <w:sz w:val="16"/>
                <w:szCs w:val="24"/>
                <w:vertAlign w:val="subscript"/>
              </w:rPr>
              <w:t>8</w:t>
            </w:r>
            <w:r w:rsidRPr="00CF7D0E">
              <w:rPr>
                <w:rFonts w:ascii="Calibri" w:hAnsi="Calibri" w:cs="Calibri"/>
                <w:sz w:val="16"/>
                <w:szCs w:val="24"/>
                <w:vertAlign w:val="subscript"/>
              </w:rPr>
              <w:t>%</w:t>
            </w:r>
            <w:r w:rsidRPr="00CF7D0E">
              <w:rPr>
                <w:rFonts w:ascii="Calibri" w:hAnsi="Calibri" w:cs="Calibri"/>
                <w:sz w:val="16"/>
                <w:szCs w:val="24"/>
              </w:rPr>
              <w:t xml:space="preserve"> ≥ 95%</w:t>
            </w:r>
          </w:p>
        </w:tc>
        <w:tc>
          <w:tcPr>
            <w:tcW w:w="1288" w:type="dxa"/>
          </w:tcPr>
          <w:p w:rsidR="00520F04" w:rsidRPr="00CF7D0E" w:rsidP="006E16E6" w14:paraId="54E637E2" w14:textId="77777777">
            <w:pPr>
              <w:autoSpaceDE w:val="0"/>
              <w:autoSpaceDN w:val="0"/>
              <w:adjustRightInd w:val="0"/>
              <w:rPr>
                <w:rFonts w:ascii="Calibri" w:hAnsi="Calibri" w:cs="Calibri"/>
                <w:sz w:val="16"/>
                <w:szCs w:val="24"/>
              </w:rPr>
            </w:pPr>
            <w:r w:rsidRPr="00CF7D0E">
              <w:rPr>
                <w:sz w:val="16"/>
              </w:rPr>
              <w:t>D</w:t>
            </w:r>
            <w:r>
              <w:rPr>
                <w:sz w:val="16"/>
                <w:vertAlign w:val="subscript"/>
              </w:rPr>
              <w:t>2ccm</w:t>
            </w:r>
            <w:r w:rsidRPr="00CF7D0E">
              <w:rPr>
                <w:sz w:val="16"/>
              </w:rPr>
              <w:t xml:space="preserve"> </w:t>
            </w:r>
            <w:r w:rsidRPr="00CF7D0E">
              <w:rPr>
                <w:rFonts w:cstheme="minorHAnsi"/>
                <w:sz w:val="16"/>
              </w:rPr>
              <w:t>≤</w:t>
            </w:r>
            <w:r w:rsidRPr="00CF7D0E">
              <w:rPr>
                <w:sz w:val="16"/>
              </w:rPr>
              <w:t xml:space="preserve"> 107%</w:t>
            </w:r>
          </w:p>
        </w:tc>
      </w:tr>
    </w:tbl>
    <w:p w:rsidR="00520F04" w:rsidRPr="00DF3584" w:rsidP="00520F04" w14:paraId="15EB73FB" w14:textId="77777777">
      <w:pPr>
        <w:rPr>
          <w:sz w:val="16"/>
          <w:szCs w:val="16"/>
        </w:rPr>
      </w:pPr>
      <w:r w:rsidRPr="00DF3584">
        <w:rPr>
          <w:sz w:val="16"/>
          <w:szCs w:val="16"/>
        </w:rPr>
        <w:t>* Gjelder croppet CTV der dette er aktuelt volum.</w:t>
      </w:r>
      <w:r>
        <w:rPr>
          <w:sz w:val="16"/>
          <w:szCs w:val="16"/>
        </w:rPr>
        <w:t xml:space="preserve"> XX er dosen i Gy (RBE).</w:t>
      </w:r>
    </w:p>
    <w:p w:rsidR="00520F04" w:rsidP="00520F04" w14:paraId="009A17F5" w14:textId="77777777">
      <w:pPr>
        <w:pStyle w:val="Heading2"/>
        <w:numPr>
          <w:ilvl w:val="0"/>
          <w:numId w:val="0"/>
        </w:numPr>
        <w:ind w:left="397" w:hanging="397"/>
      </w:pPr>
    </w:p>
    <w:p w:rsidR="00520F04" w:rsidRPr="00CF7D0E" w:rsidP="00520F04" w14:paraId="04CD199D" w14:textId="12707DE3">
      <w:pPr>
        <w:pStyle w:val="Heading2"/>
      </w:pPr>
      <w:bookmarkStart w:id="25" w:name="_Toc256000018"/>
      <w:r>
        <w:t>Doser til risikoorgan</w:t>
      </w:r>
      <w:bookmarkEnd w:id="25"/>
    </w:p>
    <w:p w:rsidR="00520F04" w:rsidP="00520F04" w14:paraId="4B5C3CB4" w14:textId="65B27960">
      <w:r>
        <w:t xml:space="preserve">Egne DVH-krav for barn skal benyttes der disse finnes. </w:t>
      </w:r>
      <w:r>
        <w:fldChar w:fldCharType="begin"/>
      </w:r>
      <w:r>
        <w:instrText xml:space="preserve"> REF _Ref161390634 \h </w:instrText>
      </w:r>
      <w:r>
        <w:fldChar w:fldCharType="separate"/>
      </w:r>
      <w:r>
        <w:t xml:space="preserve">Tabell </w:t>
      </w:r>
      <w:r>
        <w:t>4</w:t>
      </w:r>
      <w:r>
        <w:fldChar w:fldCharType="end"/>
      </w:r>
      <w:r>
        <w:t xml:space="preserve"> oppsummerer toleransedoser angitt av </w:t>
      </w:r>
      <w:hyperlink r:id="rId15" w:history="1">
        <w:r w:rsidRPr="00A204FD">
          <w:rPr>
            <w:rStyle w:val="Hyperlink"/>
          </w:rPr>
          <w:t>PENTEC</w:t>
        </w:r>
      </w:hyperlink>
      <w:r>
        <w:t xml:space="preserve"> [</w:t>
      </w:r>
      <w:r w:rsidRPr="00E0019E">
        <w:fldChar w:fldCharType="begin"/>
      </w:r>
      <w:r w:rsidRPr="00E0019E">
        <w:instrText xml:space="preserve"> REF Constine \h </w:instrText>
      </w:r>
      <w:r w:rsidRPr="00E0019E" w:rsidR="001823C1">
        <w:instrText xml:space="preserve"> \* MERGEFORMAT </w:instrText>
      </w:r>
      <w:r w:rsidRPr="00E0019E">
        <w:fldChar w:fldCharType="separate"/>
      </w:r>
      <w:r w:rsidRPr="00E0019E" w:rsidR="00E0019E">
        <w:t>4</w:t>
      </w:r>
      <w:r w:rsidRPr="00E0019E">
        <w:fldChar w:fldCharType="end"/>
      </w:r>
      <w:r>
        <w:t>] som enten ikke er nevnt eller er lavere enn de som står oppført i de nasjonale retningslinjene for protonplanlegging. Mange av behandlingsprotokollene for barn har egne toleransekrav for risikoor</w:t>
      </w:r>
      <w:r>
        <w:t>ganer, som må innfris i tillegg. Toleransedoser for organer som eventuelt ikke finnes i tabellen eller i aktuell behandlingsprotokoll kan vurderes opp mot retningslinjer for andre diagnosegrupper med kurativ stråleterapi i aktuelle behandlingsregion. Vær o</w:t>
      </w:r>
      <w:r>
        <w:t>bs på at ulike kjemoterapiregimer kan påvirke toleransen i negativ retning. ALARA prinsippet gjelder alltid.</w:t>
      </w:r>
    </w:p>
    <w:p w:rsidR="00520F04" w:rsidP="00520F04" w14:paraId="1B5D7084" w14:textId="77777777"/>
    <w:p w:rsidR="00520F04" w:rsidP="00520F04" w14:paraId="2C91A6B9" w14:textId="2464AC68">
      <w:pPr>
        <w:pStyle w:val="Caption"/>
        <w:keepNext/>
      </w:pPr>
      <w:bookmarkStart w:id="26" w:name="_Ref161390634"/>
      <w:r>
        <w:t xml:space="preserve">Tabell </w:t>
      </w:r>
      <w:r>
        <w:fldChar w:fldCharType="begin"/>
      </w:r>
      <w:r>
        <w:instrText>SEQ Tabell \* ARABIC</w:instrText>
      </w:r>
      <w:r>
        <w:fldChar w:fldCharType="separate"/>
      </w:r>
      <w:r>
        <w:t>4</w:t>
      </w:r>
      <w:r>
        <w:fldChar w:fldCharType="end"/>
      </w:r>
      <w:bookmarkEnd w:id="26"/>
      <w:r w:rsidRPr="00CA7EB0">
        <w:t xml:space="preserve">: Viser til de mest konservative toleransegrensene fra </w:t>
      </w:r>
      <w:hyperlink r:id="rId15" w:history="1">
        <w:r w:rsidRPr="007F72C3">
          <w:rPr>
            <w:rStyle w:val="Hyperlink"/>
            <w:sz w:val="18"/>
          </w:rPr>
          <w:t>PENTEC</w:t>
        </w:r>
      </w:hyperlink>
      <w:r w:rsidRPr="007F72C3">
        <w:t xml:space="preserve"> </w:t>
      </w:r>
      <w:r>
        <w:t>[</w:t>
      </w:r>
      <w:r w:rsidRPr="007E30B1">
        <w:fldChar w:fldCharType="begin"/>
      </w:r>
      <w:r w:rsidRPr="007E30B1">
        <w:instrText xml:space="preserve"> REF Constine \h </w:instrText>
      </w:r>
      <w:r w:rsidRPr="007E30B1" w:rsidR="001823C1">
        <w:instrText xml:space="preserve"> \* MERGEFORMAT </w:instrText>
      </w:r>
      <w:r w:rsidRPr="007E30B1">
        <w:fldChar w:fldCharType="separate"/>
      </w:r>
      <w:r w:rsidRPr="007E30B1">
        <w:t>4</w:t>
      </w:r>
      <w:r w:rsidRPr="007E30B1">
        <w:fldChar w:fldCharType="end"/>
      </w:r>
      <w:r>
        <w:t>] s</w:t>
      </w:r>
      <w:r w:rsidRPr="00CA7EB0">
        <w:t>om enten ikke er nevnt, eller er lavere enn de som står oppført, i de nasjonale retningslinjen</w:t>
      </w:r>
      <w:r w:rsidRPr="00CA7EB0">
        <w:t>e for protonplanlegging. Merk at grenseverdiene i tabellen er preget av stor usikk</w:t>
      </w:r>
      <w:r>
        <w:t>erhet. Det anbefales å lese rapporten før man anvender tallene under.</w:t>
      </w:r>
    </w:p>
    <w:tbl>
      <w:tblPr>
        <w:tblStyle w:val="ListTable4Accent1"/>
        <w:tblW w:w="9067" w:type="dxa"/>
        <w:tblLayout w:type="fixed"/>
        <w:tblLook w:val="04A0"/>
      </w:tblPr>
      <w:tblGrid>
        <w:gridCol w:w="1026"/>
        <w:gridCol w:w="1663"/>
        <w:gridCol w:w="2268"/>
        <w:gridCol w:w="2494"/>
        <w:gridCol w:w="1616"/>
      </w:tblGrid>
      <w:tr w14:paraId="292D9474" w14:textId="77777777" w:rsidTr="002155CF">
        <w:tblPrEx>
          <w:tblW w:w="9067" w:type="dxa"/>
          <w:tblLayout w:type="fixed"/>
          <w:tblLook w:val="04A0"/>
        </w:tblPrEx>
        <w:tc>
          <w:tcPr>
            <w:tcW w:w="1026" w:type="dxa"/>
          </w:tcPr>
          <w:p w:rsidR="00520F04" w:rsidRPr="00CF7D0E" w:rsidP="006E16E6" w14:paraId="6AB5DF2C" w14:textId="77777777">
            <w:pPr>
              <w:rPr>
                <w:sz w:val="16"/>
              </w:rPr>
            </w:pPr>
          </w:p>
        </w:tc>
        <w:tc>
          <w:tcPr>
            <w:tcW w:w="1663" w:type="dxa"/>
          </w:tcPr>
          <w:p w:rsidR="00520F04" w:rsidRPr="00CF7D0E" w:rsidP="006E16E6" w14:paraId="5E3F7E43" w14:textId="77777777">
            <w:pPr>
              <w:rPr>
                <w:sz w:val="16"/>
                <w:szCs w:val="16"/>
              </w:rPr>
            </w:pPr>
            <w:r>
              <w:rPr>
                <w:sz w:val="16"/>
                <w:szCs w:val="16"/>
              </w:rPr>
              <w:t>Struktur</w:t>
            </w:r>
            <w:r w:rsidRPr="00CF7D0E">
              <w:rPr>
                <w:sz w:val="16"/>
                <w:szCs w:val="16"/>
              </w:rPr>
              <w:t xml:space="preserve"> </w:t>
            </w:r>
          </w:p>
        </w:tc>
        <w:tc>
          <w:tcPr>
            <w:tcW w:w="2268" w:type="dxa"/>
          </w:tcPr>
          <w:p w:rsidR="00520F04" w:rsidRPr="00CF7D0E" w:rsidP="006E16E6" w14:paraId="44DBC407" w14:textId="77777777">
            <w:pPr>
              <w:rPr>
                <w:sz w:val="16"/>
              </w:rPr>
            </w:pPr>
            <w:r>
              <w:rPr>
                <w:sz w:val="16"/>
              </w:rPr>
              <w:t>Nominell toleransegrense</w:t>
            </w:r>
          </w:p>
        </w:tc>
        <w:tc>
          <w:tcPr>
            <w:tcW w:w="2494" w:type="dxa"/>
          </w:tcPr>
          <w:p w:rsidR="00520F04" w:rsidP="006E16E6" w14:paraId="3DFC2BC4" w14:textId="77777777">
            <w:pPr>
              <w:rPr>
                <w:sz w:val="16"/>
              </w:rPr>
            </w:pPr>
            <w:r>
              <w:rPr>
                <w:sz w:val="16"/>
              </w:rPr>
              <w:t>Endepunkt (risiko)</w:t>
            </w:r>
          </w:p>
        </w:tc>
        <w:tc>
          <w:tcPr>
            <w:tcW w:w="1616" w:type="dxa"/>
          </w:tcPr>
          <w:p w:rsidR="00520F04" w:rsidP="006E16E6" w14:paraId="0E27D546" w14:textId="77777777">
            <w:pPr>
              <w:rPr>
                <w:sz w:val="16"/>
              </w:rPr>
            </w:pPr>
            <w:r>
              <w:rPr>
                <w:sz w:val="16"/>
              </w:rPr>
              <w:t>Kommentar</w:t>
            </w:r>
          </w:p>
        </w:tc>
      </w:tr>
      <w:tr w14:paraId="3E1C4D27" w14:textId="77777777" w:rsidTr="002155CF">
        <w:tblPrEx>
          <w:tblW w:w="9067" w:type="dxa"/>
          <w:tblLayout w:type="fixed"/>
          <w:tblLook w:val="04A0"/>
        </w:tblPrEx>
        <w:tc>
          <w:tcPr>
            <w:tcW w:w="1026" w:type="dxa"/>
          </w:tcPr>
          <w:p w:rsidR="00520F04" w:rsidRPr="00131D53" w:rsidP="006E16E6" w14:paraId="54A4FE8E" w14:textId="77777777">
            <w:pPr>
              <w:rPr>
                <w:sz w:val="16"/>
              </w:rPr>
            </w:pPr>
            <w:r w:rsidRPr="004353B6">
              <w:rPr>
                <w:sz w:val="18"/>
              </w:rPr>
              <w:t>Hode/hals</w:t>
            </w:r>
          </w:p>
        </w:tc>
        <w:tc>
          <w:tcPr>
            <w:tcW w:w="1663" w:type="dxa"/>
          </w:tcPr>
          <w:p w:rsidR="00520F04" w:rsidRPr="00131D53" w:rsidP="006E16E6" w14:paraId="58C67450" w14:textId="77777777">
            <w:pPr>
              <w:rPr>
                <w:sz w:val="16"/>
              </w:rPr>
            </w:pPr>
          </w:p>
        </w:tc>
        <w:tc>
          <w:tcPr>
            <w:tcW w:w="2268" w:type="dxa"/>
          </w:tcPr>
          <w:p w:rsidR="00520F04" w:rsidRPr="0071516E" w:rsidP="006E16E6" w14:paraId="5068FC06" w14:textId="77777777">
            <w:pPr>
              <w:rPr>
                <w:sz w:val="16"/>
                <w:szCs w:val="16"/>
              </w:rPr>
            </w:pPr>
          </w:p>
        </w:tc>
        <w:tc>
          <w:tcPr>
            <w:tcW w:w="2494" w:type="dxa"/>
          </w:tcPr>
          <w:p w:rsidR="00520F04" w:rsidP="006E16E6" w14:paraId="66995FA6" w14:textId="77777777">
            <w:pPr>
              <w:rPr>
                <w:sz w:val="16"/>
                <w:szCs w:val="16"/>
              </w:rPr>
            </w:pPr>
          </w:p>
        </w:tc>
        <w:tc>
          <w:tcPr>
            <w:tcW w:w="1616" w:type="dxa"/>
          </w:tcPr>
          <w:p w:rsidR="00520F04" w:rsidP="006E16E6" w14:paraId="24F74B9B" w14:textId="77777777">
            <w:pPr>
              <w:rPr>
                <w:sz w:val="16"/>
                <w:szCs w:val="16"/>
              </w:rPr>
            </w:pPr>
          </w:p>
        </w:tc>
      </w:tr>
      <w:tr w14:paraId="037428EE" w14:textId="77777777" w:rsidTr="002155CF">
        <w:tblPrEx>
          <w:tblW w:w="9067" w:type="dxa"/>
          <w:tblLayout w:type="fixed"/>
          <w:tblLook w:val="04A0"/>
        </w:tblPrEx>
        <w:tc>
          <w:tcPr>
            <w:tcW w:w="1026" w:type="dxa"/>
          </w:tcPr>
          <w:p w:rsidR="00520F04" w:rsidRPr="00131D53" w:rsidP="006E16E6" w14:paraId="5EC8B4D2" w14:textId="77777777">
            <w:pPr>
              <w:jc w:val="center"/>
              <w:rPr>
                <w:sz w:val="18"/>
              </w:rPr>
            </w:pPr>
          </w:p>
        </w:tc>
        <w:tc>
          <w:tcPr>
            <w:tcW w:w="1663" w:type="dxa"/>
          </w:tcPr>
          <w:p w:rsidR="00520F04" w:rsidRPr="004353B6" w:rsidP="006E16E6" w14:paraId="54CDCC75" w14:textId="77777777">
            <w:pPr>
              <w:rPr>
                <w:b/>
                <w:sz w:val="16"/>
              </w:rPr>
            </w:pPr>
            <w:r w:rsidRPr="004353B6">
              <w:rPr>
                <w:b/>
                <w:sz w:val="16"/>
              </w:rPr>
              <w:t>Brain</w:t>
            </w:r>
          </w:p>
        </w:tc>
        <w:tc>
          <w:tcPr>
            <w:tcW w:w="2268" w:type="dxa"/>
          </w:tcPr>
          <w:p w:rsidR="00520F04" w:rsidRPr="00082A23" w:rsidP="006E16E6" w14:paraId="76297B1E" w14:textId="77777777">
            <w:pPr>
              <w:rPr>
                <w:sz w:val="16"/>
                <w:szCs w:val="16"/>
              </w:rPr>
            </w:pPr>
            <w:r w:rsidRPr="00082A23">
              <w:rPr>
                <w:sz w:val="16"/>
                <w:szCs w:val="16"/>
              </w:rPr>
              <w:t>ALARA</w:t>
            </w:r>
          </w:p>
          <w:p w:rsidR="00520F04" w:rsidRPr="00082A23" w:rsidP="006E16E6" w14:paraId="30652D34" w14:textId="77777777">
            <w:pPr>
              <w:rPr>
                <w:sz w:val="16"/>
                <w:szCs w:val="16"/>
              </w:rPr>
            </w:pPr>
            <w:r w:rsidRPr="00082A23">
              <w:rPr>
                <w:sz w:val="16"/>
                <w:szCs w:val="16"/>
              </w:rPr>
              <w:t>D</w:t>
            </w:r>
            <w:r w:rsidRPr="00082A23">
              <w:rPr>
                <w:sz w:val="16"/>
                <w:szCs w:val="16"/>
                <w:vertAlign w:val="subscript"/>
              </w:rPr>
              <w:t>max</w:t>
            </w:r>
            <w:r w:rsidRPr="00082A23">
              <w:rPr>
                <w:sz w:val="16"/>
                <w:szCs w:val="16"/>
              </w:rPr>
              <w:t xml:space="preserve"> </w:t>
            </w:r>
            <w:r w:rsidRPr="00082A23">
              <w:rPr>
                <w:rFonts w:cstheme="minorHAnsi"/>
                <w:sz w:val="16"/>
                <w:szCs w:val="16"/>
              </w:rPr>
              <w:t>≤</w:t>
            </w:r>
            <w:r w:rsidRPr="00082A23">
              <w:rPr>
                <w:sz w:val="16"/>
                <w:szCs w:val="16"/>
              </w:rPr>
              <w:t xml:space="preserve"> 59 Gy (RBE)</w:t>
            </w:r>
          </w:p>
          <w:p w:rsidR="00520F04" w:rsidRPr="00082A23" w:rsidP="006E16E6" w14:paraId="3483EEBF" w14:textId="77777777">
            <w:pPr>
              <w:rPr>
                <w:rFonts w:cstheme="minorHAnsi"/>
                <w:sz w:val="16"/>
                <w:szCs w:val="16"/>
              </w:rPr>
            </w:pPr>
            <w:r w:rsidRPr="00082A23">
              <w:rPr>
                <w:sz w:val="16"/>
                <w:szCs w:val="16"/>
              </w:rPr>
              <w:t>V</w:t>
            </w:r>
            <w:r w:rsidRPr="00082A23">
              <w:rPr>
                <w:sz w:val="16"/>
                <w:szCs w:val="16"/>
                <w:vertAlign w:val="subscript"/>
              </w:rPr>
              <w:t>36Gy(RBE)</w:t>
            </w:r>
            <w:r w:rsidRPr="00082A23">
              <w:rPr>
                <w:rFonts w:cstheme="minorHAnsi"/>
                <w:sz w:val="16"/>
                <w:szCs w:val="16"/>
              </w:rPr>
              <w:t xml:space="preserve"> ≤ 10%</w:t>
            </w:r>
          </w:p>
          <w:p w:rsidR="00520F04" w:rsidRPr="004A75AA" w:rsidP="006E16E6" w14:paraId="446ADA78" w14:textId="77777777">
            <w:pPr>
              <w:rPr>
                <w:rFonts w:cstheme="minorHAnsi"/>
                <w:sz w:val="16"/>
                <w:szCs w:val="16"/>
              </w:rPr>
            </w:pPr>
            <w:r w:rsidRPr="004A75AA">
              <w:rPr>
                <w:sz w:val="16"/>
                <w:szCs w:val="16"/>
              </w:rPr>
              <w:t>V</w:t>
            </w:r>
            <w:r w:rsidRPr="004A75AA">
              <w:rPr>
                <w:sz w:val="16"/>
                <w:szCs w:val="16"/>
                <w:vertAlign w:val="subscript"/>
              </w:rPr>
              <w:t>29Gy(RBE)</w:t>
            </w:r>
            <w:r w:rsidRPr="004A75AA">
              <w:rPr>
                <w:rFonts w:cstheme="minorHAnsi"/>
                <w:sz w:val="16"/>
                <w:szCs w:val="16"/>
              </w:rPr>
              <w:t xml:space="preserve"> ≤ 20%</w:t>
            </w:r>
          </w:p>
          <w:p w:rsidR="00520F04" w:rsidRPr="004A75AA" w:rsidP="006E16E6" w14:paraId="524C1991" w14:textId="77777777">
            <w:pPr>
              <w:rPr>
                <w:rFonts w:cstheme="minorHAnsi"/>
                <w:sz w:val="16"/>
                <w:szCs w:val="16"/>
              </w:rPr>
            </w:pPr>
            <w:r w:rsidRPr="004A75AA">
              <w:rPr>
                <w:sz w:val="16"/>
                <w:szCs w:val="16"/>
              </w:rPr>
              <w:t>V</w:t>
            </w:r>
            <w:r w:rsidRPr="004A75AA">
              <w:rPr>
                <w:sz w:val="16"/>
                <w:szCs w:val="16"/>
                <w:vertAlign w:val="subscript"/>
              </w:rPr>
              <w:t>22Gy(RBE)</w:t>
            </w:r>
            <w:r w:rsidRPr="004A75AA">
              <w:rPr>
                <w:rFonts w:cstheme="minorHAnsi"/>
                <w:sz w:val="16"/>
                <w:szCs w:val="16"/>
              </w:rPr>
              <w:t xml:space="preserve"> ≤ 50%</w:t>
            </w:r>
          </w:p>
        </w:tc>
        <w:tc>
          <w:tcPr>
            <w:tcW w:w="2494" w:type="dxa"/>
          </w:tcPr>
          <w:p w:rsidR="00520F04" w:rsidP="006E16E6" w14:paraId="4C7D9FB3" w14:textId="77777777">
            <w:pPr>
              <w:rPr>
                <w:sz w:val="16"/>
                <w:szCs w:val="16"/>
              </w:rPr>
            </w:pPr>
          </w:p>
          <w:p w:rsidR="00520F04" w:rsidP="006E16E6" w14:paraId="0A646F92" w14:textId="77777777">
            <w:pPr>
              <w:rPr>
                <w:sz w:val="16"/>
                <w:szCs w:val="16"/>
              </w:rPr>
            </w:pPr>
            <w:r>
              <w:rPr>
                <w:sz w:val="16"/>
                <w:szCs w:val="16"/>
              </w:rPr>
              <w:t>Symptomatisk nekrose (5%)</w:t>
            </w:r>
          </w:p>
          <w:p w:rsidR="00520F04" w:rsidP="006E16E6" w14:paraId="4A18E9D6" w14:textId="77777777">
            <w:pPr>
              <w:rPr>
                <w:sz w:val="16"/>
                <w:szCs w:val="16"/>
              </w:rPr>
            </w:pPr>
            <w:r>
              <w:rPr>
                <w:sz w:val="16"/>
                <w:szCs w:val="16"/>
              </w:rPr>
              <w:t>Reduksjon av IQ (5%)</w:t>
            </w:r>
          </w:p>
          <w:p w:rsidR="00520F04" w:rsidP="006E16E6" w14:paraId="38CFA09E" w14:textId="77777777">
            <w:pPr>
              <w:rPr>
                <w:sz w:val="16"/>
                <w:szCs w:val="16"/>
              </w:rPr>
            </w:pPr>
            <w:r>
              <w:rPr>
                <w:sz w:val="16"/>
                <w:szCs w:val="16"/>
              </w:rPr>
              <w:t>Reduksjon av IQ (5%)</w:t>
            </w:r>
          </w:p>
          <w:p w:rsidR="00520F04" w:rsidP="006E16E6" w14:paraId="10519A21" w14:textId="77777777">
            <w:pPr>
              <w:rPr>
                <w:sz w:val="16"/>
                <w:szCs w:val="16"/>
              </w:rPr>
            </w:pPr>
            <w:r>
              <w:rPr>
                <w:sz w:val="16"/>
                <w:szCs w:val="16"/>
              </w:rPr>
              <w:t>Reduksjon av IQ (5%)</w:t>
            </w:r>
          </w:p>
        </w:tc>
        <w:tc>
          <w:tcPr>
            <w:tcW w:w="1616" w:type="dxa"/>
          </w:tcPr>
          <w:p w:rsidR="00520F04" w:rsidP="006E16E6" w14:paraId="25929777" w14:textId="77777777">
            <w:pPr>
              <w:rPr>
                <w:sz w:val="16"/>
                <w:szCs w:val="16"/>
              </w:rPr>
            </w:pPr>
          </w:p>
          <w:p w:rsidR="00520F04" w:rsidP="006E16E6" w14:paraId="03C981E8" w14:textId="77777777">
            <w:pPr>
              <w:rPr>
                <w:sz w:val="16"/>
                <w:szCs w:val="16"/>
              </w:rPr>
            </w:pPr>
          </w:p>
          <w:p w:rsidR="00520F04" w:rsidP="006E16E6" w14:paraId="6489544E" w14:textId="77777777">
            <w:pPr>
              <w:rPr>
                <w:sz w:val="16"/>
                <w:szCs w:val="16"/>
              </w:rPr>
            </w:pPr>
            <w:r>
              <w:rPr>
                <w:sz w:val="16"/>
                <w:szCs w:val="16"/>
              </w:rPr>
              <w:t>Sannsynlighet for redusert IQ øker med lavere alder.</w:t>
            </w:r>
          </w:p>
        </w:tc>
      </w:tr>
      <w:tr w14:paraId="5CC6F99C" w14:textId="77777777" w:rsidTr="002155CF">
        <w:tblPrEx>
          <w:tblW w:w="9067" w:type="dxa"/>
          <w:tblLayout w:type="fixed"/>
          <w:tblLook w:val="04A0"/>
        </w:tblPrEx>
        <w:tc>
          <w:tcPr>
            <w:tcW w:w="1026" w:type="dxa"/>
          </w:tcPr>
          <w:p w:rsidR="00520F04" w:rsidRPr="00131D53" w:rsidP="006E16E6" w14:paraId="1A52D7DA" w14:textId="77777777">
            <w:pPr>
              <w:rPr>
                <w:sz w:val="16"/>
              </w:rPr>
            </w:pPr>
          </w:p>
        </w:tc>
        <w:tc>
          <w:tcPr>
            <w:tcW w:w="1663" w:type="dxa"/>
          </w:tcPr>
          <w:p w:rsidR="00520F04" w:rsidRPr="004353B6" w:rsidP="006E16E6" w14:paraId="772F922B" w14:textId="77777777">
            <w:pPr>
              <w:rPr>
                <w:b/>
                <w:sz w:val="16"/>
              </w:rPr>
            </w:pPr>
            <w:r w:rsidRPr="004353B6">
              <w:rPr>
                <w:b/>
                <w:sz w:val="16"/>
              </w:rPr>
              <w:t>Dentition (tannsett)</w:t>
            </w:r>
          </w:p>
        </w:tc>
        <w:tc>
          <w:tcPr>
            <w:tcW w:w="2268" w:type="dxa"/>
          </w:tcPr>
          <w:p w:rsidR="00520F04" w:rsidRPr="00CE04F1" w:rsidP="006E16E6" w14:paraId="770782DD" w14:textId="77777777">
            <w:pPr>
              <w:rPr>
                <w:sz w:val="16"/>
                <w:szCs w:val="16"/>
                <w:lang w:val="en-US"/>
              </w:rPr>
            </w:pPr>
            <w:r w:rsidRPr="00CE04F1">
              <w:rPr>
                <w:sz w:val="16"/>
                <w:szCs w:val="16"/>
                <w:lang w:val="en-US"/>
              </w:rPr>
              <w:t>D</w:t>
            </w:r>
            <w:r w:rsidRPr="00CE04F1">
              <w:rPr>
                <w:sz w:val="16"/>
                <w:szCs w:val="16"/>
                <w:vertAlign w:val="subscript"/>
                <w:lang w:val="en-US"/>
              </w:rPr>
              <w:t>max</w:t>
            </w:r>
            <w:r w:rsidRPr="00CE04F1">
              <w:rPr>
                <w:sz w:val="16"/>
                <w:szCs w:val="16"/>
                <w:lang w:val="en-US"/>
              </w:rPr>
              <w:t xml:space="preserve"> </w:t>
            </w:r>
            <w:r w:rsidRPr="00CE04F1">
              <w:rPr>
                <w:rFonts w:cstheme="minorHAnsi"/>
                <w:sz w:val="16"/>
                <w:szCs w:val="16"/>
                <w:lang w:val="en-US"/>
              </w:rPr>
              <w:t>≤</w:t>
            </w:r>
            <w:r w:rsidRPr="00CE04F1">
              <w:rPr>
                <w:sz w:val="16"/>
                <w:szCs w:val="16"/>
                <w:lang w:val="en-US"/>
              </w:rPr>
              <w:t xml:space="preserve"> </w:t>
            </w:r>
            <w:r>
              <w:rPr>
                <w:sz w:val="16"/>
                <w:szCs w:val="16"/>
                <w:lang w:val="en-US"/>
              </w:rPr>
              <w:t>20</w:t>
            </w:r>
            <w:r w:rsidRPr="00CE04F1">
              <w:rPr>
                <w:sz w:val="16"/>
                <w:szCs w:val="16"/>
                <w:lang w:val="en-US"/>
              </w:rPr>
              <w:t xml:space="preserve"> Gy (RBE)</w:t>
            </w:r>
          </w:p>
          <w:p w:rsidR="00520F04" w:rsidRPr="00CE04F1" w:rsidP="006E16E6" w14:paraId="7634533D" w14:textId="77777777">
            <w:pPr>
              <w:rPr>
                <w:sz w:val="16"/>
                <w:szCs w:val="16"/>
                <w:lang w:val="en-US"/>
              </w:rPr>
            </w:pPr>
          </w:p>
        </w:tc>
        <w:tc>
          <w:tcPr>
            <w:tcW w:w="2494" w:type="dxa"/>
          </w:tcPr>
          <w:p w:rsidR="00520F04" w:rsidP="006E16E6" w14:paraId="506A4E36" w14:textId="77777777">
            <w:pPr>
              <w:rPr>
                <w:sz w:val="16"/>
                <w:szCs w:val="16"/>
              </w:rPr>
            </w:pPr>
            <w:r w:rsidRPr="0097509B">
              <w:rPr>
                <w:sz w:val="16"/>
                <w:szCs w:val="16"/>
              </w:rPr>
              <w:t>Utviklingsavvik i tannhelse</w:t>
            </w:r>
          </w:p>
        </w:tc>
        <w:tc>
          <w:tcPr>
            <w:tcW w:w="1616" w:type="dxa"/>
          </w:tcPr>
          <w:p w:rsidR="00520F04" w:rsidRPr="003003EF" w:rsidP="006E16E6" w14:paraId="19473B9F" w14:textId="77777777">
            <w:pPr>
              <w:rPr>
                <w:sz w:val="16"/>
                <w:szCs w:val="16"/>
              </w:rPr>
            </w:pPr>
            <w:r>
              <w:rPr>
                <w:sz w:val="16"/>
                <w:szCs w:val="16"/>
              </w:rPr>
              <w:t>Spesielt viktig for barn under 4 år. Sannsynlighet øker med lavere alder.</w:t>
            </w:r>
          </w:p>
        </w:tc>
      </w:tr>
      <w:tr w14:paraId="0FA96B28" w14:textId="77777777" w:rsidTr="002155CF">
        <w:tblPrEx>
          <w:tblW w:w="9067" w:type="dxa"/>
          <w:tblLayout w:type="fixed"/>
          <w:tblLook w:val="04A0"/>
        </w:tblPrEx>
        <w:tc>
          <w:tcPr>
            <w:tcW w:w="1026" w:type="dxa"/>
          </w:tcPr>
          <w:p w:rsidR="00520F04" w:rsidRPr="00131D53" w:rsidP="006E16E6" w14:paraId="5862AE03" w14:textId="77777777">
            <w:pPr>
              <w:rPr>
                <w:sz w:val="16"/>
              </w:rPr>
            </w:pPr>
          </w:p>
        </w:tc>
        <w:tc>
          <w:tcPr>
            <w:tcW w:w="1663" w:type="dxa"/>
          </w:tcPr>
          <w:p w:rsidR="00520F04" w:rsidRPr="004353B6" w:rsidP="006E16E6" w14:paraId="5CBA88D9" w14:textId="77777777">
            <w:pPr>
              <w:rPr>
                <w:b/>
                <w:sz w:val="16"/>
              </w:rPr>
            </w:pPr>
            <w:r w:rsidRPr="004353B6">
              <w:rPr>
                <w:b/>
                <w:sz w:val="16"/>
              </w:rPr>
              <w:t>Pituitary</w:t>
            </w:r>
          </w:p>
        </w:tc>
        <w:tc>
          <w:tcPr>
            <w:tcW w:w="2268" w:type="dxa"/>
          </w:tcPr>
          <w:p w:rsidR="00520F04" w:rsidRPr="00DD0D2A" w:rsidP="006E16E6" w14:paraId="7B20CBEA" w14:textId="77777777">
            <w:pPr>
              <w:rPr>
                <w:sz w:val="16"/>
                <w:szCs w:val="16"/>
                <w:lang w:val="en-US"/>
              </w:rPr>
            </w:pPr>
            <w:r w:rsidRPr="00CE04F1">
              <w:rPr>
                <w:sz w:val="16"/>
                <w:szCs w:val="16"/>
                <w:lang w:val="en-US"/>
              </w:rPr>
              <w:t>D</w:t>
            </w:r>
            <w:r>
              <w:rPr>
                <w:sz w:val="16"/>
                <w:szCs w:val="16"/>
                <w:vertAlign w:val="subscript"/>
                <w:lang w:val="en-US"/>
              </w:rPr>
              <w:t>min</w:t>
            </w:r>
            <w:r w:rsidRPr="00CE04F1">
              <w:rPr>
                <w:sz w:val="16"/>
                <w:szCs w:val="16"/>
                <w:lang w:val="en-US"/>
              </w:rPr>
              <w:t xml:space="preserve"> </w:t>
            </w:r>
            <w:r w:rsidRPr="00CE04F1">
              <w:rPr>
                <w:rFonts w:cstheme="minorHAnsi"/>
                <w:sz w:val="16"/>
                <w:szCs w:val="16"/>
                <w:lang w:val="en-US"/>
              </w:rPr>
              <w:t>≤</w:t>
            </w:r>
            <w:r>
              <w:rPr>
                <w:sz w:val="16"/>
                <w:szCs w:val="16"/>
                <w:lang w:val="en-US"/>
              </w:rPr>
              <w:t xml:space="preserve"> 15</w:t>
            </w:r>
            <w:r w:rsidRPr="00CE04F1">
              <w:rPr>
                <w:sz w:val="16"/>
                <w:szCs w:val="16"/>
                <w:lang w:val="en-US"/>
              </w:rPr>
              <w:t xml:space="preserve"> Gy (RBE)</w:t>
            </w:r>
          </w:p>
        </w:tc>
        <w:tc>
          <w:tcPr>
            <w:tcW w:w="2494" w:type="dxa"/>
          </w:tcPr>
          <w:p w:rsidR="00520F04" w:rsidRPr="003003EF" w:rsidP="006E16E6" w14:paraId="343BBD1B" w14:textId="77777777">
            <w:pPr>
              <w:rPr>
                <w:sz w:val="16"/>
                <w:szCs w:val="16"/>
              </w:rPr>
            </w:pPr>
            <w:r>
              <w:rPr>
                <w:sz w:val="16"/>
                <w:szCs w:val="16"/>
              </w:rPr>
              <w:t>Veksthormonmangel (5%)</w:t>
            </w:r>
          </w:p>
        </w:tc>
        <w:tc>
          <w:tcPr>
            <w:tcW w:w="1616" w:type="dxa"/>
          </w:tcPr>
          <w:p w:rsidR="00520F04" w:rsidRPr="003003EF" w:rsidP="006E16E6" w14:paraId="72D27A44" w14:textId="77777777">
            <w:pPr>
              <w:rPr>
                <w:sz w:val="16"/>
                <w:szCs w:val="16"/>
              </w:rPr>
            </w:pPr>
          </w:p>
        </w:tc>
      </w:tr>
      <w:tr w14:paraId="2291A0E2" w14:textId="77777777" w:rsidTr="002155CF">
        <w:tblPrEx>
          <w:tblW w:w="9067" w:type="dxa"/>
          <w:tblLayout w:type="fixed"/>
          <w:tblLook w:val="04A0"/>
        </w:tblPrEx>
        <w:tc>
          <w:tcPr>
            <w:tcW w:w="1026" w:type="dxa"/>
          </w:tcPr>
          <w:p w:rsidR="00520F04" w:rsidRPr="00131D53" w:rsidP="006E16E6" w14:paraId="71809919" w14:textId="77777777">
            <w:pPr>
              <w:rPr>
                <w:sz w:val="16"/>
              </w:rPr>
            </w:pPr>
          </w:p>
        </w:tc>
        <w:tc>
          <w:tcPr>
            <w:tcW w:w="1663" w:type="dxa"/>
          </w:tcPr>
          <w:p w:rsidR="00520F04" w:rsidRPr="004353B6" w:rsidP="006E16E6" w14:paraId="6D7E3D6E" w14:textId="77777777">
            <w:pPr>
              <w:rPr>
                <w:b/>
                <w:sz w:val="16"/>
              </w:rPr>
            </w:pPr>
            <w:r w:rsidRPr="004353B6">
              <w:rPr>
                <w:b/>
                <w:sz w:val="16"/>
              </w:rPr>
              <w:t>ThyroidGland</w:t>
            </w:r>
          </w:p>
        </w:tc>
        <w:tc>
          <w:tcPr>
            <w:tcW w:w="2268" w:type="dxa"/>
          </w:tcPr>
          <w:p w:rsidR="00520F04" w:rsidRPr="00CF7D0E" w:rsidP="006E16E6" w14:paraId="1F078DCA" w14:textId="77777777">
            <w:pPr>
              <w:rPr>
                <w:sz w:val="16"/>
                <w:szCs w:val="16"/>
              </w:rPr>
            </w:pPr>
            <w:r w:rsidRPr="00CE04F1">
              <w:rPr>
                <w:sz w:val="16"/>
                <w:szCs w:val="16"/>
                <w:lang w:val="en-US"/>
              </w:rPr>
              <w:t>D</w:t>
            </w:r>
            <w:r>
              <w:rPr>
                <w:sz w:val="16"/>
                <w:szCs w:val="16"/>
                <w:vertAlign w:val="subscript"/>
                <w:lang w:val="en-US"/>
              </w:rPr>
              <w:t>mean</w:t>
            </w:r>
            <w:r w:rsidRPr="00CE04F1">
              <w:rPr>
                <w:sz w:val="16"/>
                <w:szCs w:val="16"/>
                <w:lang w:val="en-US"/>
              </w:rPr>
              <w:t xml:space="preserve"> </w:t>
            </w:r>
            <w:r w:rsidRPr="00CE04F1">
              <w:rPr>
                <w:rFonts w:cstheme="minorHAnsi"/>
                <w:sz w:val="16"/>
                <w:szCs w:val="16"/>
                <w:lang w:val="en-US"/>
              </w:rPr>
              <w:t>≤</w:t>
            </w:r>
            <w:r w:rsidRPr="00CE04F1">
              <w:rPr>
                <w:sz w:val="16"/>
                <w:szCs w:val="16"/>
                <w:lang w:val="en-US"/>
              </w:rPr>
              <w:t xml:space="preserve"> </w:t>
            </w:r>
            <w:r>
              <w:rPr>
                <w:sz w:val="16"/>
                <w:szCs w:val="16"/>
                <w:lang w:val="en-US"/>
              </w:rPr>
              <w:t>10</w:t>
            </w:r>
            <w:r w:rsidRPr="00CE04F1">
              <w:rPr>
                <w:sz w:val="16"/>
                <w:szCs w:val="16"/>
                <w:lang w:val="en-US"/>
              </w:rPr>
              <w:t xml:space="preserve"> Gy (RBE)</w:t>
            </w:r>
          </w:p>
        </w:tc>
        <w:tc>
          <w:tcPr>
            <w:tcW w:w="2494" w:type="dxa"/>
          </w:tcPr>
          <w:p w:rsidR="00520F04" w:rsidP="006E16E6" w14:paraId="7FD7365A" w14:textId="77777777">
            <w:pPr>
              <w:rPr>
                <w:sz w:val="16"/>
                <w:szCs w:val="16"/>
              </w:rPr>
            </w:pPr>
            <w:r>
              <w:rPr>
                <w:sz w:val="16"/>
                <w:szCs w:val="16"/>
              </w:rPr>
              <w:t>Kompensert s</w:t>
            </w:r>
            <w:r w:rsidRPr="005E0EDF">
              <w:rPr>
                <w:sz w:val="16"/>
                <w:szCs w:val="16"/>
              </w:rPr>
              <w:t>ubklinisk hypotyreose</w:t>
            </w:r>
            <w:r>
              <w:rPr>
                <w:sz w:val="16"/>
                <w:szCs w:val="16"/>
              </w:rPr>
              <w:t xml:space="preserve"> (12%)</w:t>
            </w:r>
          </w:p>
          <w:p w:rsidR="00520F04" w:rsidRPr="003003EF" w:rsidP="006E16E6" w14:paraId="7E4D0ED5" w14:textId="77777777">
            <w:pPr>
              <w:rPr>
                <w:sz w:val="16"/>
                <w:szCs w:val="16"/>
              </w:rPr>
            </w:pPr>
            <w:r>
              <w:rPr>
                <w:sz w:val="16"/>
                <w:szCs w:val="16"/>
              </w:rPr>
              <w:t xml:space="preserve">Ukompensert </w:t>
            </w:r>
            <w:r w:rsidRPr="005E0EDF">
              <w:rPr>
                <w:sz w:val="16"/>
                <w:szCs w:val="16"/>
              </w:rPr>
              <w:t>klinisk hypotyreose</w:t>
            </w:r>
            <w:r>
              <w:rPr>
                <w:sz w:val="16"/>
                <w:szCs w:val="16"/>
              </w:rPr>
              <w:t xml:space="preserve"> (12%)</w:t>
            </w:r>
          </w:p>
        </w:tc>
        <w:tc>
          <w:tcPr>
            <w:tcW w:w="1616" w:type="dxa"/>
          </w:tcPr>
          <w:p w:rsidR="00520F04" w:rsidRPr="003003EF" w:rsidP="006E16E6" w14:paraId="6D3EF032" w14:textId="77777777">
            <w:pPr>
              <w:rPr>
                <w:sz w:val="16"/>
                <w:szCs w:val="16"/>
              </w:rPr>
            </w:pPr>
            <w:r>
              <w:rPr>
                <w:sz w:val="16"/>
                <w:szCs w:val="16"/>
              </w:rPr>
              <w:t>Større risiko for jenter enn gutter. Større risiko for alder &gt; 14 enn for yngre pasienter.</w:t>
            </w:r>
          </w:p>
        </w:tc>
      </w:tr>
      <w:tr w14:paraId="14A5006C" w14:textId="77777777" w:rsidTr="002155CF">
        <w:tblPrEx>
          <w:tblW w:w="9067" w:type="dxa"/>
          <w:tblLayout w:type="fixed"/>
          <w:tblLook w:val="04A0"/>
        </w:tblPrEx>
        <w:tc>
          <w:tcPr>
            <w:tcW w:w="1026" w:type="dxa"/>
          </w:tcPr>
          <w:p w:rsidR="00520F04" w:rsidP="006E16E6" w14:paraId="50C2E66D" w14:textId="77777777">
            <w:pPr>
              <w:rPr>
                <w:sz w:val="18"/>
              </w:rPr>
            </w:pPr>
          </w:p>
          <w:p w:rsidR="00520F04" w:rsidRPr="00131D53" w:rsidP="006E16E6" w14:paraId="47D5B52C" w14:textId="6AB22F06">
            <w:pPr>
              <w:rPr>
                <w:sz w:val="16"/>
              </w:rPr>
            </w:pPr>
            <w:r w:rsidRPr="004353B6">
              <w:rPr>
                <w:sz w:val="18"/>
              </w:rPr>
              <w:t>Thorax</w:t>
            </w:r>
          </w:p>
        </w:tc>
        <w:tc>
          <w:tcPr>
            <w:tcW w:w="1663" w:type="dxa"/>
          </w:tcPr>
          <w:p w:rsidR="00520F04" w:rsidP="006E16E6" w14:paraId="6C94463A" w14:textId="77777777">
            <w:pPr>
              <w:rPr>
                <w:b/>
                <w:sz w:val="16"/>
              </w:rPr>
            </w:pPr>
          </w:p>
        </w:tc>
        <w:tc>
          <w:tcPr>
            <w:tcW w:w="2268" w:type="dxa"/>
          </w:tcPr>
          <w:p w:rsidR="00520F04" w:rsidP="006E16E6" w14:paraId="0F5718D5" w14:textId="77777777">
            <w:pPr>
              <w:rPr>
                <w:sz w:val="16"/>
                <w:szCs w:val="16"/>
              </w:rPr>
            </w:pPr>
          </w:p>
        </w:tc>
        <w:tc>
          <w:tcPr>
            <w:tcW w:w="2494" w:type="dxa"/>
          </w:tcPr>
          <w:p w:rsidR="00520F04" w:rsidP="006E16E6" w14:paraId="1B605D4D" w14:textId="77777777">
            <w:pPr>
              <w:rPr>
                <w:sz w:val="16"/>
                <w:szCs w:val="16"/>
              </w:rPr>
            </w:pPr>
          </w:p>
        </w:tc>
        <w:tc>
          <w:tcPr>
            <w:tcW w:w="1616" w:type="dxa"/>
          </w:tcPr>
          <w:p w:rsidR="00520F04" w:rsidP="006E16E6" w14:paraId="5AE8161B" w14:textId="77777777">
            <w:pPr>
              <w:rPr>
                <w:sz w:val="16"/>
                <w:szCs w:val="16"/>
              </w:rPr>
            </w:pPr>
          </w:p>
        </w:tc>
      </w:tr>
      <w:tr w14:paraId="55453EA3" w14:textId="77777777" w:rsidTr="002155CF">
        <w:tblPrEx>
          <w:tblW w:w="9067" w:type="dxa"/>
          <w:tblLayout w:type="fixed"/>
          <w:tblLook w:val="04A0"/>
        </w:tblPrEx>
        <w:tc>
          <w:tcPr>
            <w:tcW w:w="1026" w:type="dxa"/>
          </w:tcPr>
          <w:p w:rsidR="00520F04" w:rsidRPr="0071516E" w:rsidP="006E16E6" w14:paraId="190DF751" w14:textId="77777777">
            <w:pPr>
              <w:jc w:val="center"/>
              <w:rPr>
                <w:sz w:val="18"/>
              </w:rPr>
            </w:pPr>
          </w:p>
        </w:tc>
        <w:tc>
          <w:tcPr>
            <w:tcW w:w="1663" w:type="dxa"/>
          </w:tcPr>
          <w:p w:rsidR="00520F04" w:rsidRPr="009C16D3" w:rsidP="006E16E6" w14:paraId="47D5AE39" w14:textId="77777777">
            <w:pPr>
              <w:rPr>
                <w:b/>
                <w:sz w:val="16"/>
              </w:rPr>
            </w:pPr>
            <w:r>
              <w:rPr>
                <w:b/>
                <w:sz w:val="16"/>
              </w:rPr>
              <w:t>Breast bud (brystknoppen)</w:t>
            </w:r>
          </w:p>
        </w:tc>
        <w:tc>
          <w:tcPr>
            <w:tcW w:w="2268" w:type="dxa"/>
          </w:tcPr>
          <w:p w:rsidR="00520F04" w:rsidRPr="00CF7D0E" w:rsidP="006E16E6" w14:paraId="6B89ABB4" w14:textId="77777777">
            <w:pPr>
              <w:rPr>
                <w:sz w:val="16"/>
                <w:szCs w:val="16"/>
              </w:rPr>
            </w:pPr>
            <w:r>
              <w:rPr>
                <w:sz w:val="16"/>
                <w:szCs w:val="16"/>
              </w:rPr>
              <w:t>ALARA</w:t>
            </w:r>
          </w:p>
        </w:tc>
        <w:tc>
          <w:tcPr>
            <w:tcW w:w="2494" w:type="dxa"/>
          </w:tcPr>
          <w:p w:rsidR="00520F04" w:rsidP="006E16E6" w14:paraId="1B8D00EB" w14:textId="77777777">
            <w:pPr>
              <w:rPr>
                <w:sz w:val="16"/>
                <w:szCs w:val="16"/>
              </w:rPr>
            </w:pPr>
            <w:r>
              <w:rPr>
                <w:sz w:val="16"/>
                <w:szCs w:val="16"/>
              </w:rPr>
              <w:t>Underutviklede bryster</w:t>
            </w:r>
          </w:p>
        </w:tc>
        <w:tc>
          <w:tcPr>
            <w:tcW w:w="1616" w:type="dxa"/>
          </w:tcPr>
          <w:p w:rsidR="00520F04" w:rsidP="006E16E6" w14:paraId="0B68F9D6" w14:textId="77777777">
            <w:pPr>
              <w:rPr>
                <w:sz w:val="16"/>
                <w:szCs w:val="16"/>
              </w:rPr>
            </w:pPr>
            <w:r>
              <w:rPr>
                <w:sz w:val="16"/>
                <w:szCs w:val="16"/>
              </w:rPr>
              <w:t>Også veldig lave doser (&lt;1 Gy (RBE) gir stor økning i risiko for underutviklede bryster, spesielt hos barn under 4 år.</w:t>
            </w:r>
          </w:p>
        </w:tc>
      </w:tr>
      <w:tr w14:paraId="72BEEA3E" w14:textId="77777777" w:rsidTr="002155CF">
        <w:tblPrEx>
          <w:tblW w:w="9067" w:type="dxa"/>
          <w:tblLayout w:type="fixed"/>
          <w:tblLook w:val="04A0"/>
        </w:tblPrEx>
        <w:tc>
          <w:tcPr>
            <w:tcW w:w="1026" w:type="dxa"/>
          </w:tcPr>
          <w:p w:rsidR="00520F04" w:rsidRPr="0071516E" w:rsidP="006E16E6" w14:paraId="5C80E062" w14:textId="77777777">
            <w:pPr>
              <w:jc w:val="center"/>
              <w:rPr>
                <w:sz w:val="18"/>
              </w:rPr>
            </w:pPr>
          </w:p>
        </w:tc>
        <w:tc>
          <w:tcPr>
            <w:tcW w:w="1663" w:type="dxa"/>
          </w:tcPr>
          <w:p w:rsidR="00520F04" w:rsidP="006E16E6" w14:paraId="572D0264" w14:textId="77777777">
            <w:pPr>
              <w:rPr>
                <w:b/>
                <w:sz w:val="16"/>
              </w:rPr>
            </w:pPr>
            <w:r>
              <w:rPr>
                <w:b/>
                <w:sz w:val="16"/>
              </w:rPr>
              <w:t>SpinalCord</w:t>
            </w:r>
          </w:p>
        </w:tc>
        <w:tc>
          <w:tcPr>
            <w:tcW w:w="2268" w:type="dxa"/>
          </w:tcPr>
          <w:p w:rsidR="00520F04" w:rsidRPr="003544FA" w:rsidP="006E16E6" w14:paraId="74C19AA7" w14:textId="77777777">
            <w:pPr>
              <w:rPr>
                <w:sz w:val="16"/>
                <w:szCs w:val="16"/>
                <w:lang w:val="en-US"/>
              </w:rPr>
            </w:pPr>
            <w:r w:rsidRPr="003544FA">
              <w:rPr>
                <w:sz w:val="16"/>
                <w:szCs w:val="16"/>
                <w:lang w:val="en-US"/>
              </w:rPr>
              <w:t>D</w:t>
            </w:r>
            <w:r w:rsidRPr="003544FA">
              <w:rPr>
                <w:sz w:val="16"/>
                <w:szCs w:val="16"/>
                <w:vertAlign w:val="subscript"/>
                <w:lang w:val="en-US"/>
              </w:rPr>
              <w:t>0.03cc</w:t>
            </w:r>
            <w:r w:rsidRPr="003544FA">
              <w:rPr>
                <w:sz w:val="16"/>
                <w:szCs w:val="16"/>
                <w:lang w:val="en-US"/>
              </w:rPr>
              <w:t xml:space="preserve"> &lt; 50 Gy (RBE)</w:t>
            </w:r>
          </w:p>
          <w:p w:rsidR="00520F04" w:rsidRPr="003544FA" w:rsidP="006E16E6" w14:paraId="42570130" w14:textId="77777777">
            <w:pPr>
              <w:rPr>
                <w:sz w:val="16"/>
                <w:szCs w:val="16"/>
                <w:lang w:val="en-US"/>
              </w:rPr>
            </w:pPr>
            <w:r w:rsidRPr="003544FA">
              <w:rPr>
                <w:sz w:val="16"/>
                <w:szCs w:val="16"/>
                <w:lang w:val="en-US"/>
              </w:rPr>
              <w:t>D</w:t>
            </w:r>
            <w:r w:rsidRPr="003544FA">
              <w:rPr>
                <w:sz w:val="16"/>
                <w:szCs w:val="16"/>
                <w:vertAlign w:val="subscript"/>
                <w:lang w:val="en-US"/>
              </w:rPr>
              <w:t>1cc</w:t>
            </w:r>
            <w:r w:rsidRPr="003544FA">
              <w:rPr>
                <w:sz w:val="16"/>
                <w:szCs w:val="16"/>
                <w:lang w:val="en-US"/>
              </w:rPr>
              <w:t xml:space="preserve"> &lt; 45 Gy (RBE)</w:t>
            </w:r>
          </w:p>
        </w:tc>
        <w:tc>
          <w:tcPr>
            <w:tcW w:w="2494" w:type="dxa"/>
          </w:tcPr>
          <w:p w:rsidR="00520F04" w:rsidP="006E16E6" w14:paraId="1ED5667B" w14:textId="77777777">
            <w:pPr>
              <w:rPr>
                <w:sz w:val="16"/>
                <w:szCs w:val="16"/>
              </w:rPr>
            </w:pPr>
            <w:r>
              <w:rPr>
                <w:sz w:val="16"/>
                <w:szCs w:val="16"/>
              </w:rPr>
              <w:t>Myleopati (sjeldent)</w:t>
            </w:r>
          </w:p>
        </w:tc>
        <w:tc>
          <w:tcPr>
            <w:tcW w:w="1616" w:type="dxa"/>
          </w:tcPr>
          <w:p w:rsidR="00520F04" w:rsidP="006E16E6" w14:paraId="7BC94091" w14:textId="77777777">
            <w:pPr>
              <w:rPr>
                <w:sz w:val="16"/>
                <w:szCs w:val="16"/>
              </w:rPr>
            </w:pPr>
          </w:p>
        </w:tc>
      </w:tr>
      <w:tr w14:paraId="423DD034" w14:textId="77777777" w:rsidTr="002155CF">
        <w:tblPrEx>
          <w:tblW w:w="9067" w:type="dxa"/>
          <w:tblLayout w:type="fixed"/>
          <w:tblLook w:val="04A0"/>
        </w:tblPrEx>
        <w:tc>
          <w:tcPr>
            <w:tcW w:w="1026" w:type="dxa"/>
          </w:tcPr>
          <w:p w:rsidR="00520F04" w:rsidRPr="004353B6" w:rsidP="006E16E6" w14:paraId="212D3833" w14:textId="77777777">
            <w:pPr>
              <w:rPr>
                <w:sz w:val="16"/>
              </w:rPr>
            </w:pPr>
            <w:r w:rsidRPr="004353B6">
              <w:rPr>
                <w:sz w:val="18"/>
              </w:rPr>
              <w:t>Abdomen/</w:t>
            </w:r>
            <w:r w:rsidRPr="004353B6">
              <w:rPr>
                <w:sz w:val="18"/>
              </w:rPr>
              <w:br/>
            </w:r>
            <w:r>
              <w:rPr>
                <w:sz w:val="18"/>
              </w:rPr>
              <w:t>bekken</w:t>
            </w:r>
          </w:p>
        </w:tc>
        <w:tc>
          <w:tcPr>
            <w:tcW w:w="1663" w:type="dxa"/>
          </w:tcPr>
          <w:p w:rsidR="00520F04" w:rsidRPr="004353B6" w:rsidP="006E16E6" w14:paraId="5ED1B0C0" w14:textId="77777777">
            <w:pPr>
              <w:rPr>
                <w:sz w:val="16"/>
              </w:rPr>
            </w:pPr>
          </w:p>
        </w:tc>
        <w:tc>
          <w:tcPr>
            <w:tcW w:w="2268" w:type="dxa"/>
          </w:tcPr>
          <w:p w:rsidR="00520F04" w:rsidRPr="004353B6" w:rsidP="006E16E6" w14:paraId="2D76A6BE" w14:textId="77777777">
            <w:pPr>
              <w:rPr>
                <w:sz w:val="16"/>
              </w:rPr>
            </w:pPr>
          </w:p>
        </w:tc>
        <w:tc>
          <w:tcPr>
            <w:tcW w:w="2494" w:type="dxa"/>
          </w:tcPr>
          <w:p w:rsidR="00520F04" w:rsidRPr="004353B6" w:rsidP="006E16E6" w14:paraId="3BE79D91" w14:textId="77777777">
            <w:pPr>
              <w:rPr>
                <w:sz w:val="16"/>
              </w:rPr>
            </w:pPr>
          </w:p>
        </w:tc>
        <w:tc>
          <w:tcPr>
            <w:tcW w:w="1616" w:type="dxa"/>
          </w:tcPr>
          <w:p w:rsidR="00520F04" w:rsidRPr="004353B6" w:rsidP="006E16E6" w14:paraId="3F9495A6" w14:textId="77777777">
            <w:pPr>
              <w:rPr>
                <w:sz w:val="16"/>
              </w:rPr>
            </w:pPr>
          </w:p>
        </w:tc>
      </w:tr>
      <w:tr w14:paraId="0A51C82F" w14:textId="77777777" w:rsidTr="002155CF">
        <w:tblPrEx>
          <w:tblW w:w="9067" w:type="dxa"/>
          <w:tblLayout w:type="fixed"/>
          <w:tblLook w:val="04A0"/>
        </w:tblPrEx>
        <w:tc>
          <w:tcPr>
            <w:tcW w:w="1026" w:type="dxa"/>
          </w:tcPr>
          <w:p w:rsidR="00520F04" w:rsidRPr="00CF7D0E" w:rsidP="006E16E6" w14:paraId="58693EFE" w14:textId="77777777">
            <w:pPr>
              <w:rPr>
                <w:sz w:val="16"/>
              </w:rPr>
            </w:pPr>
          </w:p>
        </w:tc>
        <w:tc>
          <w:tcPr>
            <w:tcW w:w="1663" w:type="dxa"/>
          </w:tcPr>
          <w:p w:rsidR="00520F04" w:rsidRPr="00A72D95" w:rsidP="006E16E6" w14:paraId="58A289E3" w14:textId="77777777">
            <w:pPr>
              <w:rPr>
                <w:b/>
                <w:sz w:val="16"/>
              </w:rPr>
            </w:pPr>
            <w:r>
              <w:rPr>
                <w:b/>
                <w:sz w:val="16"/>
              </w:rPr>
              <w:t>Kidney_L/R</w:t>
            </w:r>
          </w:p>
        </w:tc>
        <w:tc>
          <w:tcPr>
            <w:tcW w:w="2268" w:type="dxa"/>
          </w:tcPr>
          <w:p w:rsidR="00520F04" w:rsidRPr="00CF7D0E" w:rsidP="006E16E6" w14:paraId="6E90ADB7" w14:textId="77777777">
            <w:pPr>
              <w:rPr>
                <w:sz w:val="16"/>
              </w:rPr>
            </w:pPr>
            <w:r w:rsidRPr="00CE04F1">
              <w:rPr>
                <w:sz w:val="16"/>
                <w:szCs w:val="16"/>
                <w:lang w:val="en-US"/>
              </w:rPr>
              <w:t>D</w:t>
            </w:r>
            <w:r>
              <w:rPr>
                <w:sz w:val="16"/>
                <w:szCs w:val="16"/>
                <w:vertAlign w:val="subscript"/>
                <w:lang w:val="en-US"/>
              </w:rPr>
              <w:t>min</w:t>
            </w:r>
            <w:r w:rsidRPr="00CE04F1">
              <w:rPr>
                <w:sz w:val="16"/>
                <w:szCs w:val="16"/>
                <w:lang w:val="en-US"/>
              </w:rPr>
              <w:t xml:space="preserve"> </w:t>
            </w:r>
            <w:r w:rsidRPr="00CE04F1">
              <w:rPr>
                <w:rFonts w:cstheme="minorHAnsi"/>
                <w:sz w:val="16"/>
                <w:szCs w:val="16"/>
                <w:lang w:val="en-US"/>
              </w:rPr>
              <w:t>≤</w:t>
            </w:r>
            <w:r>
              <w:rPr>
                <w:sz w:val="16"/>
                <w:szCs w:val="16"/>
                <w:lang w:val="en-US"/>
              </w:rPr>
              <w:t xml:space="preserve"> 9.6</w:t>
            </w:r>
            <w:r w:rsidRPr="00CE04F1">
              <w:rPr>
                <w:sz w:val="16"/>
                <w:szCs w:val="16"/>
                <w:lang w:val="en-US"/>
              </w:rPr>
              <w:t xml:space="preserve"> Gy (RBE)</w:t>
            </w:r>
          </w:p>
        </w:tc>
        <w:tc>
          <w:tcPr>
            <w:tcW w:w="2494" w:type="dxa"/>
          </w:tcPr>
          <w:p w:rsidR="00520F04" w:rsidRPr="00101EDB" w:rsidP="006E16E6" w14:paraId="3F654708" w14:textId="77777777">
            <w:pPr>
              <w:rPr>
                <w:sz w:val="16"/>
              </w:rPr>
            </w:pPr>
            <w:r>
              <w:rPr>
                <w:sz w:val="16"/>
              </w:rPr>
              <w:t>Hypertensjon (5%)</w:t>
            </w:r>
          </w:p>
        </w:tc>
        <w:tc>
          <w:tcPr>
            <w:tcW w:w="1616" w:type="dxa"/>
          </w:tcPr>
          <w:p w:rsidR="00520F04" w:rsidRPr="00101EDB" w:rsidP="006E16E6" w14:paraId="2B62D9FF" w14:textId="77777777">
            <w:pPr>
              <w:rPr>
                <w:sz w:val="16"/>
              </w:rPr>
            </w:pPr>
          </w:p>
        </w:tc>
      </w:tr>
      <w:tr w14:paraId="328EB52C" w14:textId="77777777" w:rsidTr="002155CF">
        <w:tblPrEx>
          <w:tblW w:w="9067" w:type="dxa"/>
          <w:tblLayout w:type="fixed"/>
          <w:tblLook w:val="04A0"/>
        </w:tblPrEx>
        <w:tc>
          <w:tcPr>
            <w:tcW w:w="1026" w:type="dxa"/>
          </w:tcPr>
          <w:p w:rsidR="00520F04" w:rsidRPr="00CF7D0E" w:rsidP="006E16E6" w14:paraId="7E795D8E" w14:textId="77777777">
            <w:pPr>
              <w:rPr>
                <w:sz w:val="16"/>
              </w:rPr>
            </w:pPr>
          </w:p>
        </w:tc>
        <w:tc>
          <w:tcPr>
            <w:tcW w:w="1663" w:type="dxa"/>
          </w:tcPr>
          <w:p w:rsidR="00520F04" w:rsidP="006E16E6" w14:paraId="1107106B" w14:textId="77777777">
            <w:pPr>
              <w:rPr>
                <w:b/>
                <w:sz w:val="16"/>
              </w:rPr>
            </w:pPr>
            <w:r>
              <w:rPr>
                <w:b/>
                <w:sz w:val="16"/>
              </w:rPr>
              <w:t>Liver</w:t>
            </w:r>
          </w:p>
        </w:tc>
        <w:tc>
          <w:tcPr>
            <w:tcW w:w="2268" w:type="dxa"/>
          </w:tcPr>
          <w:p w:rsidR="00520F04" w:rsidRPr="00CE04F1" w:rsidP="006E16E6" w14:paraId="570D87DA" w14:textId="77777777">
            <w:pPr>
              <w:rPr>
                <w:sz w:val="16"/>
                <w:szCs w:val="16"/>
                <w:lang w:val="en-US"/>
              </w:rPr>
            </w:pPr>
            <w:r w:rsidRPr="00DA5916">
              <w:rPr>
                <w:sz w:val="16"/>
                <w:szCs w:val="16"/>
              </w:rPr>
              <w:t>D</w:t>
            </w:r>
            <w:r w:rsidRPr="00DA5916">
              <w:rPr>
                <w:sz w:val="16"/>
                <w:szCs w:val="16"/>
                <w:vertAlign w:val="subscript"/>
              </w:rPr>
              <w:t>min</w:t>
            </w:r>
            <w:r w:rsidRPr="00DA5916">
              <w:rPr>
                <w:sz w:val="16"/>
                <w:szCs w:val="16"/>
              </w:rPr>
              <w:t xml:space="preserve"> </w:t>
            </w:r>
            <w:r w:rsidRPr="00DA5916">
              <w:rPr>
                <w:rFonts w:cstheme="minorHAnsi"/>
                <w:sz w:val="16"/>
                <w:szCs w:val="16"/>
              </w:rPr>
              <w:t>≤</w:t>
            </w:r>
            <w:r w:rsidRPr="00DA5916">
              <w:rPr>
                <w:sz w:val="16"/>
                <w:szCs w:val="16"/>
              </w:rPr>
              <w:t xml:space="preserve"> 10 Gy </w:t>
            </w:r>
            <w:r w:rsidRPr="0071516E">
              <w:rPr>
                <w:sz w:val="16"/>
                <w:szCs w:val="16"/>
              </w:rPr>
              <w:t>(RBE)</w:t>
            </w:r>
          </w:p>
        </w:tc>
        <w:tc>
          <w:tcPr>
            <w:tcW w:w="2494" w:type="dxa"/>
          </w:tcPr>
          <w:p w:rsidR="00520F04" w:rsidP="006E16E6" w14:paraId="3D218BC4" w14:textId="77777777">
            <w:pPr>
              <w:rPr>
                <w:sz w:val="16"/>
              </w:rPr>
            </w:pPr>
            <w:r w:rsidRPr="005E0EDF">
              <w:rPr>
                <w:sz w:val="16"/>
                <w:szCs w:val="16"/>
              </w:rPr>
              <w:t>Hepatisk sinusoidal obstruktivt syndrom</w:t>
            </w:r>
            <w:r>
              <w:rPr>
                <w:sz w:val="16"/>
                <w:szCs w:val="16"/>
              </w:rPr>
              <w:t xml:space="preserve"> (6.1%)</w:t>
            </w:r>
          </w:p>
        </w:tc>
        <w:tc>
          <w:tcPr>
            <w:tcW w:w="1616" w:type="dxa"/>
          </w:tcPr>
          <w:p w:rsidR="00520F04" w:rsidRPr="00101EDB" w:rsidP="006E16E6" w14:paraId="4AFBA250" w14:textId="77777777">
            <w:pPr>
              <w:rPr>
                <w:sz w:val="16"/>
              </w:rPr>
            </w:pPr>
            <w:r>
              <w:rPr>
                <w:sz w:val="16"/>
                <w:szCs w:val="16"/>
              </w:rPr>
              <w:t>Større risiko for barn under 20 år enn for voksne</w:t>
            </w:r>
          </w:p>
        </w:tc>
      </w:tr>
      <w:tr w14:paraId="1AE1F7DB" w14:textId="77777777" w:rsidTr="002155CF">
        <w:tblPrEx>
          <w:tblW w:w="9067" w:type="dxa"/>
          <w:tblLayout w:type="fixed"/>
          <w:tblLook w:val="04A0"/>
        </w:tblPrEx>
        <w:tc>
          <w:tcPr>
            <w:tcW w:w="1026" w:type="dxa"/>
          </w:tcPr>
          <w:p w:rsidR="00520F04" w:rsidRPr="00CF7D0E" w:rsidP="006E16E6" w14:paraId="27C93838" w14:textId="77777777">
            <w:pPr>
              <w:rPr>
                <w:sz w:val="16"/>
              </w:rPr>
            </w:pPr>
          </w:p>
        </w:tc>
        <w:tc>
          <w:tcPr>
            <w:tcW w:w="1663" w:type="dxa"/>
          </w:tcPr>
          <w:p w:rsidR="00520F04" w:rsidP="006E16E6" w14:paraId="6D7E9103" w14:textId="77777777">
            <w:pPr>
              <w:rPr>
                <w:b/>
                <w:sz w:val="16"/>
              </w:rPr>
            </w:pPr>
            <w:r>
              <w:rPr>
                <w:b/>
                <w:sz w:val="16"/>
              </w:rPr>
              <w:t>Ovaries</w:t>
            </w:r>
          </w:p>
        </w:tc>
        <w:tc>
          <w:tcPr>
            <w:tcW w:w="2268" w:type="dxa"/>
          </w:tcPr>
          <w:p w:rsidR="00520F04" w:rsidP="006E16E6" w14:paraId="2B8E03AC" w14:textId="77777777">
            <w:pPr>
              <w:rPr>
                <w:sz w:val="16"/>
              </w:rPr>
            </w:pPr>
            <w:r>
              <w:rPr>
                <w:sz w:val="16"/>
              </w:rPr>
              <w:t>ALARA</w:t>
            </w:r>
          </w:p>
          <w:p w:rsidR="00520F04" w:rsidP="006E16E6" w14:paraId="022FA066" w14:textId="77777777">
            <w:pPr>
              <w:rPr>
                <w:sz w:val="16"/>
              </w:rPr>
            </w:pPr>
          </w:p>
          <w:p w:rsidR="00520F04" w:rsidRPr="00082A23" w:rsidP="006E16E6" w14:paraId="78292465" w14:textId="77777777">
            <w:pPr>
              <w:rPr>
                <w:b/>
                <w:sz w:val="16"/>
              </w:rPr>
            </w:pPr>
            <w:r w:rsidRPr="00082A23">
              <w:rPr>
                <w:b/>
                <w:sz w:val="16"/>
              </w:rPr>
              <w:t>Ingen kjemoterapi</w:t>
            </w:r>
          </w:p>
          <w:p w:rsidR="00520F04" w:rsidP="006E16E6" w14:paraId="5D663180" w14:textId="77777777">
            <w:pPr>
              <w:rPr>
                <w:sz w:val="16"/>
              </w:rPr>
            </w:pPr>
            <w:r>
              <w:rPr>
                <w:sz w:val="16"/>
              </w:rPr>
              <w:t>D &lt; 2 Gy (RBE)</w:t>
            </w:r>
          </w:p>
          <w:p w:rsidR="00520F04" w:rsidP="006E16E6" w14:paraId="3485E12E" w14:textId="77777777">
            <w:pPr>
              <w:rPr>
                <w:sz w:val="16"/>
              </w:rPr>
            </w:pPr>
            <w:r>
              <w:rPr>
                <w:sz w:val="16"/>
              </w:rPr>
              <w:t>D &lt; 24 Gy (RBE) (&lt;1 år)</w:t>
            </w:r>
          </w:p>
          <w:p w:rsidR="00520F04" w:rsidP="006E16E6" w14:paraId="0F1C67D9" w14:textId="77777777">
            <w:pPr>
              <w:rPr>
                <w:sz w:val="16"/>
                <w:szCs w:val="16"/>
              </w:rPr>
            </w:pPr>
            <w:r w:rsidRPr="5DD4D21D">
              <w:rPr>
                <w:sz w:val="16"/>
                <w:szCs w:val="16"/>
              </w:rPr>
              <w:t>D &lt; 20 Gy</w:t>
            </w:r>
            <w:r>
              <w:rPr>
                <w:sz w:val="16"/>
                <w:szCs w:val="16"/>
              </w:rPr>
              <w:t xml:space="preserve"> </w:t>
            </w:r>
            <w:r w:rsidRPr="5DD4D21D">
              <w:rPr>
                <w:sz w:val="16"/>
                <w:szCs w:val="16"/>
              </w:rPr>
              <w:t>(RBE) (&lt;2 år)</w:t>
            </w:r>
          </w:p>
          <w:p w:rsidR="00520F04" w:rsidP="006E16E6" w14:paraId="4FC8A3E8" w14:textId="77777777">
            <w:pPr>
              <w:rPr>
                <w:sz w:val="16"/>
                <w:szCs w:val="16"/>
              </w:rPr>
            </w:pPr>
            <w:r w:rsidRPr="5DD4D21D">
              <w:rPr>
                <w:sz w:val="16"/>
                <w:szCs w:val="16"/>
              </w:rPr>
              <w:t xml:space="preserve">D &lt; </w:t>
            </w:r>
            <w:r w:rsidRPr="5DD4D21D">
              <w:rPr>
                <w:sz w:val="16"/>
                <w:szCs w:val="16"/>
              </w:rPr>
              <w:t>10 Gy</w:t>
            </w:r>
            <w:r>
              <w:rPr>
                <w:sz w:val="16"/>
                <w:szCs w:val="16"/>
              </w:rPr>
              <w:t xml:space="preserve"> </w:t>
            </w:r>
            <w:r w:rsidRPr="5DD4D21D">
              <w:rPr>
                <w:sz w:val="16"/>
                <w:szCs w:val="16"/>
              </w:rPr>
              <w:t>(RBE) (&lt;20 år)</w:t>
            </w:r>
          </w:p>
          <w:p w:rsidR="00520F04" w:rsidP="006E16E6" w14:paraId="5F44DE56" w14:textId="77777777">
            <w:pPr>
              <w:rPr>
                <w:sz w:val="16"/>
              </w:rPr>
            </w:pPr>
          </w:p>
          <w:p w:rsidR="00520F04" w:rsidP="006E16E6" w14:paraId="70126806" w14:textId="77777777">
            <w:pPr>
              <w:rPr>
                <w:b/>
                <w:sz w:val="16"/>
              </w:rPr>
            </w:pPr>
            <w:r w:rsidRPr="00082A23">
              <w:rPr>
                <w:b/>
                <w:sz w:val="16"/>
              </w:rPr>
              <w:t>Mellomdose av alkylator</w:t>
            </w:r>
          </w:p>
          <w:p w:rsidR="00520F04" w:rsidP="006E16E6" w14:paraId="0D2DA5C5" w14:textId="77777777">
            <w:pPr>
              <w:rPr>
                <w:sz w:val="16"/>
              </w:rPr>
            </w:pPr>
            <w:r>
              <w:rPr>
                <w:sz w:val="16"/>
              </w:rPr>
              <w:t>D &lt; 2 Gy (RBE)</w:t>
            </w:r>
          </w:p>
          <w:p w:rsidR="00520F04" w:rsidP="006E16E6" w14:paraId="2B3D2626" w14:textId="77777777">
            <w:pPr>
              <w:rPr>
                <w:sz w:val="16"/>
              </w:rPr>
            </w:pPr>
            <w:r>
              <w:rPr>
                <w:sz w:val="16"/>
              </w:rPr>
              <w:t>D &lt; 22.5 Gy (RBE) (&lt;1 år)</w:t>
            </w:r>
          </w:p>
          <w:p w:rsidR="00520F04" w:rsidP="006E16E6" w14:paraId="63ED4064" w14:textId="77777777">
            <w:pPr>
              <w:rPr>
                <w:sz w:val="16"/>
              </w:rPr>
            </w:pPr>
            <w:r>
              <w:rPr>
                <w:sz w:val="16"/>
              </w:rPr>
              <w:t>D &lt; 17 Gy (RBE) (&lt;2 år)</w:t>
            </w:r>
          </w:p>
          <w:p w:rsidR="00520F04" w:rsidP="006E16E6" w14:paraId="1FCC2C33" w14:textId="77777777">
            <w:pPr>
              <w:rPr>
                <w:sz w:val="16"/>
              </w:rPr>
            </w:pPr>
            <w:r>
              <w:rPr>
                <w:sz w:val="16"/>
              </w:rPr>
              <w:t>D &lt; 10 Gy (RBE) (&lt;20 år)</w:t>
            </w:r>
          </w:p>
          <w:p w:rsidR="00520F04" w:rsidP="006E16E6" w14:paraId="76C85B45" w14:textId="77777777">
            <w:pPr>
              <w:rPr>
                <w:b/>
                <w:sz w:val="16"/>
              </w:rPr>
            </w:pPr>
          </w:p>
          <w:p w:rsidR="00520F04" w:rsidP="006E16E6" w14:paraId="7F624F7D" w14:textId="77777777">
            <w:pPr>
              <w:rPr>
                <w:b/>
                <w:sz w:val="16"/>
              </w:rPr>
            </w:pPr>
            <w:r>
              <w:rPr>
                <w:b/>
                <w:sz w:val="16"/>
              </w:rPr>
              <w:t>Høy</w:t>
            </w:r>
            <w:r w:rsidRPr="00082A23">
              <w:rPr>
                <w:b/>
                <w:sz w:val="16"/>
              </w:rPr>
              <w:t>dose av alkylator</w:t>
            </w:r>
          </w:p>
          <w:p w:rsidR="00520F04" w:rsidP="006E16E6" w14:paraId="79905E20" w14:textId="77777777">
            <w:pPr>
              <w:rPr>
                <w:sz w:val="16"/>
              </w:rPr>
            </w:pPr>
            <w:r>
              <w:rPr>
                <w:sz w:val="16"/>
              </w:rPr>
              <w:t>D &lt; 17 Gy (RBE) (&lt;1 år)</w:t>
            </w:r>
          </w:p>
          <w:p w:rsidR="00520F04" w:rsidP="006E16E6" w14:paraId="3277EB3C" w14:textId="77777777">
            <w:pPr>
              <w:rPr>
                <w:sz w:val="16"/>
              </w:rPr>
            </w:pPr>
            <w:r>
              <w:rPr>
                <w:sz w:val="16"/>
              </w:rPr>
              <w:t>D &lt; 13 Gy (RBE) (&lt;2 år)</w:t>
            </w:r>
          </w:p>
        </w:tc>
        <w:tc>
          <w:tcPr>
            <w:tcW w:w="2494" w:type="dxa"/>
          </w:tcPr>
          <w:p w:rsidR="00520F04" w:rsidP="006E16E6" w14:paraId="3D882F25" w14:textId="77777777">
            <w:pPr>
              <w:rPr>
                <w:sz w:val="16"/>
              </w:rPr>
            </w:pPr>
          </w:p>
          <w:p w:rsidR="00520F04" w:rsidP="006E16E6" w14:paraId="2C8569D2" w14:textId="77777777">
            <w:pPr>
              <w:rPr>
                <w:sz w:val="16"/>
              </w:rPr>
            </w:pPr>
          </w:p>
          <w:p w:rsidR="00520F04" w:rsidP="006E16E6" w14:paraId="15396CCA" w14:textId="77777777">
            <w:pPr>
              <w:rPr>
                <w:sz w:val="16"/>
              </w:rPr>
            </w:pPr>
          </w:p>
          <w:p w:rsidR="00520F04" w:rsidP="006E16E6" w14:paraId="570F5082" w14:textId="77777777">
            <w:pPr>
              <w:rPr>
                <w:sz w:val="16"/>
              </w:rPr>
            </w:pPr>
            <w:r>
              <w:rPr>
                <w:sz w:val="16"/>
              </w:rPr>
              <w:t>Akutt ovariesvikt (1-5%)</w:t>
            </w:r>
          </w:p>
          <w:p w:rsidR="00520F04" w:rsidP="006E16E6" w14:paraId="01905DE0" w14:textId="77777777">
            <w:pPr>
              <w:rPr>
                <w:sz w:val="16"/>
              </w:rPr>
            </w:pPr>
            <w:r w:rsidRPr="00082A23">
              <w:rPr>
                <w:sz w:val="16"/>
              </w:rPr>
              <w:t>"</w:t>
            </w:r>
          </w:p>
          <w:p w:rsidR="00520F04" w:rsidP="006E16E6" w14:paraId="1A6E1B44" w14:textId="77777777">
            <w:pPr>
              <w:rPr>
                <w:sz w:val="16"/>
              </w:rPr>
            </w:pPr>
            <w:r w:rsidRPr="00082A23">
              <w:rPr>
                <w:sz w:val="16"/>
              </w:rPr>
              <w:t>"</w:t>
            </w:r>
          </w:p>
          <w:p w:rsidR="00520F04" w:rsidP="006E16E6" w14:paraId="0D18BEB9" w14:textId="77777777">
            <w:pPr>
              <w:rPr>
                <w:sz w:val="16"/>
              </w:rPr>
            </w:pPr>
            <w:r w:rsidRPr="006136EA">
              <w:rPr>
                <w:sz w:val="16"/>
              </w:rPr>
              <w:t xml:space="preserve">Prematur </w:t>
            </w:r>
            <w:r w:rsidRPr="000D0502">
              <w:rPr>
                <w:sz w:val="16"/>
              </w:rPr>
              <w:t>ovarieinsuffisiens</w:t>
            </w:r>
            <w:r>
              <w:rPr>
                <w:sz w:val="16"/>
              </w:rPr>
              <w:t xml:space="preserve"> (12%)</w:t>
            </w:r>
          </w:p>
          <w:p w:rsidR="00520F04" w:rsidP="006E16E6" w14:paraId="095974F9" w14:textId="77777777">
            <w:pPr>
              <w:rPr>
                <w:sz w:val="16"/>
              </w:rPr>
            </w:pPr>
          </w:p>
          <w:p w:rsidR="00520F04" w:rsidP="006E16E6" w14:paraId="47E9214D" w14:textId="77777777">
            <w:pPr>
              <w:rPr>
                <w:sz w:val="16"/>
              </w:rPr>
            </w:pPr>
          </w:p>
          <w:p w:rsidR="00520F04" w:rsidP="006E16E6" w14:paraId="55AF68F1" w14:textId="77777777">
            <w:pPr>
              <w:rPr>
                <w:sz w:val="16"/>
              </w:rPr>
            </w:pPr>
            <w:r>
              <w:rPr>
                <w:sz w:val="16"/>
              </w:rPr>
              <w:t>Akutt ovariesvikt (4-7%)</w:t>
            </w:r>
          </w:p>
          <w:p w:rsidR="00520F04" w:rsidP="006E16E6" w14:paraId="4559BF2A" w14:textId="77777777">
            <w:pPr>
              <w:rPr>
                <w:sz w:val="16"/>
              </w:rPr>
            </w:pPr>
            <w:r w:rsidRPr="00082A23">
              <w:rPr>
                <w:sz w:val="16"/>
              </w:rPr>
              <w:t>"</w:t>
            </w:r>
          </w:p>
          <w:p w:rsidR="00520F04" w:rsidP="006E16E6" w14:paraId="1F079164" w14:textId="77777777">
            <w:pPr>
              <w:rPr>
                <w:sz w:val="16"/>
              </w:rPr>
            </w:pPr>
            <w:r w:rsidRPr="00082A23">
              <w:rPr>
                <w:sz w:val="16"/>
              </w:rPr>
              <w:t>"</w:t>
            </w:r>
          </w:p>
          <w:p w:rsidR="00520F04" w:rsidP="006E16E6" w14:paraId="006168B9" w14:textId="77777777">
            <w:pPr>
              <w:rPr>
                <w:sz w:val="16"/>
              </w:rPr>
            </w:pPr>
            <w:r w:rsidRPr="006136EA">
              <w:rPr>
                <w:sz w:val="16"/>
              </w:rPr>
              <w:t xml:space="preserve">Prematur </w:t>
            </w:r>
            <w:r w:rsidRPr="000D0502">
              <w:rPr>
                <w:sz w:val="16"/>
              </w:rPr>
              <w:t>ovarieinsuffisiens</w:t>
            </w:r>
            <w:r>
              <w:rPr>
                <w:sz w:val="16"/>
              </w:rPr>
              <w:t xml:space="preserve"> (41%)</w:t>
            </w:r>
          </w:p>
          <w:p w:rsidR="00520F04" w:rsidP="006E16E6" w14:paraId="33FB27F2" w14:textId="77777777">
            <w:pPr>
              <w:rPr>
                <w:sz w:val="16"/>
              </w:rPr>
            </w:pPr>
          </w:p>
          <w:p w:rsidR="00520F04" w:rsidP="006E16E6" w14:paraId="4538453C" w14:textId="77777777">
            <w:pPr>
              <w:rPr>
                <w:sz w:val="16"/>
              </w:rPr>
            </w:pPr>
          </w:p>
          <w:p w:rsidR="00520F04" w:rsidP="006E16E6" w14:paraId="1AC4DA41" w14:textId="77777777">
            <w:pPr>
              <w:rPr>
                <w:sz w:val="16"/>
              </w:rPr>
            </w:pPr>
            <w:r>
              <w:rPr>
                <w:sz w:val="16"/>
              </w:rPr>
              <w:t>Akutt ovariesvikt (6-13%)</w:t>
            </w:r>
          </w:p>
          <w:p w:rsidR="00520F04" w:rsidRPr="003C0F27" w:rsidP="006E16E6" w14:paraId="0CF59FB8" w14:textId="77777777">
            <w:pPr>
              <w:rPr>
                <w:sz w:val="16"/>
              </w:rPr>
            </w:pPr>
            <w:r w:rsidRPr="00082A23">
              <w:rPr>
                <w:sz w:val="16"/>
              </w:rPr>
              <w:t>"</w:t>
            </w:r>
          </w:p>
        </w:tc>
        <w:tc>
          <w:tcPr>
            <w:tcW w:w="1616" w:type="dxa"/>
          </w:tcPr>
          <w:p w:rsidR="00520F04" w:rsidP="006E16E6" w14:paraId="45FD20D9" w14:textId="77777777">
            <w:pPr>
              <w:rPr>
                <w:sz w:val="16"/>
              </w:rPr>
            </w:pPr>
            <w:r>
              <w:rPr>
                <w:sz w:val="16"/>
              </w:rPr>
              <w:t xml:space="preserve">Høyere alder og høyere dose av alkylator øker </w:t>
            </w:r>
            <w:r>
              <w:rPr>
                <w:sz w:val="16"/>
              </w:rPr>
              <w:t>risiko/reduserer toleransegrenser.</w:t>
            </w:r>
          </w:p>
        </w:tc>
      </w:tr>
      <w:tr w14:paraId="7812C2E0" w14:textId="77777777" w:rsidTr="002155CF">
        <w:tblPrEx>
          <w:tblW w:w="9067" w:type="dxa"/>
          <w:tblLayout w:type="fixed"/>
          <w:tblLook w:val="04A0"/>
        </w:tblPrEx>
        <w:tc>
          <w:tcPr>
            <w:tcW w:w="1026" w:type="dxa"/>
          </w:tcPr>
          <w:p w:rsidR="00520F04" w:rsidRPr="00CF7D0E" w:rsidP="006E16E6" w14:paraId="69EE49EC" w14:textId="77777777">
            <w:pPr>
              <w:rPr>
                <w:sz w:val="16"/>
              </w:rPr>
            </w:pPr>
          </w:p>
        </w:tc>
        <w:tc>
          <w:tcPr>
            <w:tcW w:w="1663" w:type="dxa"/>
          </w:tcPr>
          <w:p w:rsidR="00520F04" w:rsidP="006E16E6" w14:paraId="7596D9DE" w14:textId="77777777">
            <w:pPr>
              <w:rPr>
                <w:b/>
                <w:sz w:val="16"/>
              </w:rPr>
            </w:pPr>
            <w:r>
              <w:rPr>
                <w:b/>
                <w:sz w:val="16"/>
              </w:rPr>
              <w:t>Testis</w:t>
            </w:r>
          </w:p>
        </w:tc>
        <w:tc>
          <w:tcPr>
            <w:tcW w:w="2268" w:type="dxa"/>
          </w:tcPr>
          <w:p w:rsidR="00520F04" w:rsidP="006E16E6" w14:paraId="37311282" w14:textId="77777777">
            <w:pPr>
              <w:rPr>
                <w:sz w:val="16"/>
              </w:rPr>
            </w:pPr>
            <w:r>
              <w:rPr>
                <w:sz w:val="16"/>
              </w:rPr>
              <w:t>ALARA</w:t>
            </w:r>
          </w:p>
        </w:tc>
        <w:tc>
          <w:tcPr>
            <w:tcW w:w="2494" w:type="dxa"/>
          </w:tcPr>
          <w:p w:rsidR="00520F04" w:rsidRPr="003C0F27" w:rsidP="006E16E6" w14:paraId="709FDE9D" w14:textId="77777777">
            <w:pPr>
              <w:rPr>
                <w:sz w:val="16"/>
              </w:rPr>
            </w:pPr>
            <w:r>
              <w:rPr>
                <w:sz w:val="16"/>
              </w:rPr>
              <w:t>O</w:t>
            </w:r>
            <w:r w:rsidRPr="00766C23">
              <w:rPr>
                <w:sz w:val="16"/>
              </w:rPr>
              <w:t>ligozoospermi</w:t>
            </w:r>
            <w:r>
              <w:rPr>
                <w:sz w:val="16"/>
              </w:rPr>
              <w:t xml:space="preserve"> (&gt;90%)</w:t>
            </w:r>
          </w:p>
        </w:tc>
        <w:tc>
          <w:tcPr>
            <w:tcW w:w="1616" w:type="dxa"/>
          </w:tcPr>
          <w:p w:rsidR="00520F04" w:rsidP="006E16E6" w14:paraId="402C21A0" w14:textId="77777777">
            <w:pPr>
              <w:rPr>
                <w:sz w:val="16"/>
              </w:rPr>
            </w:pPr>
            <w:r>
              <w:rPr>
                <w:sz w:val="16"/>
              </w:rPr>
              <w:t>Sannsynlighet for oligozoospermi er over 90% ved gjennomsnittsdoser over 1 Gy (RBE)</w:t>
            </w:r>
            <w:r w:rsidRPr="00FD1808">
              <w:rPr>
                <w:sz w:val="16"/>
              </w:rPr>
              <w:t>.</w:t>
            </w:r>
          </w:p>
        </w:tc>
      </w:tr>
    </w:tbl>
    <w:p w:rsidR="00520F04" w:rsidP="00520F04" w14:paraId="02CAFDB8" w14:textId="77777777">
      <w:pPr>
        <w:pStyle w:val="Heading3"/>
        <w:spacing w:before="240"/>
      </w:pPr>
      <w:bookmarkStart w:id="27" w:name="_Toc256000019"/>
      <w:r>
        <w:t>Dose til vekstsoner</w:t>
      </w:r>
      <w:bookmarkEnd w:id="27"/>
    </w:p>
    <w:p w:rsidR="00520F04" w:rsidRPr="008D02A9" w:rsidP="00520F04" w14:paraId="40743683" w14:textId="066F5FD7">
      <w:r>
        <w:t xml:space="preserve">Dose til vekstsoner bør alltid vurderes ved planevaluering og bør tas hensyn til ved planlegging når mulig. </w:t>
      </w:r>
      <w:r w:rsidRPr="007D7B5E">
        <w:t xml:space="preserve">Se </w:t>
      </w:r>
      <w:hyperlink r:id="rId16" w:history="1">
        <w:r w:rsidRPr="007D7B5E">
          <w:rPr>
            <w:rStyle w:val="Hyperlink"/>
          </w:rPr>
          <w:t xml:space="preserve">A Road Map for Important Centers of Growth in the </w:t>
        </w:r>
        <w:r w:rsidRPr="007D7B5E">
          <w:rPr>
            <w:rStyle w:val="Hyperlink"/>
          </w:rPr>
          <w:t>Pediatric</w:t>
        </w:r>
        <w:r w:rsidRPr="007D7B5E">
          <w:rPr>
            <w:rStyle w:val="Hyperlink"/>
          </w:rPr>
          <w:t xml:space="preserve"> </w:t>
        </w:r>
        <w:r w:rsidRPr="007D7B5E">
          <w:rPr>
            <w:rStyle w:val="Hyperlink"/>
          </w:rPr>
          <w:t>Skeleton</w:t>
        </w:r>
        <w:r w:rsidRPr="007D7B5E">
          <w:rPr>
            <w:rStyle w:val="Hyperlink"/>
          </w:rPr>
          <w:t xml:space="preserve"> </w:t>
        </w:r>
      </w:hyperlink>
      <w:r w:rsidRPr="00E0019E">
        <w:t>[</w:t>
      </w:r>
      <w:r w:rsidRPr="00E0019E">
        <w:fldChar w:fldCharType="begin"/>
      </w:r>
      <w:r w:rsidRPr="00E0019E">
        <w:instrText xml:space="preserve"> REF Rao \h </w:instrText>
      </w:r>
      <w:r w:rsidRPr="00E0019E" w:rsidR="001823C1">
        <w:instrText xml:space="preserve"> \* MERGEFORMAT </w:instrText>
      </w:r>
      <w:r w:rsidRPr="00E0019E">
        <w:fldChar w:fldCharType="separate"/>
      </w:r>
      <w:r w:rsidRPr="00E0019E" w:rsidR="00E0019E">
        <w:t>5</w:t>
      </w:r>
      <w:r w:rsidRPr="00E0019E">
        <w:fldChar w:fldCharType="end"/>
      </w:r>
      <w:r w:rsidRPr="004D6757">
        <w:t xml:space="preserve">] </w:t>
      </w:r>
      <w:r w:rsidRPr="008D02A9">
        <w:t xml:space="preserve">for beskrivelse av </w:t>
      </w:r>
      <w:r>
        <w:t>ulike vekstsoner og aktuelle stråleinduserte senskader.</w:t>
      </w:r>
    </w:p>
    <w:p w:rsidR="00520F04" w:rsidP="00520F04" w14:paraId="455C220C" w14:textId="7ACD38F1">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For å redusere sannsynligheten for skjevvekst hos </w:t>
      </w:r>
      <w:r>
        <w:rPr>
          <w:rStyle w:val="normaltextrun"/>
          <w:rFonts w:ascii="Calibri" w:hAnsi="Calibri" w:cs="Calibri"/>
          <w:color w:val="000000"/>
          <w:shd w:val="clear" w:color="auto" w:fill="FFFFFF"/>
        </w:rPr>
        <w:t>prepubertale</w:t>
      </w:r>
      <w:r>
        <w:rPr>
          <w:rStyle w:val="normaltextrun"/>
          <w:rFonts w:ascii="Calibri" w:hAnsi="Calibri" w:cs="Calibri"/>
          <w:color w:val="000000"/>
          <w:shd w:val="clear" w:color="auto" w:fill="FFFFFF"/>
        </w:rPr>
        <w:t xml:space="preserve"> barn skal dosegradientene til Vertebral Body følge </w:t>
      </w:r>
      <w:hyperlink r:id="rId13" w:tgtFrame="_blank" w:history="1">
        <w:r w:rsidRPr="007D7B5E">
          <w:rPr>
            <w:rStyle w:val="Hyperlink"/>
          </w:rPr>
          <w:t xml:space="preserve">Consensus </w:t>
        </w:r>
        <w:r w:rsidRPr="007D7B5E">
          <w:rPr>
            <w:rStyle w:val="Hyperlink"/>
          </w:rPr>
          <w:t>recommendations</w:t>
        </w:r>
        <w:r w:rsidRPr="007D7B5E">
          <w:rPr>
            <w:rStyle w:val="Hyperlink"/>
          </w:rPr>
          <w:t xml:space="preserve"> from </w:t>
        </w:r>
        <w:r w:rsidRPr="007D7B5E">
          <w:rPr>
            <w:rStyle w:val="Hyperlink"/>
          </w:rPr>
          <w:t>the</w:t>
        </w:r>
        <w:r w:rsidRPr="007D7B5E">
          <w:rPr>
            <w:rStyle w:val="Hyperlink"/>
          </w:rPr>
          <w:t xml:space="preserve"> SIOPE </w:t>
        </w:r>
        <w:r w:rsidRPr="007D7B5E">
          <w:rPr>
            <w:rStyle w:val="Hyperlink"/>
          </w:rPr>
          <w:t>radiotherapy</w:t>
        </w:r>
        <w:r w:rsidRPr="007D7B5E">
          <w:rPr>
            <w:rStyle w:val="Hyperlink"/>
          </w:rPr>
          <w:t xml:space="preserve"> </w:t>
        </w:r>
        <w:r w:rsidRPr="007D7B5E">
          <w:rPr>
            <w:rStyle w:val="Hyperlink"/>
          </w:rPr>
          <w:t>working</w:t>
        </w:r>
        <w:r w:rsidRPr="007D7B5E">
          <w:rPr>
            <w:rStyle w:val="Hyperlink"/>
          </w:rPr>
          <w:t xml:space="preserve"> </w:t>
        </w:r>
        <w:r w:rsidRPr="007D7B5E">
          <w:rPr>
            <w:rStyle w:val="Hyperlink"/>
          </w:rPr>
          <w:t>group</w:t>
        </w:r>
      </w:hyperlink>
      <w:r>
        <w:rPr>
          <w:rStyle w:val="normaltextrun"/>
          <w:rFonts w:ascii="Calibri" w:hAnsi="Calibri" w:cs="Calibri"/>
          <w:color w:val="000000"/>
          <w:shd w:val="clear" w:color="auto" w:fill="FFFFFF"/>
        </w:rPr>
        <w:t xml:space="preserve"> </w:t>
      </w:r>
      <w:r w:rsidRPr="001823C1">
        <w:rPr>
          <w:rStyle w:val="normaltextrun"/>
          <w:rFonts w:ascii="Calibri" w:hAnsi="Calibri" w:cs="Calibri"/>
          <w:color w:val="000000"/>
          <w:shd w:val="clear" w:color="auto" w:fill="E1E3E6"/>
        </w:rPr>
        <w:t>[</w:t>
      </w:r>
      <w:r w:rsidRPr="00E0019E">
        <w:rPr>
          <w:rStyle w:val="normaltextrun"/>
          <w:rFonts w:ascii="Calibri" w:hAnsi="Calibri" w:cs="Calibri"/>
          <w:color w:val="000000"/>
          <w:shd w:val="clear" w:color="auto" w:fill="E1E3E6"/>
        </w:rPr>
        <w:fldChar w:fldCharType="begin"/>
      </w:r>
      <w:r w:rsidRPr="00E0019E">
        <w:rPr>
          <w:rStyle w:val="normaltextrun"/>
          <w:rFonts w:ascii="Calibri" w:hAnsi="Calibri" w:cs="Calibri"/>
          <w:color w:val="000000"/>
          <w:shd w:val="clear" w:color="auto" w:fill="E1E3E6"/>
        </w:rPr>
        <w:instrText xml:space="preserve"> REF Hoeben \h </w:instrText>
      </w:r>
      <w:r w:rsidRPr="00E0019E" w:rsidR="001823C1">
        <w:rPr>
          <w:rStyle w:val="normaltextrun"/>
          <w:rFonts w:ascii="Calibri" w:hAnsi="Calibri" w:cs="Calibri"/>
          <w:color w:val="000000"/>
          <w:shd w:val="clear" w:color="auto" w:fill="E1E3E6"/>
        </w:rPr>
        <w:instrText xml:space="preserve"> \* MERGEFORMAT </w:instrText>
      </w:r>
      <w:r w:rsidRPr="00E0019E">
        <w:rPr>
          <w:rStyle w:val="normaltextrun"/>
          <w:rFonts w:ascii="Calibri" w:hAnsi="Calibri" w:cs="Calibri"/>
          <w:color w:val="000000"/>
          <w:shd w:val="clear" w:color="auto" w:fill="E1E3E6"/>
        </w:rPr>
        <w:fldChar w:fldCharType="separate"/>
      </w:r>
      <w:r w:rsidRPr="00E0019E" w:rsidR="00E0019E">
        <w:rPr>
          <w:rStyle w:val="normaltextrun"/>
          <w:rFonts w:ascii="Calibri" w:hAnsi="Calibri" w:cs="Calibri"/>
          <w:color w:val="000000"/>
          <w:shd w:val="clear" w:color="auto" w:fill="E1E3E6"/>
        </w:rPr>
        <w:t>3</w:t>
      </w:r>
      <w:r w:rsidRPr="00E0019E">
        <w:rPr>
          <w:rStyle w:val="normaltextrun"/>
          <w:rFonts w:ascii="Calibri" w:hAnsi="Calibri" w:cs="Calibri"/>
          <w:color w:val="000000"/>
          <w:shd w:val="clear" w:color="auto" w:fill="E1E3E6"/>
        </w:rPr>
        <w:fldChar w:fldCharType="end"/>
      </w:r>
      <w:r w:rsidRPr="001823C1">
        <w:rPr>
          <w:rStyle w:val="normaltextrun"/>
          <w:rFonts w:ascii="Calibri" w:hAnsi="Calibri" w:cs="Calibri"/>
          <w:color w:val="000000"/>
          <w:shd w:val="clear" w:color="auto" w:fill="E1E3E6"/>
        </w:rPr>
        <w:t>]</w:t>
      </w:r>
      <w:r w:rsidRPr="001823C1">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se </w:t>
      </w:r>
      <w:r>
        <w:rPr>
          <w:rStyle w:val="normaltextrun"/>
          <w:rFonts w:ascii="Calibri" w:hAnsi="Calibri" w:cs="Calibri"/>
          <w:color w:val="000000"/>
          <w:shd w:val="clear" w:color="auto" w:fill="FFFFFF"/>
        </w:rPr>
        <w:fldChar w:fldCharType="begin"/>
      </w:r>
      <w:r>
        <w:rPr>
          <w:rStyle w:val="normaltextrun"/>
          <w:rFonts w:ascii="Calibri" w:hAnsi="Calibri" w:cs="Calibri"/>
          <w:color w:val="000000"/>
          <w:shd w:val="clear" w:color="auto" w:fill="FFFFFF"/>
        </w:rPr>
        <w:instrText xml:space="preserve"> REF _Ref163127025 \h </w:instrText>
      </w:r>
      <w:r>
        <w:rPr>
          <w:rStyle w:val="normaltextrun"/>
          <w:rFonts w:ascii="Calibri" w:hAnsi="Calibri" w:cs="Calibri"/>
          <w:color w:val="000000"/>
          <w:shd w:val="clear" w:color="auto" w:fill="FFFFFF"/>
        </w:rPr>
        <w:fldChar w:fldCharType="separate"/>
      </w:r>
      <w:r w:rsidRPr="004D6298">
        <w:rPr>
          <w:lang w:val="en-US"/>
        </w:rPr>
        <w:t xml:space="preserve">Figur </w:t>
      </w:r>
      <w:r w:rsidRPr="004D6298">
        <w:rPr>
          <w:lang w:val="en-US"/>
        </w:rPr>
        <w:t>2</w:t>
      </w:r>
      <w:r>
        <w:rPr>
          <w:rStyle w:val="normaltextrun"/>
          <w:rFonts w:ascii="Calibri" w:hAnsi="Calibri" w:cs="Calibri"/>
          <w:color w:val="000000"/>
          <w:shd w:val="clear" w:color="auto" w:fill="FFFFFF"/>
        </w:rPr>
        <w:fldChar w:fldCharType="end"/>
      </w:r>
      <w:r>
        <w:rPr>
          <w:rStyle w:val="normaltextrun"/>
          <w:rFonts w:ascii="Calibri" w:hAnsi="Calibri" w:cs="Calibri"/>
          <w:color w:val="000000"/>
          <w:shd w:val="clear" w:color="auto" w:fill="FFFFFF"/>
        </w:rPr>
        <w:t xml:space="preserve"> for oversikt. </w:t>
      </w:r>
      <w:hyperlink r:id="rId11" w:anchor="tbl0001" w:history="1">
        <w:r w:rsidRPr="007D7B5E">
          <w:rPr>
            <w:rStyle w:val="Hyperlink"/>
            <w:rFonts w:ascii="Calibri" w:hAnsi="Calibri" w:cs="Calibri"/>
            <w:shd w:val="clear" w:color="auto" w:fill="FFFFFF"/>
          </w:rPr>
          <w:t>Dedikert PENTEC publikasjon</w:t>
        </w:r>
      </w:hyperlink>
      <w:r w:rsidRPr="007D7B5E">
        <w:rPr>
          <w:rStyle w:val="normaltextrun"/>
          <w:rFonts w:ascii="Calibri" w:hAnsi="Calibri" w:cs="Calibri"/>
          <w:color w:val="000000"/>
          <w:shd w:val="clear" w:color="auto" w:fill="FFFFFF"/>
        </w:rPr>
        <w:t xml:space="preserve"> </w:t>
      </w:r>
      <w:r w:rsidRPr="00E0019E">
        <w:rPr>
          <w:rStyle w:val="normaltextrun"/>
          <w:rFonts w:ascii="Calibri" w:hAnsi="Calibri" w:cs="Calibri"/>
          <w:color w:val="000000"/>
          <w:shd w:val="clear" w:color="auto" w:fill="FFFFFF"/>
        </w:rPr>
        <w:t>[</w:t>
      </w:r>
      <w:r w:rsidRPr="00E0019E">
        <w:rPr>
          <w:rStyle w:val="normaltextrun"/>
          <w:rFonts w:ascii="Calibri" w:hAnsi="Calibri" w:cs="Calibri"/>
          <w:color w:val="000000"/>
          <w:shd w:val="clear" w:color="auto" w:fill="FFFFFF"/>
        </w:rPr>
        <w:fldChar w:fldCharType="begin"/>
      </w:r>
      <w:r w:rsidRPr="00E0019E">
        <w:rPr>
          <w:rStyle w:val="normaltextrun"/>
          <w:rFonts w:ascii="Calibri" w:hAnsi="Calibri" w:cs="Calibri"/>
          <w:color w:val="000000"/>
          <w:shd w:val="clear" w:color="auto" w:fill="FFFFFF"/>
        </w:rPr>
        <w:instrText xml:space="preserve"> REF Na</w:instrText>
      </w:r>
      <w:r w:rsidRPr="00E0019E">
        <w:rPr>
          <w:rStyle w:val="normaltextrun"/>
          <w:rFonts w:ascii="Calibri" w:hAnsi="Calibri" w:cs="Calibri"/>
          <w:color w:val="000000"/>
          <w:shd w:val="clear" w:color="auto" w:fill="FFFFFF"/>
        </w:rPr>
        <w:instrText xml:space="preserve">nda \h </w:instrText>
      </w:r>
      <w:r w:rsidRPr="00E0019E" w:rsidR="001823C1">
        <w:rPr>
          <w:rStyle w:val="normaltextrun"/>
          <w:rFonts w:ascii="Calibri" w:hAnsi="Calibri" w:cs="Calibri"/>
          <w:color w:val="000000"/>
          <w:shd w:val="clear" w:color="auto" w:fill="FFFFFF"/>
        </w:rPr>
        <w:instrText xml:space="preserve"> \* MERGEFORMAT </w:instrText>
      </w:r>
      <w:r w:rsidRPr="00E0019E">
        <w:rPr>
          <w:rStyle w:val="normaltextrun"/>
          <w:rFonts w:ascii="Calibri" w:hAnsi="Calibri" w:cs="Calibri"/>
          <w:color w:val="000000"/>
          <w:shd w:val="clear" w:color="auto" w:fill="FFFFFF"/>
        </w:rPr>
        <w:fldChar w:fldCharType="separate"/>
      </w:r>
      <w:r w:rsidRPr="00E0019E" w:rsidR="00E0019E">
        <w:rPr>
          <w:rStyle w:val="normaltextrun"/>
          <w:rFonts w:ascii="Calibri" w:hAnsi="Calibri" w:cs="Calibri"/>
          <w:color w:val="000000"/>
          <w:shd w:val="clear" w:color="auto" w:fill="FFFFFF"/>
        </w:rPr>
        <w:t>1</w:t>
      </w:r>
      <w:r w:rsidRPr="00E0019E">
        <w:rPr>
          <w:rStyle w:val="normaltextrun"/>
          <w:rFonts w:ascii="Calibri" w:hAnsi="Calibri" w:cs="Calibri"/>
          <w:color w:val="000000"/>
          <w:shd w:val="clear" w:color="auto" w:fill="FFFFFF"/>
        </w:rPr>
        <w:fldChar w:fldCharType="end"/>
      </w:r>
      <w:r w:rsidRPr="001823C1">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om temaet gir lignende anbefalinger, se særlig kapittelet </w:t>
      </w:r>
      <w:r w:rsidRPr="000610C2">
        <w:rPr>
          <w:rStyle w:val="normaltextrun"/>
          <w:rFonts w:ascii="Calibri" w:hAnsi="Calibri" w:cs="Calibri"/>
          <w:i/>
          <w:iCs/>
          <w:color w:val="000000"/>
          <w:shd w:val="clear" w:color="auto" w:fill="FFFFFF"/>
        </w:rPr>
        <w:t>Summary of recommendations</w:t>
      </w:r>
      <w:r>
        <w:rPr>
          <w:rStyle w:val="normaltextrun"/>
          <w:rFonts w:ascii="Calibri" w:hAnsi="Calibri" w:cs="Calibri"/>
          <w:color w:val="000000"/>
          <w:shd w:val="clear" w:color="auto" w:fill="FFFFFF"/>
        </w:rPr>
        <w:t>.</w:t>
      </w:r>
    </w:p>
    <w:p w:rsidR="007D7B5E" w:rsidRPr="002476A5" w:rsidP="00520F04" w14:paraId="22526222" w14:textId="77777777">
      <w:pPr>
        <w:rPr>
          <w:rStyle w:val="normaltextrun"/>
        </w:rPr>
      </w:pPr>
    </w:p>
    <w:p w:rsidR="00520F04" w:rsidP="00520F04" w14:paraId="7A930AC3" w14:textId="77777777">
      <w:pPr>
        <w:keepNext/>
      </w:pPr>
      <w:r>
        <w:rPr>
          <w:noProof/>
        </w:rPr>
        <w:drawing>
          <wp:inline distT="0" distB="0" distL="0" distR="0">
            <wp:extent cx="5760720" cy="303403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7"/>
                    <a:srcRect t="4210"/>
                    <a:stretch>
                      <a:fillRect/>
                    </a:stretch>
                  </pic:blipFill>
                  <pic:spPr bwMode="auto">
                    <a:xfrm>
                      <a:off x="0" y="0"/>
                      <a:ext cx="5760720" cy="303403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520F04" w:rsidRPr="004D6298" w:rsidP="00520F04" w14:paraId="7610C3F6" w14:textId="71F0BF49">
      <w:pPr>
        <w:pStyle w:val="Caption"/>
        <w:rPr>
          <w:lang w:val="en-US"/>
        </w:rPr>
      </w:pPr>
      <w:bookmarkStart w:id="28" w:name="_Ref163127025"/>
      <w:r w:rsidRPr="004D6298">
        <w:rPr>
          <w:lang w:val="en-US"/>
        </w:rPr>
        <w:t xml:space="preserve">Figur </w:t>
      </w:r>
      <w:r>
        <w:fldChar w:fldCharType="begin"/>
      </w:r>
      <w:r w:rsidRPr="004D6298">
        <w:rPr>
          <w:lang w:val="en-US"/>
        </w:rPr>
        <w:instrText>SEQ Figur \* ARABIC</w:instrText>
      </w:r>
      <w:r>
        <w:fldChar w:fldCharType="separate"/>
      </w:r>
      <w:r w:rsidRPr="004D6298">
        <w:rPr>
          <w:lang w:val="en-US"/>
        </w:rPr>
        <w:t>2</w:t>
      </w:r>
      <w:r>
        <w:fldChar w:fldCharType="end"/>
      </w:r>
      <w:bookmarkEnd w:id="28"/>
      <w:r w:rsidRPr="004D6298">
        <w:rPr>
          <w:lang w:val="en-US"/>
        </w:rPr>
        <w:t xml:space="preserve"> Anbefalte dosegradienter ved paravertebral og craniospinal stråling fra </w:t>
      </w:r>
      <w:hyperlink r:id="rId13" w:tgtFrame="_blank" w:history="1">
        <w:r w:rsidRPr="007E30B1">
          <w:rPr>
            <w:rStyle w:val="normaltextrun"/>
            <w:rFonts w:ascii="Calibri" w:hAnsi="Calibri" w:cs="Calibri"/>
            <w:iCs w:val="0"/>
            <w:u w:val="single"/>
            <w:shd w:val="clear" w:color="auto" w:fill="FFFFFF"/>
            <w:lang w:val="en-US"/>
          </w:rPr>
          <w:t>Consensus recommendations from the SIOPE radiotherapy working group</w:t>
        </w:r>
      </w:hyperlink>
      <w:r w:rsidRPr="007E30B1">
        <w:rPr>
          <w:iCs w:val="0"/>
          <w:lang w:val="en-US"/>
        </w:rPr>
        <w:t xml:space="preserve"> </w:t>
      </w:r>
      <w:r w:rsidRPr="007E30B1">
        <w:rPr>
          <w:lang w:val="en-US"/>
        </w:rPr>
        <w:t>[</w:t>
      </w:r>
      <w:r w:rsidRPr="007E30B1">
        <w:rPr>
          <w:lang w:val="en-US"/>
        </w:rPr>
        <w:fldChar w:fldCharType="begin"/>
      </w:r>
      <w:r w:rsidRPr="007E30B1">
        <w:rPr>
          <w:lang w:val="en-US"/>
        </w:rPr>
        <w:instrText xml:space="preserve"> REF Hoeben \h </w:instrText>
      </w:r>
      <w:r w:rsidRPr="007E30B1" w:rsidR="001823C1">
        <w:rPr>
          <w:lang w:val="en-US"/>
        </w:rPr>
        <w:instrText xml:space="preserve"> \* MERGEFORMAT </w:instrText>
      </w:r>
      <w:r w:rsidRPr="007E30B1">
        <w:rPr>
          <w:lang w:val="en-US"/>
        </w:rPr>
        <w:fldChar w:fldCharType="separate"/>
      </w:r>
      <w:r w:rsidRPr="007E30B1">
        <w:rPr>
          <w:lang w:val="en-US"/>
        </w:rPr>
        <w:t>3</w:t>
      </w:r>
      <w:r w:rsidRPr="007E30B1">
        <w:rPr>
          <w:lang w:val="en-US"/>
        </w:rPr>
        <w:fldChar w:fldCharType="end"/>
      </w:r>
      <w:r w:rsidRPr="007E30B1">
        <w:rPr>
          <w:lang w:val="en-US"/>
        </w:rPr>
        <w:t>]</w:t>
      </w:r>
    </w:p>
    <w:p w:rsidR="00520F04" w:rsidRPr="00611DB7" w:rsidP="00520F04" w14:paraId="223A7B67" w14:textId="77777777">
      <w:pPr>
        <w:rPr>
          <w:lang w:val="en-US"/>
        </w:rPr>
      </w:pPr>
    </w:p>
    <w:p w:rsidR="00520F04" w:rsidP="00520F04" w14:paraId="7C3AAE92" w14:textId="1A0739A0">
      <w:pPr>
        <w:pStyle w:val="Heading3"/>
      </w:pPr>
      <w:bookmarkStart w:id="29" w:name="_Toc256000020"/>
      <w:r>
        <w:t>Sekundærkreftrisiko</w:t>
      </w:r>
      <w:bookmarkEnd w:id="29"/>
    </w:p>
    <w:p w:rsidR="00520F04" w:rsidP="00520F04" w14:paraId="72482121" w14:textId="24F6D973">
      <w:pPr>
        <w:spacing w:after="160" w:line="257" w:lineRule="auto"/>
        <w:rPr>
          <w:rFonts w:ascii="Calibri" w:eastAsia="Calibri" w:hAnsi="Calibri" w:cs="Calibri"/>
        </w:rPr>
      </w:pPr>
      <w:r>
        <w:t>For barn og unge med lang forventet levetid etter behandling, bør planleggingsstrategi og resulterende dosefordeling også eval</w:t>
      </w:r>
      <w:r>
        <w:t xml:space="preserve">ueres med tanke på risiko for sekundærmalignitet, som anbefalt i </w:t>
      </w:r>
      <w:hyperlink r:id="rId18">
        <w:r w:rsidRPr="007D7B5E">
          <w:rPr>
            <w:rStyle w:val="Hyperlink"/>
            <w:rFonts w:ascii="Calibri" w:eastAsia="Calibri" w:hAnsi="Calibri" w:cs="Calibri"/>
          </w:rPr>
          <w:t xml:space="preserve">Risk of Subsequent Neoplasms in Childhood Cancer Survivors After </w:t>
        </w:r>
        <w:r w:rsidRPr="007D7B5E">
          <w:rPr>
            <w:rStyle w:val="Hyperlink"/>
            <w:rFonts w:ascii="Calibri" w:eastAsia="Calibri" w:hAnsi="Calibri" w:cs="Calibri"/>
          </w:rPr>
          <w:t>Radiation</w:t>
        </w:r>
        <w:r w:rsidRPr="007D7B5E">
          <w:rPr>
            <w:rStyle w:val="Hyperlink"/>
            <w:rFonts w:ascii="Calibri" w:eastAsia="Calibri" w:hAnsi="Calibri" w:cs="Calibri"/>
          </w:rPr>
          <w:t xml:space="preserve"> </w:t>
        </w:r>
        <w:r w:rsidRPr="007D7B5E">
          <w:rPr>
            <w:rStyle w:val="Hyperlink"/>
            <w:rFonts w:ascii="Calibri" w:eastAsia="Calibri" w:hAnsi="Calibri" w:cs="Calibri"/>
          </w:rPr>
          <w:t>Therapy</w:t>
        </w:r>
      </w:hyperlink>
      <w:r w:rsidRPr="007D7B5E">
        <w:t xml:space="preserve"> </w:t>
      </w:r>
      <w:r>
        <w:t>[</w:t>
      </w:r>
      <w:r w:rsidRPr="00B54930">
        <w:fldChar w:fldCharType="begin"/>
      </w:r>
      <w:r w:rsidRPr="00B54930">
        <w:instrText xml:space="preserve"> REF Casey \h  \* MERGEFORMAT </w:instrText>
      </w:r>
      <w:r w:rsidRPr="00B54930">
        <w:fldChar w:fldCharType="separate"/>
      </w:r>
      <w:r w:rsidRPr="00B54930">
        <w:t>6</w:t>
      </w:r>
      <w:r w:rsidRPr="00B54930">
        <w:fldChar w:fldCharType="end"/>
      </w:r>
      <w:r>
        <w:t xml:space="preserve">]. </w:t>
      </w:r>
    </w:p>
    <w:p w:rsidR="00520F04" w:rsidRPr="00B54930" w:rsidP="00520F04" w14:paraId="542BE633" w14:textId="0E607061">
      <w:pPr>
        <w:spacing w:after="160" w:line="257" w:lineRule="auto"/>
        <w:rPr>
          <w:rFonts w:ascii="Calibri" w:eastAsia="Calibri" w:hAnsi="Calibri" w:cs="Calibri"/>
        </w:rPr>
      </w:pPr>
      <w:r w:rsidRPr="402189F8">
        <w:rPr>
          <w:rFonts w:ascii="Calibri" w:eastAsia="Calibri" w:hAnsi="Calibri" w:cs="Calibri"/>
        </w:rPr>
        <w:t>Med unntak av stråleindusert thyroideakreft, øker risiko lineært med dose til normalvev. Ved plansammenligning kan da integraldose eller gjennomsnittsdose til et organ benyttes for å estimere relativ risiko. (I praksis betyr dette at lavdoser som er fordel</w:t>
      </w:r>
      <w:r w:rsidRPr="402189F8">
        <w:rPr>
          <w:rFonts w:ascii="Calibri" w:eastAsia="Calibri" w:hAnsi="Calibri" w:cs="Calibri"/>
        </w:rPr>
        <w:t xml:space="preserve">t utover et større volum, kan ha lik eller lavere risiko sammenlignet med høyere dosenivå konsentrert på et mindre område.) Ved plansammenligning bør man være observant på høydoseområdet omkring målvolumet, der planen med best konformitet innebærer lavest </w:t>
      </w:r>
      <w:r w:rsidRPr="402189F8">
        <w:rPr>
          <w:rFonts w:ascii="Calibri" w:eastAsia="Calibri" w:hAnsi="Calibri" w:cs="Calibri"/>
        </w:rPr>
        <w:t xml:space="preserve">risiko </w:t>
      </w:r>
      <w:r>
        <w:t>[</w:t>
      </w:r>
      <w:r w:rsidRPr="00B54930">
        <w:fldChar w:fldCharType="begin"/>
      </w:r>
      <w:r w:rsidRPr="00B54930">
        <w:instrText xml:space="preserve"> REF Casey \h  \* MERGEFORMAT </w:instrText>
      </w:r>
      <w:r w:rsidRPr="00B54930">
        <w:fldChar w:fldCharType="separate"/>
      </w:r>
      <w:r w:rsidRPr="00B54930">
        <w:t>6</w:t>
      </w:r>
      <w:r w:rsidRPr="00B54930">
        <w:fldChar w:fldCharType="end"/>
      </w:r>
      <w:r w:rsidRPr="00B54930">
        <w:t>]</w:t>
      </w:r>
      <w:r w:rsidRPr="00B54930">
        <w:rPr>
          <w:rFonts w:ascii="Calibri" w:eastAsia="Calibri" w:hAnsi="Calibri" w:cs="Calibri"/>
        </w:rPr>
        <w:t>.</w:t>
      </w:r>
    </w:p>
    <w:p w:rsidR="00520F04" w:rsidRPr="00B54930" w:rsidP="00520F04" w14:paraId="332B0C11" w14:textId="538B1A65">
      <w:pPr>
        <w:spacing w:after="160" w:line="257" w:lineRule="auto"/>
      </w:pPr>
      <w:r w:rsidRPr="00B54930">
        <w:rPr>
          <w:rFonts w:ascii="Calibri" w:eastAsia="Calibri" w:hAnsi="Calibri" w:cs="Calibri"/>
        </w:rPr>
        <w:t>For unntaket thyroidea, er risiko for stråleindusert malignitet relativt sterkt og lineært økende opp mot omtrent 20 Gy (</w:t>
      </w:r>
      <w:hyperlink r:id="rId19">
        <w:r w:rsidRPr="007D7B5E">
          <w:rPr>
            <w:rStyle w:val="Hyperlink"/>
            <w:rFonts w:ascii="Calibri" w:eastAsia="Calibri" w:hAnsi="Calibri" w:cs="Calibri"/>
          </w:rPr>
          <w:t>Radiation Therapy Technology Advances and Mitigation of Subsequent Neoplasms in Childhood Cancer Survivors</w:t>
        </w:r>
      </w:hyperlink>
      <w:r>
        <w:rPr>
          <w:rFonts w:ascii="Calibri" w:eastAsia="Calibri" w:hAnsi="Calibri" w:cs="Calibri"/>
        </w:rPr>
        <w:t xml:space="preserve"> [</w:t>
      </w:r>
      <w:r w:rsidRPr="00B54930">
        <w:rPr>
          <w:rFonts w:ascii="Calibri" w:eastAsia="Calibri" w:hAnsi="Calibri" w:cs="Calibri"/>
        </w:rPr>
        <w:fldChar w:fldCharType="begin"/>
      </w:r>
      <w:r w:rsidRPr="00B54930">
        <w:rPr>
          <w:rFonts w:ascii="Calibri" w:eastAsia="Calibri" w:hAnsi="Calibri" w:cs="Calibri"/>
        </w:rPr>
        <w:instrText xml:space="preserve"> REF Stokkevåg \h  \* MERGEFORMAT </w:instrText>
      </w:r>
      <w:r w:rsidRPr="00B54930">
        <w:rPr>
          <w:rFonts w:ascii="Calibri" w:eastAsia="Calibri" w:hAnsi="Calibri" w:cs="Calibri"/>
        </w:rPr>
        <w:fldChar w:fldCharType="separate"/>
      </w:r>
      <w:r w:rsidRPr="00B54930">
        <w:rPr>
          <w:rFonts w:ascii="Calibri" w:eastAsia="Calibri" w:hAnsi="Calibri" w:cs="Calibri"/>
        </w:rPr>
        <w:t>7</w:t>
      </w:r>
      <w:r w:rsidRPr="00B54930">
        <w:rPr>
          <w:rFonts w:ascii="Calibri" w:eastAsia="Calibri" w:hAnsi="Calibri" w:cs="Calibri"/>
        </w:rPr>
        <w:fldChar w:fldCharType="end"/>
      </w:r>
      <w:r w:rsidRPr="00B54930">
        <w:rPr>
          <w:rFonts w:ascii="Calibri" w:eastAsia="Calibri" w:hAnsi="Calibri" w:cs="Calibri"/>
        </w:rPr>
        <w:t xml:space="preserve">]), og er deretter synkende. </w:t>
      </w:r>
    </w:p>
    <w:p w:rsidR="00520F04" w:rsidP="00520F04" w14:paraId="157AC457" w14:textId="1C1AA5F5">
      <w:pPr>
        <w:rPr>
          <w:color w:val="FF0000"/>
        </w:rPr>
      </w:pPr>
      <w:r w:rsidRPr="00B54930">
        <w:rPr>
          <w:rFonts w:ascii="Calibri" w:eastAsia="Calibri" w:hAnsi="Calibri" w:cs="Calibri"/>
        </w:rPr>
        <w:t>Unngå å bestråle bryst hos jenter hvis mulig, da selv moderate doser (rundt 10 Gy) kan medføre økt risiko for senere brystkreft (</w:t>
      </w:r>
      <w:hyperlink r:id="rId20">
        <w:r w:rsidRPr="007D7B5E">
          <w:rPr>
            <w:rStyle w:val="Hyperlink"/>
            <w:rFonts w:ascii="Calibri" w:eastAsia="Calibri" w:hAnsi="Calibri" w:cs="Calibri"/>
          </w:rPr>
          <w:t xml:space="preserve">Association of Breast Cancer Risk After Childhood Cancer With Radiation Dose to the Breast and </w:t>
        </w:r>
        <w:r w:rsidRPr="007D7B5E">
          <w:rPr>
            <w:rStyle w:val="Hyperlink"/>
            <w:rFonts w:ascii="Calibri" w:eastAsia="Calibri" w:hAnsi="Calibri" w:cs="Calibri"/>
          </w:rPr>
          <w:t>Anthracycline</w:t>
        </w:r>
        <w:r w:rsidRPr="007D7B5E">
          <w:rPr>
            <w:rStyle w:val="Hyperlink"/>
            <w:rFonts w:ascii="Calibri" w:eastAsia="Calibri" w:hAnsi="Calibri" w:cs="Calibri"/>
          </w:rPr>
          <w:t xml:space="preserve"> </w:t>
        </w:r>
        <w:r w:rsidRPr="007D7B5E">
          <w:rPr>
            <w:rStyle w:val="Hyperlink"/>
            <w:rFonts w:ascii="Calibri" w:eastAsia="Calibri" w:hAnsi="Calibri" w:cs="Calibri"/>
          </w:rPr>
          <w:t>Use</w:t>
        </w:r>
      </w:hyperlink>
      <w:r w:rsidRPr="00B54930">
        <w:rPr>
          <w:rStyle w:val="Hyperlink"/>
          <w:rFonts w:ascii="Calibri" w:eastAsia="Calibri" w:hAnsi="Calibri" w:cs="Calibri"/>
          <w:i/>
          <w:iCs/>
        </w:rPr>
        <w:t xml:space="preserve"> </w:t>
      </w:r>
      <w:r w:rsidRPr="00B54930">
        <w:rPr>
          <w:rFonts w:ascii="Calibri" w:eastAsia="Calibri" w:hAnsi="Calibri" w:cs="Calibri"/>
        </w:rPr>
        <w:t>[</w:t>
      </w:r>
      <w:r w:rsidRPr="00B54930">
        <w:rPr>
          <w:rFonts w:ascii="Calibri" w:eastAsia="Calibri" w:hAnsi="Calibri" w:cs="Calibri"/>
        </w:rPr>
        <w:fldChar w:fldCharType="begin"/>
      </w:r>
      <w:r w:rsidRPr="00B54930">
        <w:rPr>
          <w:rFonts w:ascii="Calibri" w:eastAsia="Calibri" w:hAnsi="Calibri" w:cs="Calibri"/>
        </w:rPr>
        <w:instrText xml:space="preserve"> REF Veiga \h  \* MERGEFORMAT </w:instrText>
      </w:r>
      <w:r w:rsidRPr="00B54930">
        <w:rPr>
          <w:rFonts w:ascii="Calibri" w:eastAsia="Calibri" w:hAnsi="Calibri" w:cs="Calibri"/>
        </w:rPr>
        <w:fldChar w:fldCharType="separate"/>
      </w:r>
      <w:r w:rsidRPr="00B54930">
        <w:rPr>
          <w:rFonts w:ascii="Calibri" w:eastAsia="Calibri" w:hAnsi="Calibri" w:cs="Calibri"/>
        </w:rPr>
        <w:t>8</w:t>
      </w:r>
      <w:r w:rsidRPr="00B54930">
        <w:rPr>
          <w:rFonts w:ascii="Calibri" w:eastAsia="Calibri" w:hAnsi="Calibri" w:cs="Calibri"/>
        </w:rPr>
        <w:fldChar w:fldCharType="end"/>
      </w:r>
      <w:r>
        <w:rPr>
          <w:rFonts w:ascii="Calibri" w:eastAsia="Calibri" w:hAnsi="Calibri" w:cs="Calibri"/>
        </w:rPr>
        <w:t>])</w:t>
      </w:r>
      <w:r w:rsidRPr="402189F8">
        <w:rPr>
          <w:rFonts w:ascii="Calibri" w:eastAsia="Calibri" w:hAnsi="Calibri" w:cs="Calibri"/>
        </w:rPr>
        <w:t>. Denne risikoen forsterkes (additivt) ved kombinert behandling med antracykliner.</w:t>
      </w:r>
      <w:r w:rsidRPr="5F0B6B5E">
        <w:rPr>
          <w:color w:val="FF0000"/>
        </w:rPr>
        <w:t xml:space="preserve"> </w:t>
      </w:r>
    </w:p>
    <w:p w:rsidR="00520F04" w:rsidP="00520F04" w14:paraId="559CF3C8" w14:textId="77777777">
      <w:pPr>
        <w:rPr>
          <w:color w:val="FF0000"/>
        </w:rPr>
      </w:pPr>
    </w:p>
    <w:p w:rsidR="00520F04" w:rsidRPr="0064525F" w:rsidP="00520F04" w14:paraId="21CB011E" w14:textId="77777777">
      <w:pPr>
        <w:pStyle w:val="Heading2"/>
      </w:pPr>
      <w:bookmarkStart w:id="30" w:name="_Toc256000021"/>
      <w:r>
        <w:t>Robust evaluering</w:t>
      </w:r>
      <w:bookmarkEnd w:id="30"/>
    </w:p>
    <w:p w:rsidR="00520F04" w:rsidP="00520F04" w14:paraId="03F6A8A1" w14:textId="1C9AB7E6">
      <w:r>
        <w:t>Planen skal robustevalueres. Ved suboptimal fiksering bør denne forsøkes utbedret før man vurde</w:t>
      </w:r>
      <w:r>
        <w:t>rer å øke geometrisk margin ved planlegging. Ved metaller og artefakter må man vurdere om man skal øke tetthetsusikkerheten [</w:t>
      </w:r>
      <w:hyperlink r:id="rId10" w:tooltip="XDF78847" w:history="1">
        <w:r w:rsidRPr="007F72C3" w:rsidR="007F72C3">
          <w:rPr>
            <w:rStyle w:val="Hyperlink"/>
          </w:rPr>
          <w:fldChar w:fldCharType="begin" w:fldLock="1"/>
        </w:r>
        <w:r w:rsidRPr="007F72C3" w:rsidR="007F72C3">
          <w:rPr>
            <w:rStyle w:val="Hyperlink"/>
          </w:rPr>
          <w:instrText xml:space="preserve"> DOCPROPERTY XDT78847 *charformat * MERGEFORMAT </w:instrText>
        </w:r>
        <w:r w:rsidRPr="007F72C3" w:rsidR="007F72C3">
          <w:rPr>
            <w:rStyle w:val="Hyperlink"/>
          </w:rPr>
          <w:fldChar w:fldCharType="separate"/>
        </w:r>
        <w:r w:rsidRPr="007F72C3" w:rsidR="007F72C3">
          <w:rPr>
            <w:rStyle w:val="Hyperlink"/>
          </w:rPr>
          <w:t>Håndtering av implantat og artefakter ved protonbehandling</w:t>
        </w:r>
        <w:r w:rsidRPr="007F72C3" w:rsidR="007F72C3">
          <w:rPr>
            <w:rStyle w:val="Hyperlink"/>
          </w:rPr>
          <w:fldChar w:fldCharType="end"/>
        </w:r>
      </w:hyperlink>
      <w:r>
        <w:t>].</w:t>
      </w:r>
    </w:p>
    <w:p w:rsidR="00520F04" w:rsidP="00520F04" w14:paraId="3D0845F1" w14:textId="77777777"/>
    <w:p w:rsidR="00520F04" w:rsidP="00520F04" w14:paraId="28AFDBF7" w14:textId="77777777">
      <w:pPr>
        <w:pStyle w:val="Heading3"/>
      </w:pPr>
      <w:bookmarkStart w:id="31" w:name="_Toc256000022"/>
      <w:r>
        <w:t>Målvolum</w:t>
      </w:r>
      <w:bookmarkEnd w:id="31"/>
    </w:p>
    <w:p w:rsidR="00520F04" w:rsidP="00520F04" w14:paraId="7D966466" w14:textId="77777777">
      <w:pPr>
        <w:pStyle w:val="Caption"/>
        <w:keepNext/>
      </w:pPr>
      <w:r>
        <w:t xml:space="preserve">Tabell </w:t>
      </w:r>
      <w:r>
        <w:fldChar w:fldCharType="begin"/>
      </w:r>
      <w:r>
        <w:instrText>SEQ Tabell \* ARABIC</w:instrText>
      </w:r>
      <w:r>
        <w:fldChar w:fldCharType="separate"/>
      </w:r>
      <w:r>
        <w:t>5</w:t>
      </w:r>
      <w:r>
        <w:fldChar w:fldCharType="end"/>
      </w:r>
      <w:r w:rsidRPr="00D22231">
        <w:t xml:space="preserve"> </w:t>
      </w:r>
      <w:r>
        <w:t xml:space="preserve"> </w:t>
      </w:r>
      <w:r w:rsidRPr="00CF7D0E">
        <w:t xml:space="preserve">Anbefalinger om robusthet til </w:t>
      </w:r>
      <w:r>
        <w:t>målvolum.</w:t>
      </w:r>
    </w:p>
    <w:tbl>
      <w:tblPr>
        <w:tblStyle w:val="GridTable4Accent1"/>
        <w:tblW w:w="0" w:type="auto"/>
        <w:tblLook w:val="04A0"/>
      </w:tblPr>
      <w:tblGrid>
        <w:gridCol w:w="1101"/>
        <w:gridCol w:w="1417"/>
        <w:gridCol w:w="4253"/>
      </w:tblGrid>
      <w:tr w14:paraId="54DC6690" w14:textId="77777777" w:rsidTr="002155CF">
        <w:tblPrEx>
          <w:tblW w:w="0" w:type="auto"/>
          <w:tblLook w:val="04A0"/>
        </w:tblPrEx>
        <w:tc>
          <w:tcPr>
            <w:tcW w:w="1101" w:type="dxa"/>
          </w:tcPr>
          <w:p w:rsidR="00520F04" w:rsidRPr="00814F19" w:rsidP="006E16E6" w14:paraId="0D969CD0" w14:textId="77777777">
            <w:pPr>
              <w:autoSpaceDE w:val="0"/>
              <w:autoSpaceDN w:val="0"/>
              <w:adjustRightInd w:val="0"/>
              <w:rPr>
                <w:rFonts w:ascii="Calibri" w:hAnsi="Calibri" w:cs="Calibri"/>
                <w:sz w:val="16"/>
                <w:szCs w:val="24"/>
              </w:rPr>
            </w:pPr>
            <w:r>
              <w:rPr>
                <w:rFonts w:ascii="Calibri" w:hAnsi="Calibri" w:cs="Calibri"/>
                <w:sz w:val="16"/>
                <w:szCs w:val="24"/>
              </w:rPr>
              <w:t>Målvolum</w:t>
            </w:r>
          </w:p>
        </w:tc>
        <w:tc>
          <w:tcPr>
            <w:tcW w:w="1417" w:type="dxa"/>
          </w:tcPr>
          <w:p w:rsidR="00520F04" w:rsidRPr="00814F19" w:rsidP="006E16E6" w14:paraId="660A7F7F" w14:textId="77777777">
            <w:pPr>
              <w:autoSpaceDE w:val="0"/>
              <w:autoSpaceDN w:val="0"/>
              <w:adjustRightInd w:val="0"/>
              <w:rPr>
                <w:rFonts w:ascii="Calibri" w:hAnsi="Calibri" w:cs="Calibri"/>
                <w:sz w:val="16"/>
                <w:szCs w:val="24"/>
              </w:rPr>
            </w:pPr>
            <w:r>
              <w:rPr>
                <w:rFonts w:ascii="Calibri" w:hAnsi="Calibri" w:cs="Calibri"/>
                <w:sz w:val="16"/>
                <w:szCs w:val="24"/>
              </w:rPr>
              <w:t>Dekningskrav</w:t>
            </w:r>
          </w:p>
        </w:tc>
        <w:tc>
          <w:tcPr>
            <w:tcW w:w="4253" w:type="dxa"/>
          </w:tcPr>
          <w:p w:rsidR="00520F04" w:rsidRPr="00814F19" w:rsidP="006E16E6" w14:paraId="3BCA2439" w14:textId="77777777">
            <w:pPr>
              <w:autoSpaceDE w:val="0"/>
              <w:autoSpaceDN w:val="0"/>
              <w:adjustRightInd w:val="0"/>
              <w:rPr>
                <w:rFonts w:ascii="Calibri" w:hAnsi="Calibri" w:cs="Calibri"/>
                <w:sz w:val="16"/>
                <w:szCs w:val="24"/>
              </w:rPr>
            </w:pPr>
            <w:r>
              <w:rPr>
                <w:rFonts w:ascii="Calibri" w:hAnsi="Calibri" w:cs="Calibri"/>
                <w:sz w:val="16"/>
                <w:szCs w:val="24"/>
              </w:rPr>
              <w:t>Robusthet</w:t>
            </w:r>
          </w:p>
        </w:tc>
      </w:tr>
      <w:tr w14:paraId="5D89246F" w14:textId="77777777" w:rsidTr="002155CF">
        <w:tblPrEx>
          <w:tblW w:w="0" w:type="auto"/>
          <w:tblLook w:val="04A0"/>
        </w:tblPrEx>
        <w:tc>
          <w:tcPr>
            <w:tcW w:w="1101" w:type="dxa"/>
          </w:tcPr>
          <w:p w:rsidR="00520F04" w:rsidRPr="00814F19" w:rsidP="006E16E6" w14:paraId="26578392" w14:textId="77777777">
            <w:pPr>
              <w:autoSpaceDE w:val="0"/>
              <w:autoSpaceDN w:val="0"/>
              <w:adjustRightInd w:val="0"/>
              <w:rPr>
                <w:rFonts w:ascii="Calibri" w:hAnsi="Calibri" w:cs="Calibri"/>
                <w:sz w:val="16"/>
                <w:szCs w:val="24"/>
              </w:rPr>
            </w:pPr>
            <w:r>
              <w:rPr>
                <w:rFonts w:ascii="Calibri" w:hAnsi="Calibri" w:cs="Calibri"/>
                <w:sz w:val="16"/>
                <w:szCs w:val="24"/>
              </w:rPr>
              <w:t>CTV*</w:t>
            </w:r>
          </w:p>
        </w:tc>
        <w:tc>
          <w:tcPr>
            <w:tcW w:w="1417" w:type="dxa"/>
          </w:tcPr>
          <w:p w:rsidR="00520F04" w:rsidRPr="00814F19" w:rsidP="006E16E6" w14:paraId="065F490A" w14:textId="77777777">
            <w:pPr>
              <w:autoSpaceDE w:val="0"/>
              <w:autoSpaceDN w:val="0"/>
              <w:adjustRightInd w:val="0"/>
              <w:rPr>
                <w:rFonts w:ascii="Calibri" w:hAnsi="Calibri" w:cs="Calibri"/>
                <w:sz w:val="16"/>
                <w:szCs w:val="24"/>
              </w:rPr>
            </w:pPr>
            <w:r w:rsidRPr="00EF1E17">
              <w:rPr>
                <w:rFonts w:ascii="Calibri" w:hAnsi="Calibri" w:cs="Calibri"/>
                <w:sz w:val="16"/>
                <w:szCs w:val="24"/>
              </w:rPr>
              <w:t>D</w:t>
            </w:r>
            <w:r>
              <w:rPr>
                <w:rFonts w:ascii="Calibri" w:hAnsi="Calibri" w:cs="Calibri"/>
                <w:sz w:val="16"/>
                <w:szCs w:val="24"/>
                <w:vertAlign w:val="subscript"/>
              </w:rPr>
              <w:t>98</w:t>
            </w:r>
            <w:r w:rsidRPr="00EF1E17">
              <w:rPr>
                <w:rFonts w:ascii="Calibri" w:hAnsi="Calibri" w:cs="Calibri"/>
                <w:sz w:val="16"/>
                <w:szCs w:val="24"/>
                <w:vertAlign w:val="subscript"/>
              </w:rPr>
              <w:t>%</w:t>
            </w:r>
            <w:r w:rsidRPr="00EF1E17">
              <w:rPr>
                <w:rFonts w:ascii="Calibri" w:hAnsi="Calibri" w:cs="Calibri"/>
                <w:sz w:val="16"/>
                <w:szCs w:val="24"/>
              </w:rPr>
              <w:t xml:space="preserve"> &gt; 95%</w:t>
            </w:r>
          </w:p>
        </w:tc>
        <w:tc>
          <w:tcPr>
            <w:tcW w:w="4253" w:type="dxa"/>
          </w:tcPr>
          <w:p w:rsidR="00520F04" w:rsidRPr="00814F19" w:rsidP="006E16E6" w14:paraId="1081C5AC" w14:textId="77777777">
            <w:pPr>
              <w:autoSpaceDE w:val="0"/>
              <w:autoSpaceDN w:val="0"/>
              <w:adjustRightInd w:val="0"/>
              <w:rPr>
                <w:rFonts w:ascii="Calibri" w:hAnsi="Calibri" w:cs="Calibri"/>
                <w:sz w:val="16"/>
                <w:szCs w:val="16"/>
              </w:rPr>
            </w:pPr>
            <w:r w:rsidRPr="5F0B6B5E">
              <w:rPr>
                <w:sz w:val="16"/>
                <w:szCs w:val="16"/>
              </w:rPr>
              <w:t xml:space="preserve">Skal være dekning i </w:t>
            </w:r>
            <w:r w:rsidRPr="5F0B6B5E">
              <w:rPr>
                <w:sz w:val="16"/>
                <w:szCs w:val="16"/>
              </w:rPr>
              <w:t>worst case scenario om ikke risikoorganer skal prioriteres.</w:t>
            </w:r>
          </w:p>
        </w:tc>
      </w:tr>
    </w:tbl>
    <w:p w:rsidR="00520F04" w:rsidRPr="00957C43" w:rsidP="00520F04" w14:paraId="7147A511" w14:textId="77777777">
      <w:pPr>
        <w:rPr>
          <w:sz w:val="16"/>
          <w:szCs w:val="16"/>
        </w:rPr>
      </w:pPr>
      <w:r w:rsidRPr="00DF3584">
        <w:rPr>
          <w:sz w:val="16"/>
          <w:szCs w:val="16"/>
        </w:rPr>
        <w:t xml:space="preserve">* Gjelder croppet CTV </w:t>
      </w:r>
      <w:r>
        <w:rPr>
          <w:sz w:val="16"/>
          <w:szCs w:val="16"/>
        </w:rPr>
        <w:t>der dette er aktuelt volum.</w:t>
      </w:r>
    </w:p>
    <w:p w:rsidR="00520F04" w:rsidP="00520F04" w14:paraId="423DFE9E" w14:textId="77777777"/>
    <w:p w:rsidR="00520F04" w:rsidP="00520F04" w14:paraId="649468D9" w14:textId="01700A0B">
      <w:pPr>
        <w:pStyle w:val="Heading3"/>
      </w:pPr>
      <w:bookmarkStart w:id="32" w:name="_Toc256000023"/>
      <w:r>
        <w:t>Risikoorganer</w:t>
      </w:r>
      <w:bookmarkEnd w:id="32"/>
    </w:p>
    <w:p w:rsidR="00520F04" w:rsidP="00520F04" w14:paraId="2C87276C" w14:textId="77777777">
      <w:r>
        <w:t xml:space="preserve">Robusthet til risikoorganer bør evalueres tverrfaglig mellom leger, doseplanleggere og fysikere. Det er ikke mulig å </w:t>
      </w:r>
      <w:r>
        <w:t>konkretisere en spesifikk robusthet som gjelder for alle pasienter, men robustheten må bestemmes individuelt for hver pasient.</w:t>
      </w:r>
    </w:p>
    <w:p w:rsidR="007D7B5E" w:rsidRPr="00EA1893" w:rsidP="00520F04" w14:paraId="4C31482C" w14:textId="77777777"/>
    <w:p w:rsidR="00520F04" w:rsidP="00520F04" w14:paraId="580024DD" w14:textId="77777777">
      <w:r>
        <w:t>Generelt sett er det</w:t>
      </w:r>
      <w:r w:rsidRPr="00CF7D0E">
        <w:t xml:space="preserve"> ønskelig at </w:t>
      </w:r>
      <w:r>
        <w:t>serielle</w:t>
      </w:r>
      <w:r w:rsidRPr="00CF7D0E">
        <w:t xml:space="preserve"> risikoorganer er unde</w:t>
      </w:r>
      <w:r>
        <w:t>r nominelle krav ved robust eva</w:t>
      </w:r>
      <w:r w:rsidRPr="00CF7D0E">
        <w:t>l</w:t>
      </w:r>
      <w:r>
        <w:t>u</w:t>
      </w:r>
      <w:r w:rsidRPr="00CF7D0E">
        <w:t>ering</w:t>
      </w:r>
      <w:r>
        <w:t xml:space="preserve"> i worst case</w:t>
      </w:r>
      <w:r w:rsidRPr="00CF7D0E">
        <w:t xml:space="preserve">. </w:t>
      </w:r>
      <w:r>
        <w:t>Dette vil of</w:t>
      </w:r>
      <w:r>
        <w:t>te ikke være mulig og heller ikke nødvendigvis hensiktsmessig. Det er likevel ønskelig at det tilstrebes å minimere doser til risikoorganer i robusthetsscenarioene, med høyest prioritet på scenarioer med systematiske usikkerheter (tetthetsusikkerheter). De</w:t>
      </w:r>
      <w:r>
        <w:t xml:space="preserve">t må også ilegges skjønn i robustevalueringen hvor antall scenarioer med overskridende dosegrenser sees opp mot dosenivå, lokasjon og systematikk. </w:t>
      </w:r>
    </w:p>
    <w:p w:rsidR="007D7B5E" w:rsidP="00520F04" w14:paraId="4237D5AD" w14:textId="77777777"/>
    <w:p w:rsidR="00520F04" w:rsidP="00520F04" w14:paraId="189308D4" w14:textId="77777777">
      <w:r>
        <w:t xml:space="preserve">Ved ikke oppnådd robusthet til risikoorganer kan det vurderes å bruke robust optimering på disse, spesielt </w:t>
      </w:r>
      <w:r>
        <w:t>med fokus på serielle organer som Brainstem, OpticNerve, OpticChiasm og ev. små organer. I dialog med lege og fysiker kan man i noen tilfeller også vurdere robustevaluering med knappere geometrisk margin. Det er da viktig at man dokumenterer dette på en go</w:t>
      </w:r>
      <w:r>
        <w:t xml:space="preserve">d måte og vurderer behov for hyppigere kontroller med redusert terskel for adapsjon/replanlegging. Generelt bør barn være en prioritert gruppe for adapsjon i tilfeller der man trenger å redusere marginer/robusthet til målvolum for å oppnå akseptable doser </w:t>
      </w:r>
      <w:r>
        <w:t>til (serielle) OAR og øvrig friskt vev.</w:t>
      </w:r>
    </w:p>
    <w:p w:rsidR="00246F8B" w:rsidRPr="00246F8B" w:rsidP="00246F8B" w14:paraId="7476FDE3" w14:textId="77777777"/>
    <w:p w:rsidR="00246F8B" w:rsidP="00066A58" w14:paraId="0DBF4A40" w14:textId="77777777">
      <w:pPr>
        <w:pStyle w:val="Heading1"/>
        <w:spacing w:line="259" w:lineRule="auto"/>
      </w:pPr>
      <w:bookmarkStart w:id="33" w:name="_Toc256000024"/>
      <w:r>
        <w:t>Image guidance</w:t>
      </w:r>
      <w:bookmarkEnd w:id="33"/>
    </w:p>
    <w:p w:rsidR="00520F04" w:rsidP="00520F04" w14:paraId="4752CDDE" w14:textId="69F66AE2">
      <w:r>
        <w:t xml:space="preserve">Se </w:t>
      </w:r>
      <w:hyperlink r:id="rId21" w:tooltip="XDF78857" w:history="1">
        <w:r w:rsidRPr="007F72C3" w:rsidR="007F72C3">
          <w:rPr>
            <w:rStyle w:val="Hyperlink"/>
          </w:rPr>
          <w:fldChar w:fldCharType="begin" w:fldLock="1"/>
        </w:r>
        <w:r w:rsidRPr="007F72C3" w:rsidR="007F72C3">
          <w:rPr>
            <w:rStyle w:val="Hyperlink"/>
          </w:rPr>
          <w:instrText xml:space="preserve"> DOCPROPERTY XDT78857 *charformat * MERGEFORMAT </w:instrText>
        </w:r>
        <w:r w:rsidRPr="007F72C3" w:rsidR="007F72C3">
          <w:rPr>
            <w:rStyle w:val="Hyperlink"/>
          </w:rPr>
          <w:fldChar w:fldCharType="separate"/>
        </w:r>
        <w:r w:rsidRPr="007F72C3" w:rsidR="007F72C3">
          <w:rPr>
            <w:rStyle w:val="Hyperlink"/>
          </w:rPr>
          <w:t>Protonbehandling - prosedyre for gjennomføring</w:t>
        </w:r>
        <w:r w:rsidRPr="007F72C3" w:rsidR="007F72C3">
          <w:rPr>
            <w:rStyle w:val="Hyperlink"/>
          </w:rPr>
          <w:fldChar w:fldCharType="end"/>
        </w:r>
      </w:hyperlink>
      <w:r w:rsidRPr="007F72C3" w:rsidR="007F72C3">
        <w:t xml:space="preserve"> </w:t>
      </w:r>
      <w:r>
        <w:t>for utførelse på apparat.</w:t>
      </w:r>
      <w:r w:rsidRPr="5F0B6B5E">
        <w:t xml:space="preserve"> Tenk i tillegg gjennom plassering av eventuelt anestesiutstyr ved planlegging av avbildning.</w:t>
      </w:r>
    </w:p>
    <w:p w:rsidR="007D7B5E" w:rsidP="00520F04" w14:paraId="5AA9FD41" w14:textId="77777777"/>
    <w:p w:rsidR="00520F04" w:rsidP="00520F04" w14:paraId="4EB08CB2" w14:textId="77777777">
      <w:r>
        <w:t>Pasienten innstilles etter lasere og eventuelt overflatescanning. For videre posisjonering kan et kV</w:t>
      </w:r>
      <w:r>
        <w:t>-sidebilde av hode og/eller bekken gi rask og god informasjon om ekstensjon i nakke og/eller vipp i bekken. Justèr kV og mAs etter pasientens størrelse.  </w:t>
      </w:r>
    </w:p>
    <w:p w:rsidR="007D7B5E" w:rsidP="00520F04" w14:paraId="4205D0E5" w14:textId="77777777"/>
    <w:p w:rsidR="00520F04" w:rsidRPr="007D7B5E" w:rsidP="00520F04" w14:paraId="66127AB4" w14:textId="381F9934">
      <w:pPr>
        <w:pStyle w:val="elementtoproof"/>
        <w:shd w:val="clear" w:color="auto" w:fill="FFFFFF" w:themeFill="background1"/>
        <w:spacing w:after="200"/>
        <w:rPr>
          <w:color w:val="000000"/>
          <w:sz w:val="24"/>
          <w:szCs w:val="24"/>
        </w:rPr>
      </w:pPr>
      <w:r w:rsidRPr="007D7B5E">
        <w:rPr>
          <w:rFonts w:eastAsia="SimSun" w:asciiTheme="minorHAnsi" w:hAnsiTheme="minorHAnsi" w:cstheme="minorBidi"/>
          <w:sz w:val="24"/>
          <w:szCs w:val="24"/>
          <w:lang w:eastAsia="en-US"/>
        </w:rPr>
        <w:t xml:space="preserve">Dersom kV bilder med 2D-2D eller 2D-3D match </w:t>
      </w:r>
      <w:r w:rsidRPr="007D7B5E">
        <w:rPr>
          <w:color w:val="000000" w:themeColor="text1"/>
          <w:sz w:val="24"/>
          <w:szCs w:val="24"/>
        </w:rPr>
        <w:t xml:space="preserve">gir god nok informasjon om posisjon av aktuelt område, </w:t>
      </w:r>
      <w:r w:rsidRPr="007D7B5E">
        <w:rPr>
          <w:color w:val="000000" w:themeColor="text1"/>
          <w:sz w:val="24"/>
          <w:szCs w:val="24"/>
        </w:rPr>
        <w:t>kan det med fordel brukes da det er mest dosebesparende (med faktor 10).</w:t>
      </w:r>
      <w:r w:rsidR="00C30FAD">
        <w:rPr>
          <w:color w:val="000000" w:themeColor="text1"/>
          <w:sz w:val="24"/>
          <w:szCs w:val="24"/>
        </w:rPr>
        <w:t xml:space="preserve"> Ukentlig CBCT kan vurderes for kontroll av anatomiske endringer.</w:t>
      </w:r>
    </w:p>
    <w:p w:rsidR="00520F04" w:rsidRPr="00596989" w:rsidP="00520F04" w14:paraId="6DFA36C3" w14:textId="38B4DD08">
      <w:r w:rsidRPr="5DD4D21D">
        <w:rPr>
          <w:color w:val="000000" w:themeColor="text1"/>
        </w:rPr>
        <w:t>Ved behov brukes CBCT til matching, gjerne med mode “Image Gently” som gir lavest dose. Det anbefales å utvikle og lag</w:t>
      </w:r>
      <w:r w:rsidRPr="5DD4D21D">
        <w:rPr>
          <w:color w:val="000000" w:themeColor="text1"/>
        </w:rPr>
        <w:t>e en oversikt over barneprotokoller, da man kan redusere dosen betydelig (med faktor 2-3) uten å gå på vesentlig bekostning av bildekvalitet. I løpet av 30 fraksjoner med daglig CBCT kan akkumulert dose til hud komme på 0.7-0.9 Gy og for bein ca</w:t>
      </w:r>
      <w:r>
        <w:rPr>
          <w:color w:val="000000" w:themeColor="text1"/>
        </w:rPr>
        <w:t>.</w:t>
      </w:r>
      <w:r w:rsidRPr="5DD4D21D">
        <w:rPr>
          <w:color w:val="000000" w:themeColor="text1"/>
        </w:rPr>
        <w:t xml:space="preserve"> dobbelt s</w:t>
      </w:r>
      <w:r w:rsidRPr="5DD4D21D">
        <w:rPr>
          <w:color w:val="000000" w:themeColor="text1"/>
        </w:rPr>
        <w:t xml:space="preserve">å høyt (bekkenprotokoll voksne). Ved å heller bruke hodeprotokoll på barn kan denne dosen reduseres med faktor 2-3. </w:t>
      </w:r>
      <w:r w:rsidRPr="00596989">
        <w:rPr>
          <w:color w:val="000000" w:themeColor="text1"/>
        </w:rPr>
        <w:t>Dette er likevel fortsatt et ikke ubetydelig bidrag til lavdose</w:t>
      </w:r>
      <w:r>
        <w:rPr>
          <w:color w:val="000000" w:themeColor="text1"/>
        </w:rPr>
        <w:t xml:space="preserve"> (</w:t>
      </w:r>
      <w:hyperlink r:id="rId22" w:history="1">
        <w:r w:rsidRPr="007D7B5E">
          <w:rPr>
            <w:rStyle w:val="Hyperlink"/>
            <w:rFonts w:ascii="Calibri" w:eastAsia="Calibri" w:hAnsi="Calibri" w:cs="Calibri"/>
          </w:rPr>
          <w:t>Report of the AAPM Therapy Physics Committee Task Group 180</w:t>
        </w:r>
      </w:hyperlink>
      <w:r>
        <w:t xml:space="preserve"> [</w:t>
      </w:r>
      <w:r w:rsidRPr="00B54930">
        <w:fldChar w:fldCharType="begin"/>
      </w:r>
      <w:r w:rsidRPr="00B54930">
        <w:instrText xml:space="preserve"> REF Ding \h  \* MERGEFORMAT </w:instrText>
      </w:r>
      <w:r w:rsidRPr="00B54930">
        <w:fldChar w:fldCharType="separate"/>
      </w:r>
      <w:r w:rsidRPr="00B54930">
        <w:t>9</w:t>
      </w:r>
      <w:r w:rsidRPr="00B54930">
        <w:fldChar w:fldCharType="end"/>
      </w:r>
      <w:r>
        <w:t>])</w:t>
      </w:r>
      <w:r w:rsidRPr="00596989">
        <w:t>.</w:t>
      </w:r>
    </w:p>
    <w:p w:rsidR="00246F8B" w:rsidRPr="00246F8B" w:rsidP="00246F8B" w14:paraId="7A7E3F58" w14:textId="77777777"/>
    <w:p w:rsidR="00246F8B" w:rsidP="00066A58" w14:paraId="44A0619F" w14:textId="77777777">
      <w:pPr>
        <w:pStyle w:val="Heading1"/>
        <w:spacing w:line="259" w:lineRule="auto"/>
      </w:pPr>
      <w:bookmarkStart w:id="34" w:name="_Toc256000025"/>
      <w:r>
        <w:t>Kontrollbilder og adapsjon</w:t>
      </w:r>
      <w:bookmarkEnd w:id="34"/>
    </w:p>
    <w:p w:rsidR="00520F04" w:rsidP="00520F04" w14:paraId="15D65EC2" w14:textId="232C9400">
      <w:r>
        <w:t xml:space="preserve">Ved behov for </w:t>
      </w:r>
      <w:r>
        <w:t>rutinemessig kontrollavbildning underveis i behandlingsforløpet foretrekkes MR fremfor CT</w:t>
      </w:r>
      <w:r w:rsidR="00C24DB6">
        <w:t xml:space="preserve"> </w:t>
      </w:r>
      <w:r w:rsidRPr="00F210CD" w:rsidR="00C24DB6">
        <w:t>og CBCT</w:t>
      </w:r>
      <w:r>
        <w:t xml:space="preserve">, for å begrense unødvendig avbildningsdose til barn og unge. Dersom MR viser anatomiske endringer som kan være av betydning for dosefordelingen, skal behovet </w:t>
      </w:r>
      <w:r>
        <w:t xml:space="preserve">for en ny doseplan-CT evalueres. </w:t>
      </w:r>
      <w:r>
        <w:rPr>
          <w:rStyle w:val="normaltextrun"/>
          <w:rFonts w:ascii="Calibri" w:hAnsi="Calibri" w:cs="Calibri"/>
          <w:color w:val="000000"/>
          <w:shd w:val="clear" w:color="auto" w:fill="FFFFFF"/>
        </w:rPr>
        <w:t xml:space="preserve">Ved suboptimal fiksering eller ved anatomiske endringer på CBCT som kan påvirke dosedekning eller doser til risikoorganer, skal det tilsvarende evalueres om ny doseplan-CT for replanlegging skal tas. Se prosedyren </w:t>
      </w:r>
      <w:hyperlink r:id="rId21" w:tooltip="XDF78857" w:history="1">
        <w:r w:rsidRPr="007F72C3" w:rsidR="007F72C3">
          <w:rPr>
            <w:rStyle w:val="Hyperlink"/>
          </w:rPr>
          <w:fldChar w:fldCharType="begin" w:fldLock="1"/>
        </w:r>
        <w:r w:rsidRPr="007F72C3" w:rsidR="007F72C3">
          <w:rPr>
            <w:rStyle w:val="Hyperlink"/>
          </w:rPr>
          <w:instrText xml:space="preserve"> DOCPROPERTY XDT78857 *charformat * MERGEFORMAT </w:instrText>
        </w:r>
        <w:r w:rsidRPr="007F72C3" w:rsidR="007F72C3">
          <w:rPr>
            <w:rStyle w:val="Hyperlink"/>
          </w:rPr>
          <w:fldChar w:fldCharType="separate"/>
        </w:r>
        <w:r w:rsidRPr="007F72C3" w:rsidR="007F72C3">
          <w:rPr>
            <w:rStyle w:val="Hyperlink"/>
          </w:rPr>
          <w:t>Protonbehandling - prosedyre for gjennomføring</w:t>
        </w:r>
        <w:r w:rsidRPr="007F72C3" w:rsidR="007F72C3">
          <w:rPr>
            <w:rStyle w:val="Hyperlink"/>
          </w:rPr>
          <w:fldChar w:fldCharType="end"/>
        </w:r>
      </w:hyperlink>
      <w:r w:rsidRPr="007F72C3" w:rsidR="007F72C3">
        <w:t xml:space="preserve"> </w:t>
      </w:r>
      <w:r>
        <w:rPr>
          <w:rStyle w:val="normaltextrun"/>
          <w:rFonts w:ascii="Calibri" w:hAnsi="Calibri" w:cs="Calibri"/>
          <w:color w:val="000000"/>
          <w:shd w:val="clear" w:color="auto" w:fill="FFFFFF"/>
        </w:rPr>
        <w:t>for detaljer.</w:t>
      </w:r>
    </w:p>
    <w:p w:rsidR="00246F8B" w:rsidRPr="00246F8B" w:rsidP="00246F8B" w14:paraId="10CDB1B5" w14:textId="77777777"/>
    <w:p w:rsidR="00246F8B" w:rsidP="00066A58" w14:paraId="2B029B1C" w14:textId="77777777">
      <w:pPr>
        <w:pStyle w:val="Heading1"/>
        <w:spacing w:line="259" w:lineRule="auto"/>
      </w:pPr>
      <w:bookmarkStart w:id="35" w:name="_Toc256000026"/>
      <w:r>
        <w:t>Tiltak og prioritering ved nedetid</w:t>
      </w:r>
      <w:bookmarkEnd w:id="35"/>
    </w:p>
    <w:p w:rsidR="00520F04" w:rsidP="00520F04" w14:paraId="4AE1ADD2" w14:textId="77777777">
      <w:r w:rsidRPr="00EE5B4C">
        <w:rPr>
          <w:rStyle w:val="normaltextrun"/>
          <w:rFonts w:ascii="Calibri" w:hAnsi="Calibri" w:cs="Calibri"/>
          <w:bdr w:val="none" w:sz="0" w:space="0" w:color="auto" w:frame="1"/>
        </w:rPr>
        <w:t xml:space="preserve">Ved kortere opphold i protonbehandlingstilbudet </w:t>
      </w:r>
      <w:r>
        <w:rPr>
          <w:rStyle w:val="normaltextrun"/>
          <w:rFonts w:ascii="Calibri" w:hAnsi="Calibri" w:cs="Calibri"/>
          <w:bdr w:val="none" w:sz="0" w:space="0" w:color="auto" w:frame="1"/>
        </w:rPr>
        <w:t xml:space="preserve">kan det være </w:t>
      </w:r>
      <w:r w:rsidRPr="00EE5B4C">
        <w:rPr>
          <w:rStyle w:val="normaltextrun"/>
          <w:rFonts w:ascii="Calibri" w:hAnsi="Calibri" w:cs="Calibri"/>
          <w:bdr w:val="none" w:sz="0" w:space="0" w:color="auto" w:frame="1"/>
        </w:rPr>
        <w:t xml:space="preserve">aktuelt å kompensere med fotonbehandling </w:t>
      </w:r>
      <w:r>
        <w:rPr>
          <w:rStyle w:val="normaltextrun"/>
          <w:rFonts w:ascii="Calibri" w:hAnsi="Calibri" w:cs="Calibri"/>
          <w:bdr w:val="none" w:sz="0" w:space="0" w:color="auto" w:frame="1"/>
        </w:rPr>
        <w:t>for noen fraksjoner</w:t>
      </w:r>
      <w:r w:rsidRPr="00EE5B4C">
        <w:rPr>
          <w:rStyle w:val="normaltextrun"/>
          <w:rFonts w:ascii="Calibri" w:hAnsi="Calibri" w:cs="Calibri"/>
          <w:bdr w:val="none" w:sz="0" w:space="0" w:color="auto" w:frame="1"/>
        </w:rPr>
        <w:t xml:space="preserve">. Kompensering med protonbehandling på lørdager kan </w:t>
      </w:r>
      <w:r>
        <w:rPr>
          <w:rStyle w:val="normaltextrun"/>
          <w:rFonts w:ascii="Calibri" w:hAnsi="Calibri" w:cs="Calibri"/>
          <w:bdr w:val="none" w:sz="0" w:space="0" w:color="auto" w:frame="1"/>
        </w:rPr>
        <w:t xml:space="preserve">også </w:t>
      </w:r>
      <w:r w:rsidRPr="00EE5B4C">
        <w:rPr>
          <w:rStyle w:val="normaltextrun"/>
          <w:rFonts w:ascii="Calibri" w:hAnsi="Calibri" w:cs="Calibri"/>
          <w:bdr w:val="none" w:sz="0" w:space="0" w:color="auto" w:frame="1"/>
        </w:rPr>
        <w:t>være et aktuelt alternativ. Ved lengre (uforutsette) opphold i protonbehandlin</w:t>
      </w:r>
      <w:r w:rsidRPr="00EE5B4C">
        <w:rPr>
          <w:rStyle w:val="normaltextrun"/>
          <w:rFonts w:ascii="Calibri" w:hAnsi="Calibri" w:cs="Calibri"/>
          <w:bdr w:val="none" w:sz="0" w:space="0" w:color="auto" w:frame="1"/>
        </w:rPr>
        <w:t xml:space="preserve">gen </w:t>
      </w:r>
      <w:r>
        <w:rPr>
          <w:rStyle w:val="normaltextrun"/>
          <w:rFonts w:ascii="Calibri" w:hAnsi="Calibri" w:cs="Calibri"/>
          <w:bdr w:val="none" w:sz="0" w:space="0" w:color="auto" w:frame="1"/>
        </w:rPr>
        <w:t>må det vurderes per kasus om overføring til fotonbehandling eller</w:t>
      </w:r>
      <w:r w:rsidRPr="00EE5B4C">
        <w:rPr>
          <w:rStyle w:val="normaltextrun"/>
          <w:rFonts w:ascii="Calibri" w:hAnsi="Calibri" w:cs="Calibri"/>
          <w:bdr w:val="none" w:sz="0" w:space="0" w:color="auto" w:frame="1"/>
        </w:rPr>
        <w:t xml:space="preserve"> til</w:t>
      </w:r>
      <w:r>
        <w:rPr>
          <w:rStyle w:val="normaltextrun"/>
          <w:rFonts w:ascii="Calibri" w:hAnsi="Calibri" w:cs="Calibri"/>
          <w:bdr w:val="none" w:sz="0" w:space="0" w:color="auto" w:frame="1"/>
        </w:rPr>
        <w:t xml:space="preserve"> et annet protonsenter er beste alternativ. </w:t>
      </w:r>
      <w:r w:rsidRPr="00EE5B4C">
        <w:rPr>
          <w:rStyle w:val="normaltextrun"/>
          <w:rFonts w:ascii="Calibri" w:hAnsi="Calibri" w:cs="Calibri"/>
          <w:bdr w:val="none" w:sz="0" w:space="0" w:color="auto" w:frame="1"/>
        </w:rPr>
        <w:t>Særlig yngre kurative pasienter bør vurderes for overføring til et annet protonsenter fremfor å motta et større antall fraksjoner med foton</w:t>
      </w:r>
      <w:r>
        <w:rPr>
          <w:rStyle w:val="normaltextrun"/>
          <w:rFonts w:ascii="Calibri" w:hAnsi="Calibri" w:cs="Calibri"/>
          <w:bdr w:val="none" w:sz="0" w:space="0" w:color="auto" w:frame="1"/>
        </w:rPr>
        <w:t xml:space="preserve"> dersom strålebelastningen til friskt normalvev er vesentlig større med sistnevnte</w:t>
      </w:r>
      <w:r w:rsidRPr="00EE5B4C">
        <w:rPr>
          <w:rStyle w:val="normaltextrun"/>
          <w:rFonts w:ascii="Calibri" w:hAnsi="Calibri" w:cs="Calibri"/>
          <w:bdr w:val="none" w:sz="0" w:space="0" w:color="auto" w:frame="1"/>
        </w:rPr>
        <w:t>.</w:t>
      </w:r>
    </w:p>
    <w:p w:rsidR="00246F8B" w:rsidRPr="00246F8B" w:rsidP="00246F8B" w14:paraId="4DE33AE0" w14:textId="77777777"/>
    <w:p w:rsidR="00510BDF" w:rsidP="00066A58" w14:paraId="1503EC9B" w14:textId="15885A73">
      <w:pPr>
        <w:pStyle w:val="Heading1"/>
        <w:spacing w:line="259" w:lineRule="auto"/>
      </w:pPr>
      <w:bookmarkStart w:id="36" w:name="_Toc256000027"/>
      <w:r>
        <w:t>Referanser</w:t>
      </w:r>
      <w:bookmarkEnd w:id="36"/>
      <w:r>
        <w:t xml:space="preserve"> </w:t>
      </w:r>
    </w:p>
    <w:p w:rsidR="00DF7BA8" w:rsidP="00066A58" w14:paraId="1503EC9C" w14:textId="77777777">
      <w:pPr>
        <w:spacing w:line="259" w:lineRule="auto"/>
        <w:rPr>
          <w:rFonts w:cstheme="minorHAnsi"/>
        </w:rPr>
      </w:pPr>
    </w:p>
    <w:p w:rsidR="00510BDF" w:rsidP="00066A58" w14:paraId="1503EC9D" w14:textId="77777777">
      <w:pPr>
        <w:spacing w:line="259" w:lineRule="auto"/>
        <w:rPr>
          <w:rFonts w:cstheme="minorHAnsi"/>
        </w:rPr>
      </w:pPr>
      <w:r>
        <w:rPr>
          <w:rFonts w:cstheme="minorHAnsi"/>
        </w:rPr>
        <w:t xml:space="preserve">Interne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bookmarkStart w:id="37" w:name="EK_Referanse"/>
            <w:hyperlink r:id="rId6" w:history="1">
              <w:r>
                <w:rPr>
                  <w:b w:val="0"/>
                  <w:color w:val="0000FF"/>
                  <w:u w:val="single"/>
                </w:rPr>
                <w:t>3.1.2.5.9.4.1-02</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6" w:history="1">
              <w:r>
                <w:rPr>
                  <w:b w:val="0"/>
                  <w:color w:val="0000FF"/>
                  <w:u w:val="single"/>
                </w:rPr>
                <w:t>Total CNS-akse - Retningslinje for protonplanlegging</w:t>
              </w:r>
            </w:hyperlink>
          </w:p>
        </w:tc>
      </w:tr>
      <w:tr>
        <w:tblPrEx>
          <w:tblW w:w="5000" w:type="pct"/>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hyperlink r:id="rId5" w:history="1">
              <w:r>
                <w:rPr>
                  <w:b w:val="0"/>
                  <w:color w:val="0000FF"/>
                  <w:u w:val="single"/>
                </w:rPr>
                <w:t>3.1.2.5.9.4.1-03</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5" w:history="1">
              <w:r>
                <w:rPr>
                  <w:b w:val="0"/>
                  <w:color w:val="0000FF"/>
                  <w:u w:val="single"/>
                </w:rPr>
                <w:t>Cerebri - Retningslinje for protonplanlegging</w:t>
              </w:r>
            </w:hyperlink>
          </w:p>
        </w:tc>
      </w:tr>
      <w:tr>
        <w:tblPrEx>
          <w:tblW w:w="5000" w:type="pct"/>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hyperlink r:id="rId23" w:history="1">
              <w:r>
                <w:rPr>
                  <w:b w:val="0"/>
                  <w:color w:val="0000FF"/>
                  <w:u w:val="single"/>
                </w:rPr>
                <w:t>3.1.2.5.9.4.1-04</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23" w:history="1">
              <w:r>
                <w:rPr>
                  <w:b w:val="0"/>
                  <w:color w:val="0000FF"/>
                  <w:u w:val="single"/>
                </w:rPr>
                <w:t>ØNH - Retningslinje for protonplanlegging</w:t>
              </w:r>
            </w:hyperlink>
          </w:p>
        </w:tc>
      </w:tr>
      <w:tr>
        <w:tblPrEx>
          <w:tblW w:w="5000" w:type="pct"/>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hyperlink r:id="rId7" w:history="1">
              <w:r>
                <w:rPr>
                  <w:b w:val="0"/>
                  <w:color w:val="0000FF"/>
                  <w:u w:val="single"/>
                </w:rPr>
                <w:t>3.1.2.5.9.4.1-05</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7" w:history="1">
              <w:r>
                <w:rPr>
                  <w:b w:val="0"/>
                  <w:color w:val="0000FF"/>
                  <w:u w:val="single"/>
                </w:rPr>
                <w:t>Sarcom - Retningslinje for protonplanlegging</w:t>
              </w:r>
            </w:hyperlink>
          </w:p>
        </w:tc>
      </w:tr>
      <w:tr>
        <w:tblPrEx>
          <w:tblW w:w="5000" w:type="pct"/>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hyperlink r:id="rId8" w:history="1">
              <w:r>
                <w:rPr>
                  <w:b w:val="0"/>
                  <w:color w:val="0000FF"/>
                  <w:u w:val="single"/>
                </w:rPr>
                <w:t>3.1.2.5.9.4.1-06</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8" w:history="1">
              <w:r>
                <w:rPr>
                  <w:b w:val="0"/>
                  <w:color w:val="0000FF"/>
                  <w:u w:val="single"/>
                </w:rPr>
                <w:t>Protonfiksering - oversikt</w:t>
              </w:r>
            </w:hyperlink>
          </w:p>
        </w:tc>
      </w:tr>
      <w:tr>
        <w:tblPrEx>
          <w:tblW w:w="5000" w:type="pct"/>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hyperlink r:id="rId24" w:history="1">
              <w:r>
                <w:rPr>
                  <w:b w:val="0"/>
                  <w:color w:val="0000FF"/>
                  <w:u w:val="single"/>
                </w:rPr>
                <w:t>3.1.2.5.9.4.1-07</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24" w:history="1">
              <w:r>
                <w:rPr>
                  <w:b w:val="0"/>
                  <w:color w:val="0000FF"/>
                  <w:u w:val="single"/>
                </w:rPr>
                <w:t>Fiksering av hode , hals og CNS-nevroakse ved protonbehandling (voksen/pediatri) Retningslinje.</w:t>
              </w:r>
            </w:hyperlink>
          </w:p>
        </w:tc>
      </w:tr>
      <w:tr>
        <w:tblPrEx>
          <w:tblW w:w="5000" w:type="pct"/>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hyperlink r:id="rId9" w:history="1">
              <w:r>
                <w:rPr>
                  <w:b w:val="0"/>
                  <w:color w:val="0000FF"/>
                  <w:u w:val="single"/>
                </w:rPr>
                <w:t>3.1.2.5.9.4.1-08</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9" w:history="1">
              <w:r>
                <w:rPr>
                  <w:b w:val="0"/>
                  <w:color w:val="0000FF"/>
                  <w:u w:val="single"/>
                </w:rPr>
                <w:t>Avbildning for protonterapi - retningslinje</w:t>
              </w:r>
            </w:hyperlink>
          </w:p>
        </w:tc>
      </w:tr>
      <w:tr>
        <w:tblPrEx>
          <w:tblW w:w="5000" w:type="pct"/>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hyperlink r:id="rId10" w:history="1">
              <w:r>
                <w:rPr>
                  <w:b w:val="0"/>
                  <w:color w:val="0000FF"/>
                  <w:u w:val="single"/>
                </w:rPr>
                <w:t>3.1.2.5.9.4.1-09</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10" w:history="1">
              <w:r>
                <w:rPr>
                  <w:b w:val="0"/>
                  <w:color w:val="0000FF"/>
                  <w:u w:val="single"/>
                </w:rPr>
                <w:t>Håndtering av implantat og artefakter ved protonbehandling</w:t>
              </w:r>
            </w:hyperlink>
          </w:p>
        </w:tc>
      </w:tr>
      <w:tr>
        <w:tblPrEx>
          <w:tblW w:w="5000" w:type="pct"/>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hyperlink r:id="rId21" w:history="1">
              <w:r>
                <w:rPr>
                  <w:b w:val="0"/>
                  <w:color w:val="0000FF"/>
                  <w:u w:val="single"/>
                </w:rPr>
                <w:t>3.1.2.5.9.4.1-11</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21" w:history="1">
              <w:r>
                <w:rPr>
                  <w:b w:val="0"/>
                  <w:color w:val="0000FF"/>
                  <w:u w:val="single"/>
                </w:rPr>
                <w:t>Protonbehandling - prosedyre for gjennomføring</w:t>
              </w:r>
            </w:hyperlink>
          </w:p>
        </w:tc>
      </w:tr>
    </w:tbl>
    <w:p w:rsidR="00510BDF" w:rsidP="00066A58" w14:paraId="1503ECA2" w14:textId="77777777">
      <w:pPr>
        <w:spacing w:line="259" w:lineRule="auto"/>
        <w:rPr>
          <w:rFonts w:cstheme="minorHAnsi"/>
        </w:rPr>
      </w:pPr>
      <w:bookmarkEnd w:id="37"/>
    </w:p>
    <w:p w:rsidR="00510BDF" w:rsidP="00066A58" w14:paraId="1503ECA3" w14:textId="77777777">
      <w:pPr>
        <w:spacing w:line="259" w:lineRule="auto"/>
        <w:rPr>
          <w:rFonts w:cstheme="minorHAnsi"/>
        </w:rPr>
      </w:pPr>
      <w:r>
        <w:rPr>
          <w:rFonts w:cstheme="minorHAnsi"/>
        </w:rPr>
        <w:t xml:space="preserve">Eksterne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7F72C3">
            <w:pPr>
              <w:numPr>
                <w:ilvl w:val="0"/>
                <w:numId w:val="0"/>
              </w:numPr>
              <w:ind w:left="705" w:hanging="705"/>
              <w:rPr>
                <w:b w:val="0"/>
                <w:color w:val="0000FF"/>
                <w:u w:val="single"/>
              </w:rPr>
            </w:pPr>
            <w:bookmarkStart w:id="38" w:name="EK_EksRef"/>
            <w:r>
              <w:rPr>
                <w:b w:val="0"/>
                <w:color w:val="0000FF"/>
                <w:u w:val="single"/>
              </w:rPr>
              <w:t xml:space="preserve"> </w:t>
            </w:r>
          </w:p>
        </w:tc>
      </w:tr>
    </w:tbl>
    <w:p w:rsidR="00935DE6" w:rsidP="007F72C3" w14:paraId="1503ECA9" w14:textId="2ABF0E41">
      <w:pPr>
        <w:ind w:left="705" w:hanging="705"/>
        <w:rPr>
          <w:rStyle w:val="Hyperlink"/>
          <w:lang w:val="en-US"/>
        </w:rPr>
      </w:pPr>
      <w:bookmarkEnd w:id="38"/>
      <w:bookmarkStart w:id="39" w:name="Nanda"/>
      <w:r>
        <w:rPr>
          <w:lang w:val="en-US"/>
        </w:rPr>
        <w:t>1</w:t>
      </w:r>
      <w:bookmarkEnd w:id="39"/>
      <w:r>
        <w:rPr>
          <w:lang w:val="en-US"/>
        </w:rPr>
        <w:t>.</w:t>
      </w:r>
      <w:r>
        <w:rPr>
          <w:lang w:val="en-US"/>
        </w:rPr>
        <w:tab/>
      </w:r>
      <w:r w:rsidRPr="000548D3">
        <w:rPr>
          <w:lang w:val="en-US"/>
        </w:rPr>
        <w:t xml:space="preserve">Nanda, R.H., et al., </w:t>
      </w:r>
      <w:r w:rsidRPr="000548D3">
        <w:rPr>
          <w:i/>
          <w:iCs/>
          <w:lang w:val="en-US"/>
        </w:rPr>
        <w:t>Risks of Spinal Abnormalities and Growth Impairment After Radiation to the Spine in Childhood Cancer Survivors: A PENTEC Comprehensive Review.</w:t>
      </w:r>
      <w:r w:rsidRPr="000548D3">
        <w:rPr>
          <w:lang w:val="en-US"/>
        </w:rPr>
        <w:t xml:space="preserve"> </w:t>
      </w:r>
      <w:r w:rsidRPr="00B93600">
        <w:rPr>
          <w:lang w:val="en-US"/>
        </w:rPr>
        <w:t>Int J Radiat Oncol Biol Phys, 2023.</w:t>
      </w:r>
      <w:r>
        <w:rPr>
          <w:lang w:val="en-US"/>
        </w:rPr>
        <w:t xml:space="preserve"> doi:</w:t>
      </w:r>
      <w:r w:rsidRPr="00B93600">
        <w:rPr>
          <w:lang w:val="en-US"/>
        </w:rPr>
        <w:t xml:space="preserve"> </w:t>
      </w:r>
      <w:hyperlink r:id="rId25" w:history="1">
        <w:r w:rsidRPr="00B114C2">
          <w:rPr>
            <w:rStyle w:val="Hyperlink"/>
            <w:lang w:val="en-US"/>
          </w:rPr>
          <w:t>10.1016/j.ijrobp.2023.10.039</w:t>
        </w:r>
      </w:hyperlink>
    </w:p>
    <w:p w:rsidR="007F72C3" w:rsidP="007F72C3" w14:paraId="160BD5A4" w14:textId="32BC6C1C">
      <w:pPr>
        <w:ind w:left="705" w:hanging="705"/>
        <w:rPr>
          <w:rStyle w:val="Hyperlink"/>
          <w:lang w:val="en-US"/>
        </w:rPr>
      </w:pPr>
      <w:bookmarkStart w:id="40" w:name="Gay"/>
      <w:r>
        <w:rPr>
          <w:lang w:val="en-US"/>
        </w:rPr>
        <w:t>2</w:t>
      </w:r>
      <w:bookmarkEnd w:id="40"/>
      <w:r>
        <w:rPr>
          <w:lang w:val="en-US"/>
        </w:rPr>
        <w:t>.</w:t>
      </w:r>
      <w:r>
        <w:rPr>
          <w:lang w:val="en-US"/>
        </w:rPr>
        <w:tab/>
      </w:r>
      <w:r w:rsidRPr="00780E50">
        <w:rPr>
          <w:lang w:val="en-US"/>
        </w:rPr>
        <w:t>Gay, HA., et al.,</w:t>
      </w:r>
      <w:r w:rsidRPr="00780E50">
        <w:rPr>
          <w:i/>
          <w:iCs/>
          <w:lang w:val="en-US"/>
        </w:rPr>
        <w:t xml:space="preserve"> Pelvic Normal Tissue Contouring Guidelines for Radiation Therapy: A RTOG Consensus Panel Atlas [internet].</w:t>
      </w:r>
      <w:r w:rsidRPr="00780E50">
        <w:rPr>
          <w:lang w:val="en-US"/>
        </w:rPr>
        <w:t xml:space="preserve"> Int J </w:t>
      </w:r>
      <w:r w:rsidRPr="00780E50">
        <w:rPr>
          <w:lang w:val="en-US"/>
        </w:rPr>
        <w:t>Radiat Oncol Biol Phys, 2014</w:t>
      </w:r>
      <w:r>
        <w:rPr>
          <w:lang w:val="en-US"/>
        </w:rPr>
        <w:t>.</w:t>
      </w:r>
      <w:r w:rsidRPr="00780E50">
        <w:rPr>
          <w:lang w:val="en-US"/>
        </w:rPr>
        <w:t xml:space="preserve"> </w:t>
      </w:r>
      <w:r w:rsidRPr="00867ECA">
        <w:rPr>
          <w:b/>
          <w:bCs/>
          <w:lang w:val="en-US"/>
        </w:rPr>
        <w:t>83</w:t>
      </w:r>
      <w:r>
        <w:rPr>
          <w:lang w:val="en-US"/>
        </w:rPr>
        <w:t>(3)</w:t>
      </w:r>
      <w:r w:rsidRPr="00780E50">
        <w:rPr>
          <w:lang w:val="en-US"/>
        </w:rPr>
        <w:t xml:space="preserve">: </w:t>
      </w:r>
      <w:r>
        <w:rPr>
          <w:lang w:val="en-US"/>
        </w:rPr>
        <w:t xml:space="preserve">p. </w:t>
      </w:r>
      <w:r w:rsidRPr="00780E50">
        <w:rPr>
          <w:lang w:val="en-US"/>
        </w:rPr>
        <w:t>1</w:t>
      </w:r>
      <w:r>
        <w:rPr>
          <w:lang w:val="en-US"/>
        </w:rPr>
        <w:t xml:space="preserve">-17. doi: </w:t>
      </w:r>
      <w:hyperlink r:id="rId12" w:history="1">
        <w:r w:rsidRPr="001770C3">
          <w:rPr>
            <w:rStyle w:val="Hyperlink"/>
            <w:lang w:val="en-US"/>
          </w:rPr>
          <w:t>10.1016/j.ijrobp.2012.01.023</w:t>
        </w:r>
      </w:hyperlink>
    </w:p>
    <w:p w:rsidR="007F72C3" w:rsidP="007F72C3" w14:paraId="433AF373" w14:textId="0E1606DD">
      <w:pPr>
        <w:ind w:left="705" w:hanging="705"/>
        <w:rPr>
          <w:rStyle w:val="Hyperlink"/>
          <w:lang w:val="en-US"/>
        </w:rPr>
      </w:pPr>
      <w:bookmarkStart w:id="41" w:name="Hoeben"/>
      <w:r>
        <w:rPr>
          <w:lang w:val="en-US"/>
        </w:rPr>
        <w:t>3</w:t>
      </w:r>
      <w:bookmarkEnd w:id="41"/>
      <w:r>
        <w:rPr>
          <w:lang w:val="en-US"/>
        </w:rPr>
        <w:t>.</w:t>
      </w:r>
      <w:r>
        <w:rPr>
          <w:lang w:val="en-US"/>
        </w:rPr>
        <w:tab/>
      </w:r>
      <w:r w:rsidRPr="00BB1B51">
        <w:rPr>
          <w:lang w:val="en-US"/>
        </w:rPr>
        <w:t xml:space="preserve">Hoeben, B.A., et al., </w:t>
      </w:r>
      <w:r w:rsidRPr="00BB1B51">
        <w:rPr>
          <w:i/>
          <w:lang w:val="en-US"/>
        </w:rPr>
        <w:t>Management of vertebral radiotherapy dose in paediatric p</w:t>
      </w:r>
      <w:r w:rsidRPr="00BB1B51">
        <w:rPr>
          <w:i/>
          <w:lang w:val="en-US"/>
        </w:rPr>
        <w:t>atients with cancer: consensus recommendations from the SIOPE radiotherapy working group.</w:t>
      </w:r>
      <w:r w:rsidRPr="00BB1B51">
        <w:rPr>
          <w:lang w:val="en-US"/>
        </w:rPr>
        <w:t xml:space="preserve"> </w:t>
      </w:r>
      <w:r w:rsidRPr="003920A3">
        <w:rPr>
          <w:lang w:val="en-US"/>
        </w:rPr>
        <w:t xml:space="preserve">Lancet Oncol, 2019. </w:t>
      </w:r>
      <w:r w:rsidRPr="003920A3">
        <w:rPr>
          <w:b/>
          <w:lang w:val="en-US"/>
        </w:rPr>
        <w:t>20</w:t>
      </w:r>
      <w:r w:rsidRPr="003920A3">
        <w:rPr>
          <w:lang w:val="en-US"/>
        </w:rPr>
        <w:t>(3): p. e155-e166.</w:t>
      </w:r>
      <w:r>
        <w:rPr>
          <w:lang w:val="en-US"/>
        </w:rPr>
        <w:t xml:space="preserve"> doi: </w:t>
      </w:r>
      <w:hyperlink r:id="rId26" w:history="1">
        <w:r w:rsidRPr="00030D44">
          <w:rPr>
            <w:rStyle w:val="Hyperlink"/>
            <w:lang w:val="en-US"/>
          </w:rPr>
          <w:t>10.1016/S1470-2045(19)30034-8</w:t>
        </w:r>
      </w:hyperlink>
    </w:p>
    <w:p w:rsidR="007F72C3" w:rsidP="007F72C3" w14:paraId="49D3E9A6" w14:textId="30350A8F">
      <w:pPr>
        <w:ind w:left="705" w:hanging="705"/>
        <w:rPr>
          <w:rStyle w:val="Hyperlink"/>
          <w:lang w:val="en-US"/>
        </w:rPr>
      </w:pPr>
      <w:bookmarkStart w:id="42" w:name="Constine"/>
      <w:r>
        <w:rPr>
          <w:lang w:val="en-US"/>
        </w:rPr>
        <w:t>4</w:t>
      </w:r>
      <w:bookmarkEnd w:id="42"/>
      <w:r>
        <w:rPr>
          <w:lang w:val="en-US"/>
        </w:rPr>
        <w:t>.</w:t>
      </w:r>
      <w:r>
        <w:rPr>
          <w:lang w:val="en-US"/>
        </w:rPr>
        <w:tab/>
      </w:r>
      <w:r w:rsidRPr="003920A3">
        <w:rPr>
          <w:lang w:val="en-US"/>
        </w:rPr>
        <w:t xml:space="preserve">Constine, L.S., et al., </w:t>
      </w:r>
      <w:r w:rsidRPr="003920A3">
        <w:rPr>
          <w:i/>
          <w:lang w:val="en-US"/>
        </w:rPr>
        <w:t>A User's Guide and Summary of Pediatric Normal Tissue Effects in the Clinic (PENTEC): Radiation Dose-Volume Response for Adverse Effects After Childhood Cancer Therapy and Future Directions.</w:t>
      </w:r>
      <w:r w:rsidRPr="003920A3">
        <w:rPr>
          <w:lang w:val="en-US"/>
        </w:rPr>
        <w:t xml:space="preserve"> </w:t>
      </w:r>
      <w:r w:rsidRPr="00192B73">
        <w:rPr>
          <w:lang w:val="en-US"/>
        </w:rPr>
        <w:t>In</w:t>
      </w:r>
      <w:r w:rsidRPr="00192B73">
        <w:rPr>
          <w:lang w:val="en-US"/>
        </w:rPr>
        <w:t xml:space="preserve">t J Radiat Oncol Biol Phys, 2023. </w:t>
      </w:r>
      <w:r>
        <w:rPr>
          <w:lang w:val="en-US"/>
        </w:rPr>
        <w:t xml:space="preserve">doi: </w:t>
      </w:r>
      <w:hyperlink r:id="rId27" w:history="1">
        <w:r w:rsidRPr="00EE339B">
          <w:rPr>
            <w:rStyle w:val="Hyperlink"/>
            <w:lang w:val="en-US"/>
          </w:rPr>
          <w:t>10.1016/j.ijrobp.2023.09.005</w:t>
        </w:r>
      </w:hyperlink>
    </w:p>
    <w:p w:rsidR="007F72C3" w:rsidRPr="00192B73" w:rsidP="007F72C3" w14:paraId="355A7D40" w14:textId="1F7A2F01">
      <w:pPr>
        <w:ind w:left="705" w:hanging="705"/>
        <w:rPr>
          <w:lang w:val="en-US"/>
        </w:rPr>
      </w:pPr>
      <w:bookmarkStart w:id="43" w:name="Rao"/>
      <w:r>
        <w:rPr>
          <w:lang w:val="en-US"/>
        </w:rPr>
        <w:t>5</w:t>
      </w:r>
      <w:bookmarkEnd w:id="43"/>
      <w:r>
        <w:rPr>
          <w:lang w:val="en-US"/>
        </w:rPr>
        <w:t>.</w:t>
      </w:r>
      <w:r>
        <w:rPr>
          <w:lang w:val="en-US"/>
        </w:rPr>
        <w:tab/>
      </w:r>
      <w:r w:rsidRPr="0039449E">
        <w:rPr>
          <w:lang w:val="en-US"/>
        </w:rPr>
        <w:t xml:space="preserve">Rao, A.D., et al., </w:t>
      </w:r>
      <w:r w:rsidRPr="0039449E">
        <w:rPr>
          <w:i/>
          <w:iCs/>
          <w:lang w:val="en-US"/>
        </w:rPr>
        <w:t>A Ro</w:t>
      </w:r>
      <w:r>
        <w:rPr>
          <w:i/>
          <w:iCs/>
          <w:lang w:val="en-US"/>
        </w:rPr>
        <w:t xml:space="preserve">ad Map for Important Centers of Growth in the Pediatric Skeleton to </w:t>
      </w:r>
      <w:r>
        <w:rPr>
          <w:i/>
          <w:iCs/>
          <w:lang w:val="en-US"/>
        </w:rPr>
        <w:t>Consider During Radiation Therapy and Associated Clinical Correlates of Radiation-Induced Growth Toxicity.</w:t>
      </w:r>
      <w:r>
        <w:rPr>
          <w:lang w:val="en-US"/>
        </w:rPr>
        <w:t xml:space="preserve"> Int J Radiat Oncol Biol Phys, 2019. </w:t>
      </w:r>
      <w:r w:rsidRPr="002D2E81">
        <w:rPr>
          <w:b/>
          <w:bCs/>
          <w:lang w:val="en-US"/>
        </w:rPr>
        <w:t>103</w:t>
      </w:r>
      <w:r>
        <w:rPr>
          <w:lang w:val="en-US"/>
        </w:rPr>
        <w:t xml:space="preserve">(3): p. 669-679. doi: </w:t>
      </w:r>
      <w:hyperlink r:id="rId28" w:history="1">
        <w:r w:rsidRPr="00030D44">
          <w:rPr>
            <w:rStyle w:val="Hyperlink"/>
            <w:lang w:val="en-US"/>
          </w:rPr>
          <w:t>10.1016/j.ijrobp.2018.10.026</w:t>
        </w:r>
      </w:hyperlink>
    </w:p>
    <w:p w:rsidR="007F72C3" w:rsidP="007F72C3" w14:paraId="6B83D1EB" w14:textId="77777777">
      <w:pPr>
        <w:ind w:left="705" w:hanging="705"/>
        <w:rPr>
          <w:lang w:val="en-US"/>
        </w:rPr>
      </w:pPr>
      <w:bookmarkStart w:id="44" w:name="Casey"/>
      <w:r>
        <w:rPr>
          <w:lang w:val="en-US"/>
        </w:rPr>
        <w:t>6</w:t>
      </w:r>
      <w:bookmarkEnd w:id="44"/>
      <w:r w:rsidRPr="009478C5">
        <w:rPr>
          <w:lang w:val="en-US"/>
        </w:rPr>
        <w:t>.</w:t>
      </w:r>
      <w:r w:rsidRPr="009478C5">
        <w:rPr>
          <w:lang w:val="en-US"/>
        </w:rPr>
        <w:tab/>
        <w:t>Casey, D.L., et a</w:t>
      </w:r>
      <w:r>
        <w:rPr>
          <w:lang w:val="en-US"/>
        </w:rPr>
        <w:t xml:space="preserve">l., </w:t>
      </w:r>
      <w:r w:rsidRPr="00D61403">
        <w:rPr>
          <w:i/>
          <w:iCs/>
          <w:lang w:val="en-US"/>
        </w:rPr>
        <w:t>Risk of Subsequent Neoplasms in Childhood Cancer Survivors After Radiation Therapy: A Comprehensive PENTEC Review</w:t>
      </w:r>
      <w:r>
        <w:rPr>
          <w:lang w:val="en-US"/>
        </w:rPr>
        <w:t xml:space="preserve">. Int J Radiat Oncol Biol Phys, 2023. doi: </w:t>
      </w:r>
      <w:hyperlink r:id="rId29" w:history="1">
        <w:r w:rsidRPr="00EB7097">
          <w:rPr>
            <w:rStyle w:val="Hyperlink"/>
            <w:lang w:val="en-US"/>
          </w:rPr>
          <w:t>10.1016/j.ijrobp.2023.07.025</w:t>
        </w:r>
      </w:hyperlink>
    </w:p>
    <w:p w:rsidR="007F72C3" w:rsidRPr="00DD3238" w:rsidP="007F72C3" w14:paraId="3B192420" w14:textId="77777777">
      <w:pPr>
        <w:ind w:left="705" w:hanging="705"/>
        <w:rPr>
          <w:lang w:val="en-US"/>
        </w:rPr>
      </w:pPr>
      <w:bookmarkStart w:id="45" w:name="Stokkevåg"/>
      <w:r>
        <w:rPr>
          <w:lang w:val="en-US"/>
        </w:rPr>
        <w:t>7</w:t>
      </w:r>
      <w:bookmarkEnd w:id="45"/>
      <w:r w:rsidRPr="00DD3238">
        <w:rPr>
          <w:lang w:val="en-US"/>
        </w:rPr>
        <w:t>.</w:t>
      </w:r>
      <w:r w:rsidRPr="00DD3238">
        <w:rPr>
          <w:lang w:val="en-US"/>
        </w:rPr>
        <w:tab/>
        <w:t xml:space="preserve">Stokkevåg, C.H., et al., </w:t>
      </w:r>
      <w:r w:rsidRPr="005D73F8">
        <w:rPr>
          <w:i/>
          <w:iCs/>
          <w:lang w:val="en-US"/>
        </w:rPr>
        <w:t>Radiation Therapy Technology Advances and Mitigation of Subsequent Neoplasms in Childhood Cancer Survivors</w:t>
      </w:r>
      <w:r>
        <w:rPr>
          <w:lang w:val="en-US"/>
        </w:rPr>
        <w:t xml:space="preserve">. Int J Radiat Oncol Biol Phys, 2023. doi: </w:t>
      </w:r>
      <w:hyperlink r:id="rId30" w:history="1">
        <w:r w:rsidRPr="009141CF">
          <w:rPr>
            <w:rStyle w:val="Hyperlink"/>
            <w:lang w:val="en-US"/>
          </w:rPr>
          <w:t>10.1016/j.ijrobp.2024.01.206</w:t>
        </w:r>
      </w:hyperlink>
    </w:p>
    <w:p w:rsidR="007F72C3" w:rsidRPr="009141CF" w:rsidP="007F72C3" w14:paraId="4E8BADED" w14:textId="77777777">
      <w:pPr>
        <w:ind w:left="705" w:hanging="705"/>
        <w:rPr>
          <w:lang w:val="en-US"/>
        </w:rPr>
      </w:pPr>
      <w:bookmarkStart w:id="46" w:name="Veiga"/>
      <w:r>
        <w:rPr>
          <w:lang w:val="en-US"/>
        </w:rPr>
        <w:t>8</w:t>
      </w:r>
      <w:bookmarkEnd w:id="46"/>
      <w:r w:rsidRPr="009141CF">
        <w:rPr>
          <w:lang w:val="en-US"/>
        </w:rPr>
        <w:t>.</w:t>
      </w:r>
      <w:r w:rsidRPr="009141CF">
        <w:rPr>
          <w:lang w:val="en-US"/>
        </w:rPr>
        <w:tab/>
        <w:t xml:space="preserve">Veiga L.H., et al., </w:t>
      </w:r>
      <w:r w:rsidRPr="005D73F8">
        <w:rPr>
          <w:i/>
          <w:iCs/>
          <w:lang w:val="en-US"/>
        </w:rPr>
        <w:t>Association of Breast Cancer Risk After Childhood Cancer With Radia</w:t>
      </w:r>
      <w:r w:rsidRPr="005D73F8">
        <w:rPr>
          <w:i/>
          <w:iCs/>
          <w:lang w:val="en-US"/>
        </w:rPr>
        <w:t>tion Dose to the Breast and Anthracycline Use</w:t>
      </w:r>
      <w:r>
        <w:rPr>
          <w:lang w:val="en-US"/>
        </w:rPr>
        <w:t xml:space="preserve">. JAMA Pediatr., 2019. </w:t>
      </w:r>
      <w:r w:rsidRPr="00203763">
        <w:rPr>
          <w:b/>
          <w:bCs/>
          <w:lang w:val="en-US"/>
        </w:rPr>
        <w:t>173</w:t>
      </w:r>
      <w:r>
        <w:rPr>
          <w:lang w:val="en-US"/>
        </w:rPr>
        <w:t xml:space="preserve">(12): p. 1171-1179. doi: </w:t>
      </w:r>
      <w:hyperlink r:id="rId31" w:history="1">
        <w:r>
          <w:rPr>
            <w:rStyle w:val="Hyperlink"/>
            <w:lang w:val="en-US"/>
          </w:rPr>
          <w:t>10.1001/jamapediatrics.2019.3807</w:t>
        </w:r>
      </w:hyperlink>
    </w:p>
    <w:p w:rsidR="007F72C3" w:rsidRPr="007713B8" w:rsidP="007F72C3" w14:paraId="5F9C2FD1" w14:textId="77777777">
      <w:pPr>
        <w:ind w:left="705" w:hanging="705"/>
      </w:pPr>
      <w:bookmarkStart w:id="47" w:name="Ding"/>
      <w:r>
        <w:rPr>
          <w:lang w:val="en-US"/>
        </w:rPr>
        <w:t>9</w:t>
      </w:r>
      <w:bookmarkEnd w:id="47"/>
      <w:r w:rsidRPr="000C040A">
        <w:rPr>
          <w:lang w:val="en-US"/>
        </w:rPr>
        <w:t>.</w:t>
      </w:r>
      <w:r w:rsidRPr="000C040A">
        <w:rPr>
          <w:lang w:val="en-US"/>
        </w:rPr>
        <w:tab/>
        <w:t xml:space="preserve">Ding, G.X., et al., </w:t>
      </w:r>
      <w:r w:rsidRPr="00203763">
        <w:rPr>
          <w:i/>
          <w:iCs/>
          <w:lang w:val="en-US"/>
        </w:rPr>
        <w:t>Ima</w:t>
      </w:r>
      <w:r w:rsidRPr="00203763">
        <w:rPr>
          <w:i/>
          <w:iCs/>
          <w:lang w:val="en-US"/>
        </w:rPr>
        <w:t>ge guidance doses delivered during radiotherapy: Quantification,management, and reduction: Report of the AAPM Therapy PhysicsCommittee Task Group 180</w:t>
      </w:r>
      <w:r>
        <w:rPr>
          <w:lang w:val="en-US"/>
        </w:rPr>
        <w:t xml:space="preserve">. </w:t>
      </w:r>
      <w:r w:rsidRPr="007713B8">
        <w:t xml:space="preserve">Med Phys., 2018. </w:t>
      </w:r>
      <w:r w:rsidRPr="007713B8">
        <w:rPr>
          <w:b/>
          <w:bCs/>
        </w:rPr>
        <w:t>45</w:t>
      </w:r>
      <w:r w:rsidRPr="007713B8">
        <w:t xml:space="preserve">(5): p. e84-e99. doi: </w:t>
      </w:r>
      <w:hyperlink r:id="rId32" w:history="1">
        <w:r w:rsidRPr="007713B8">
          <w:rPr>
            <w:rStyle w:val="Hyperlink"/>
          </w:rPr>
          <w:t>10.1002/mp.12824</w:t>
        </w:r>
      </w:hyperlink>
    </w:p>
    <w:p w:rsidR="00935DE6" w:rsidRPr="007713B8" w:rsidP="00066A58" w14:paraId="1503ECAA" w14:textId="77777777">
      <w:pPr>
        <w:spacing w:line="259" w:lineRule="auto"/>
      </w:pPr>
    </w:p>
    <w:p w:rsidR="007713B8" w:rsidP="00066A58" w14:paraId="4B576B56" w14:textId="18758736">
      <w:pPr>
        <w:spacing w:line="259" w:lineRule="auto"/>
      </w:pPr>
      <w:r w:rsidRPr="007713B8">
        <w:t>Samme dokument i eHåndbok (O</w:t>
      </w:r>
      <w:r>
        <w:t>US)</w:t>
      </w:r>
    </w:p>
    <w:p w:rsidR="007713B8" w:rsidP="00066A58" w14:paraId="3D699D96" w14:textId="21013FA9">
      <w:pPr>
        <w:spacing w:line="259" w:lineRule="auto"/>
      </w:pPr>
      <w:hyperlink r:id="rId33" w:history="1">
        <w:r w:rsidRPr="007713B8">
          <w:rPr>
            <w:rStyle w:val="Hyperlink"/>
          </w:rPr>
          <w:t>150902 - Nasjonal retningslinje for protonplanlegging av barn</w:t>
        </w:r>
      </w:hyperlink>
    </w:p>
    <w:p w:rsidR="007713B8" w:rsidRPr="007713B8" w:rsidP="00066A58" w14:paraId="7AC09B74" w14:textId="77777777">
      <w:pPr>
        <w:spacing w:line="259" w:lineRule="auto"/>
      </w:pPr>
    </w:p>
    <w:p w:rsidR="009D023B" w:rsidRPr="005F0E8F" w:rsidP="00066A58" w14:paraId="1503ECAB" w14:textId="77777777">
      <w:pPr>
        <w:pStyle w:val="Heading1"/>
        <w:spacing w:line="259" w:lineRule="auto"/>
      </w:pPr>
      <w:bookmarkStart w:id="48" w:name="_Toc256000028"/>
      <w:r w:rsidRPr="005F0E8F">
        <w:t>Endringer siden forrige versjon</w:t>
      </w:r>
      <w:bookmarkEnd w:id="48"/>
    </w:p>
    <w:p w:rsidR="009D023B" w:rsidP="00066A58" w14:paraId="1503ECAC" w14:textId="77777777">
      <w:pPr>
        <w:spacing w:line="259" w:lineRule="auto"/>
        <w:rPr>
          <w:rFonts w:cstheme="minorHAnsi"/>
          <w:color w:val="000080"/>
        </w:rPr>
      </w:pPr>
      <w:r>
        <w:rPr>
          <w:rFonts w:cstheme="minorHAnsi"/>
          <w:color w:val="000080"/>
        </w:rPr>
        <w:fldChar w:fldCharType="begin" w:fldLock="1"/>
      </w:r>
      <w:r>
        <w:rPr>
          <w:rFonts w:cstheme="minorHAnsi"/>
          <w:color w:val="000080"/>
        </w:rPr>
        <w:instrText xml:space="preserve"> DOCVARIABLE EK_Merknad </w:instrText>
      </w:r>
      <w:r>
        <w:rPr>
          <w:rFonts w:cstheme="minorHAnsi"/>
          <w:color w:val="000080"/>
        </w:rPr>
        <w:fldChar w:fldCharType="separate"/>
      </w:r>
      <w:r>
        <w:rPr>
          <w:rFonts w:cstheme="minorHAnsi"/>
          <w:color w:val="000080"/>
        </w:rPr>
        <w:t xml:space="preserve">Første versjon. </w:t>
      </w:r>
      <w:r>
        <w:rPr>
          <w:rFonts w:cstheme="minorHAnsi"/>
          <w:color w:val="000080"/>
        </w:rPr>
        <w:fldChar w:fldCharType="end"/>
      </w:r>
    </w:p>
    <w:p w:rsidR="009D023B" w:rsidRPr="00E754D7" w:rsidP="00066A58" w14:paraId="1503ECAD" w14:textId="77777777">
      <w:pPr>
        <w:spacing w:line="259" w:lineRule="auto"/>
        <w:rPr>
          <w:rFonts w:cstheme="minorHAnsi"/>
          <w:color w:val="000080"/>
        </w:rPr>
      </w:pPr>
    </w:p>
    <w:sectPr w:rsidSect="00D03EED">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1503ECB6"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1503ECB4" w14:textId="2A6D051B">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1503ECB5"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3.1.2.5.9.4.1-01</w:t>
          </w:r>
          <w:r>
            <w:rPr>
              <w:color w:val="000080"/>
              <w:sz w:val="16"/>
            </w:rPr>
            <w:fldChar w:fldCharType="end"/>
          </w:r>
        </w:p>
      </w:tc>
    </w:tr>
  </w:tbl>
  <w:p w:rsidR="00485214" w14:paraId="1503ECB7"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1503ECBC"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1503ECB8" w14:textId="1123EDF8">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D78861</w:t>
          </w:r>
          <w:r>
            <w:rPr>
              <w:color w:val="000080"/>
              <w:sz w:val="16"/>
            </w:rPr>
            <w:fldChar w:fldCharType="end"/>
          </w:r>
        </w:p>
      </w:tc>
      <w:tc>
        <w:tcPr>
          <w:tcW w:w="2268" w:type="dxa"/>
          <w:tcBorders>
            <w:right w:val="single" w:sz="4" w:space="0" w:color="auto"/>
          </w:tcBorders>
        </w:tcPr>
        <w:p w:rsidR="009B041D" w:rsidRPr="009B041D" w:rsidP="007E4125" w14:paraId="1503ECB9"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3.1.2.5.9.4.1-01</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1503ECBA"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1503ECBB"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10</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10</w:t>
          </w:r>
          <w:r>
            <w:rPr>
              <w:rStyle w:val="PageNumber"/>
              <w:sz w:val="16"/>
            </w:rPr>
            <w:fldChar w:fldCharType="end"/>
          </w:r>
        </w:p>
      </w:tc>
    </w:tr>
  </w:tbl>
  <w:p w:rsidR="00B24A00" w:rsidRPr="009E0D59" w:rsidP="00B24A00" w14:paraId="1503ECBD"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1503ECD1"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1503ECCE" w14:textId="7C101C8B">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3.1.2.5.9.4.1-01</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1503ECCF"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1503ECD0"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10</w:t>
          </w:r>
          <w:r>
            <w:rPr>
              <w:rStyle w:val="PageNumber"/>
              <w:sz w:val="16"/>
            </w:rPr>
            <w:fldChar w:fldCharType="end"/>
          </w:r>
        </w:p>
      </w:tc>
    </w:tr>
  </w:tbl>
  <w:p w:rsidR="00B24A00" w:rsidP="00B24A00" w14:paraId="1503ECD2"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1503ECAE"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1503ECB2"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1503ECAF"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Barn - Retningslinje for protonplanlegging</w:t>
          </w:r>
          <w:r>
            <w:rPr>
              <w:sz w:val="28"/>
            </w:rPr>
            <w:fldChar w:fldCharType="end"/>
          </w:r>
        </w:p>
      </w:tc>
      <w:tc>
        <w:tcPr>
          <w:tcW w:w="992" w:type="dxa"/>
          <w:tcBorders>
            <w:bottom w:val="single" w:sz="4" w:space="0" w:color="auto"/>
            <w:right w:val="single" w:sz="4" w:space="0" w:color="auto"/>
          </w:tcBorders>
        </w:tcPr>
        <w:p w:rsidR="00485214" w14:paraId="1503ECB0" w14:textId="77777777">
          <w:pPr>
            <w:pStyle w:val="Header"/>
            <w:jc w:val="left"/>
            <w:rPr>
              <w:sz w:val="12"/>
            </w:rPr>
          </w:pPr>
        </w:p>
        <w:p w:rsidR="00485214" w14:paraId="1503ECB1"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485214" w14:paraId="1503ECB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1503ECC0"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1503ECBE"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1503ECBF"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Barn - Retningslinje for protonplanlegging</w:t>
          </w:r>
          <w:r>
            <w:rPr>
              <w:sz w:val="28"/>
            </w:rPr>
            <w:fldChar w:fldCharType="end"/>
          </w:r>
        </w:p>
      </w:tc>
    </w:tr>
    <w:tr w14:paraId="1503ECC3"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1503ECC1"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Pasientbehandling/Fagprosedyrer/Kreft</w:t>
          </w:r>
          <w:r>
            <w:rPr>
              <w:sz w:val="16"/>
            </w:rPr>
            <w:fldChar w:fldCharType="end"/>
          </w:r>
        </w:p>
      </w:tc>
      <w:tc>
        <w:tcPr>
          <w:tcW w:w="2879" w:type="dxa"/>
          <w:vAlign w:val="bottom"/>
        </w:tcPr>
        <w:p w:rsidR="00FD5284" w:rsidRPr="005F0E8F" w:rsidP="00540375" w14:paraId="1503ECC2"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27.06.2024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27.06.2026</w:t>
          </w:r>
          <w:r>
            <w:rPr>
              <w:color w:val="000080"/>
              <w:sz w:val="16"/>
            </w:rPr>
            <w:fldChar w:fldCharType="end"/>
          </w:r>
        </w:p>
      </w:tc>
    </w:tr>
    <w:tr w14:paraId="1503ECC6"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1503ECC4"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HF/Avdeling for kreftbehandling og medisinsk fysikk</w:t>
          </w:r>
          <w:r>
            <w:rPr>
              <w:sz w:val="16"/>
            </w:rPr>
            <w:fldChar w:fldCharType="end"/>
          </w:r>
        </w:p>
      </w:tc>
      <w:tc>
        <w:tcPr>
          <w:tcW w:w="2879" w:type="dxa"/>
          <w:vAlign w:val="bottom"/>
        </w:tcPr>
        <w:p w:rsidR="005F0E8F" w14:paraId="1503ECC5"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r w14:paraId="1503ECC9"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1503ECC7"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Oddbjørn Straume</w:t>
          </w:r>
          <w:r>
            <w:rPr>
              <w:color w:val="000080"/>
              <w:sz w:val="16"/>
            </w:rPr>
            <w:fldChar w:fldCharType="end"/>
          </w:r>
          <w:r>
            <w:rPr>
              <w:color w:val="000080"/>
              <w:sz w:val="16"/>
            </w:rPr>
            <w:t xml:space="preserve"> </w:t>
          </w:r>
        </w:p>
      </w:tc>
      <w:tc>
        <w:tcPr>
          <w:tcW w:w="2879" w:type="dxa"/>
        </w:tcPr>
        <w:p w:rsidR="00FD5284" w:rsidP="00FD5284" w14:paraId="1503ECC8"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Retningslinje</w:t>
          </w:r>
          <w:r>
            <w:rPr>
              <w:color w:val="000080"/>
              <w:sz w:val="16"/>
            </w:rPr>
            <w:fldChar w:fldCharType="end"/>
          </w:r>
        </w:p>
      </w:tc>
    </w:tr>
    <w:tr w14:paraId="1503ECCC"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1503ECCA" w14:textId="77777777">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Einar Waldeland, ++</w:t>
          </w:r>
          <w:r>
            <w:rPr>
              <w:color w:val="000080"/>
              <w:sz w:val="16"/>
            </w:rPr>
            <w:fldChar w:fldCharType="end"/>
          </w:r>
          <w:r>
            <w:rPr>
              <w:color w:val="000080"/>
              <w:sz w:val="16"/>
            </w:rPr>
            <w:t xml:space="preserve"> </w:t>
          </w:r>
        </w:p>
      </w:tc>
      <w:tc>
        <w:tcPr>
          <w:tcW w:w="2879" w:type="dxa"/>
        </w:tcPr>
        <w:p w:rsidR="00FD5284" w14:paraId="1503ECCB"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D78861</w:t>
          </w:r>
          <w:r>
            <w:rPr>
              <w:color w:val="000080"/>
              <w:sz w:val="16"/>
            </w:rPr>
            <w:fldChar w:fldCharType="end"/>
          </w:r>
        </w:p>
      </w:tc>
    </w:tr>
  </w:tbl>
  <w:p w:rsidR="00485214" w14:paraId="1503ECCD"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9276A90"/>
    <w:multiLevelType w:val="multilevel"/>
    <w:tmpl w:val="DED63F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5">
    <w:nsid w:val="5E2C12A9"/>
    <w:multiLevelType w:val="hybridMultilevel"/>
    <w:tmpl w:val="A22CD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27593460">
    <w:abstractNumId w:val="10"/>
  </w:num>
  <w:num w:numId="2" w16cid:durableId="1824273053">
    <w:abstractNumId w:val="8"/>
  </w:num>
  <w:num w:numId="3" w16cid:durableId="1552036400">
    <w:abstractNumId w:val="3"/>
  </w:num>
  <w:num w:numId="4" w16cid:durableId="1511599452">
    <w:abstractNumId w:val="2"/>
  </w:num>
  <w:num w:numId="5" w16cid:durableId="400179675">
    <w:abstractNumId w:val="1"/>
  </w:num>
  <w:num w:numId="6" w16cid:durableId="874929782">
    <w:abstractNumId w:val="0"/>
  </w:num>
  <w:num w:numId="7" w16cid:durableId="406610841">
    <w:abstractNumId w:val="9"/>
  </w:num>
  <w:num w:numId="8" w16cid:durableId="1662197194">
    <w:abstractNumId w:val="7"/>
  </w:num>
  <w:num w:numId="9" w16cid:durableId="1190291596">
    <w:abstractNumId w:val="6"/>
  </w:num>
  <w:num w:numId="10" w16cid:durableId="2110544095">
    <w:abstractNumId w:val="5"/>
  </w:num>
  <w:num w:numId="11" w16cid:durableId="1348752253">
    <w:abstractNumId w:val="4"/>
  </w:num>
  <w:num w:numId="12" w16cid:durableId="842596890">
    <w:abstractNumId w:val="11"/>
  </w:num>
  <w:num w:numId="13" w16cid:durableId="678119662">
    <w:abstractNumId w:val="14"/>
  </w:num>
  <w:num w:numId="14" w16cid:durableId="6520024">
    <w:abstractNumId w:val="16"/>
  </w:num>
  <w:num w:numId="15" w16cid:durableId="1310330424">
    <w:abstractNumId w:val="17"/>
  </w:num>
  <w:num w:numId="16" w16cid:durableId="1036732763">
    <w:abstractNumId w:val="12"/>
  </w:num>
  <w:num w:numId="17" w16cid:durableId="1723363645">
    <w:abstractNumId w:val="12"/>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346448565">
    <w:abstractNumId w:val="13"/>
  </w:num>
  <w:num w:numId="19" w16cid:durableId="15408972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20754"/>
    <w:rsid w:val="00030D44"/>
    <w:rsid w:val="000354A8"/>
    <w:rsid w:val="000420B0"/>
    <w:rsid w:val="00042992"/>
    <w:rsid w:val="00050E94"/>
    <w:rsid w:val="0005214E"/>
    <w:rsid w:val="0005337A"/>
    <w:rsid w:val="000548D3"/>
    <w:rsid w:val="00056D52"/>
    <w:rsid w:val="000610C2"/>
    <w:rsid w:val="00066A58"/>
    <w:rsid w:val="00067C31"/>
    <w:rsid w:val="00076677"/>
    <w:rsid w:val="00081F27"/>
    <w:rsid w:val="00082A23"/>
    <w:rsid w:val="00083284"/>
    <w:rsid w:val="00083BB5"/>
    <w:rsid w:val="00097072"/>
    <w:rsid w:val="000A1D6A"/>
    <w:rsid w:val="000A6B2D"/>
    <w:rsid w:val="000C040A"/>
    <w:rsid w:val="000C55EA"/>
    <w:rsid w:val="000C6A9B"/>
    <w:rsid w:val="000C73DF"/>
    <w:rsid w:val="000C763E"/>
    <w:rsid w:val="000D0502"/>
    <w:rsid w:val="000D3C29"/>
    <w:rsid w:val="000D5FFE"/>
    <w:rsid w:val="000D63E4"/>
    <w:rsid w:val="000F32C5"/>
    <w:rsid w:val="000F5FC0"/>
    <w:rsid w:val="00101002"/>
    <w:rsid w:val="00101EDB"/>
    <w:rsid w:val="00115094"/>
    <w:rsid w:val="00117E18"/>
    <w:rsid w:val="00131D53"/>
    <w:rsid w:val="00140619"/>
    <w:rsid w:val="00144BC1"/>
    <w:rsid w:val="00150F73"/>
    <w:rsid w:val="00151E16"/>
    <w:rsid w:val="00155765"/>
    <w:rsid w:val="00157C37"/>
    <w:rsid w:val="00161FD5"/>
    <w:rsid w:val="001659B1"/>
    <w:rsid w:val="00176BA5"/>
    <w:rsid w:val="001770C3"/>
    <w:rsid w:val="001823C1"/>
    <w:rsid w:val="00187793"/>
    <w:rsid w:val="0019138B"/>
    <w:rsid w:val="0019139E"/>
    <w:rsid w:val="0019290E"/>
    <w:rsid w:val="00192B73"/>
    <w:rsid w:val="001A4CED"/>
    <w:rsid w:val="001B1D43"/>
    <w:rsid w:val="001B37A6"/>
    <w:rsid w:val="001C094A"/>
    <w:rsid w:val="001D600A"/>
    <w:rsid w:val="001E1DBA"/>
    <w:rsid w:val="001F43D4"/>
    <w:rsid w:val="001F7E88"/>
    <w:rsid w:val="002009DD"/>
    <w:rsid w:val="00200CD6"/>
    <w:rsid w:val="0020110C"/>
    <w:rsid w:val="00203763"/>
    <w:rsid w:val="00203F1E"/>
    <w:rsid w:val="002155CF"/>
    <w:rsid w:val="002205ED"/>
    <w:rsid w:val="00225B17"/>
    <w:rsid w:val="00227AF8"/>
    <w:rsid w:val="00231DC5"/>
    <w:rsid w:val="00241F65"/>
    <w:rsid w:val="00246C9E"/>
    <w:rsid w:val="00246F8B"/>
    <w:rsid w:val="002476A5"/>
    <w:rsid w:val="00263DD8"/>
    <w:rsid w:val="002741EA"/>
    <w:rsid w:val="002744C3"/>
    <w:rsid w:val="00281B8D"/>
    <w:rsid w:val="00284EBB"/>
    <w:rsid w:val="00287096"/>
    <w:rsid w:val="00291CD7"/>
    <w:rsid w:val="002A4A07"/>
    <w:rsid w:val="002A791D"/>
    <w:rsid w:val="002B1F3C"/>
    <w:rsid w:val="002D0738"/>
    <w:rsid w:val="002D2E81"/>
    <w:rsid w:val="002E09A2"/>
    <w:rsid w:val="002F5A32"/>
    <w:rsid w:val="003003EF"/>
    <w:rsid w:val="00304B15"/>
    <w:rsid w:val="00311019"/>
    <w:rsid w:val="00312D39"/>
    <w:rsid w:val="00323B63"/>
    <w:rsid w:val="003349D2"/>
    <w:rsid w:val="003403C0"/>
    <w:rsid w:val="003544FA"/>
    <w:rsid w:val="00360258"/>
    <w:rsid w:val="00362B96"/>
    <w:rsid w:val="00381C00"/>
    <w:rsid w:val="00387597"/>
    <w:rsid w:val="00390056"/>
    <w:rsid w:val="003920A3"/>
    <w:rsid w:val="00393223"/>
    <w:rsid w:val="0039449E"/>
    <w:rsid w:val="003A669E"/>
    <w:rsid w:val="003A6B8A"/>
    <w:rsid w:val="003B78F2"/>
    <w:rsid w:val="003C0F27"/>
    <w:rsid w:val="003C5594"/>
    <w:rsid w:val="003D3C2E"/>
    <w:rsid w:val="003E1B52"/>
    <w:rsid w:val="003E25C1"/>
    <w:rsid w:val="003E4741"/>
    <w:rsid w:val="003F4A3C"/>
    <w:rsid w:val="0040517A"/>
    <w:rsid w:val="00407B78"/>
    <w:rsid w:val="00411E8A"/>
    <w:rsid w:val="004252FB"/>
    <w:rsid w:val="00431093"/>
    <w:rsid w:val="004353B6"/>
    <w:rsid w:val="00437DED"/>
    <w:rsid w:val="00455820"/>
    <w:rsid w:val="004568C8"/>
    <w:rsid w:val="004611B5"/>
    <w:rsid w:val="004640AA"/>
    <w:rsid w:val="0047022F"/>
    <w:rsid w:val="0047177C"/>
    <w:rsid w:val="004719A0"/>
    <w:rsid w:val="004743E3"/>
    <w:rsid w:val="004803F7"/>
    <w:rsid w:val="00480EC0"/>
    <w:rsid w:val="00482156"/>
    <w:rsid w:val="00482CE0"/>
    <w:rsid w:val="0048427D"/>
    <w:rsid w:val="00484492"/>
    <w:rsid w:val="00485214"/>
    <w:rsid w:val="004A75AA"/>
    <w:rsid w:val="004B1EF5"/>
    <w:rsid w:val="004B40D7"/>
    <w:rsid w:val="004C563C"/>
    <w:rsid w:val="004D0DCE"/>
    <w:rsid w:val="004D15E6"/>
    <w:rsid w:val="004D6298"/>
    <w:rsid w:val="004D6757"/>
    <w:rsid w:val="004E0461"/>
    <w:rsid w:val="004E763F"/>
    <w:rsid w:val="0050053D"/>
    <w:rsid w:val="00507D96"/>
    <w:rsid w:val="005103B6"/>
    <w:rsid w:val="00510BDF"/>
    <w:rsid w:val="00516910"/>
    <w:rsid w:val="00520D11"/>
    <w:rsid w:val="00520F04"/>
    <w:rsid w:val="00524CF7"/>
    <w:rsid w:val="00532237"/>
    <w:rsid w:val="0053273E"/>
    <w:rsid w:val="005370F4"/>
    <w:rsid w:val="00540375"/>
    <w:rsid w:val="0054179A"/>
    <w:rsid w:val="0054461F"/>
    <w:rsid w:val="00544C86"/>
    <w:rsid w:val="00547EEF"/>
    <w:rsid w:val="005562F2"/>
    <w:rsid w:val="00556838"/>
    <w:rsid w:val="00557C81"/>
    <w:rsid w:val="00562810"/>
    <w:rsid w:val="00577FEE"/>
    <w:rsid w:val="005810F3"/>
    <w:rsid w:val="0058166E"/>
    <w:rsid w:val="0058663E"/>
    <w:rsid w:val="00590E1D"/>
    <w:rsid w:val="00596989"/>
    <w:rsid w:val="005A5E90"/>
    <w:rsid w:val="005B084B"/>
    <w:rsid w:val="005B0B7E"/>
    <w:rsid w:val="005B308D"/>
    <w:rsid w:val="005B4C45"/>
    <w:rsid w:val="005D73F8"/>
    <w:rsid w:val="005E0EDF"/>
    <w:rsid w:val="005F0E8F"/>
    <w:rsid w:val="00606A4F"/>
    <w:rsid w:val="00611A93"/>
    <w:rsid w:val="00611B44"/>
    <w:rsid w:val="00611DB7"/>
    <w:rsid w:val="006136EA"/>
    <w:rsid w:val="00617242"/>
    <w:rsid w:val="0064525F"/>
    <w:rsid w:val="006479E1"/>
    <w:rsid w:val="00650773"/>
    <w:rsid w:val="00652242"/>
    <w:rsid w:val="006603AA"/>
    <w:rsid w:val="006633BF"/>
    <w:rsid w:val="0066629C"/>
    <w:rsid w:val="0067105D"/>
    <w:rsid w:val="006720B2"/>
    <w:rsid w:val="00680CF5"/>
    <w:rsid w:val="00693B1B"/>
    <w:rsid w:val="00697362"/>
    <w:rsid w:val="006B1529"/>
    <w:rsid w:val="006B2158"/>
    <w:rsid w:val="006B77E2"/>
    <w:rsid w:val="006C17D9"/>
    <w:rsid w:val="006C735A"/>
    <w:rsid w:val="006D2D97"/>
    <w:rsid w:val="006D3A08"/>
    <w:rsid w:val="006D4406"/>
    <w:rsid w:val="006D57BF"/>
    <w:rsid w:val="006E06DD"/>
    <w:rsid w:val="006E16E6"/>
    <w:rsid w:val="006E2A16"/>
    <w:rsid w:val="006E4AAC"/>
    <w:rsid w:val="006E5645"/>
    <w:rsid w:val="006F6255"/>
    <w:rsid w:val="00707B83"/>
    <w:rsid w:val="00713D7C"/>
    <w:rsid w:val="0071516E"/>
    <w:rsid w:val="00716D2A"/>
    <w:rsid w:val="00727E6C"/>
    <w:rsid w:val="007306E6"/>
    <w:rsid w:val="007367F2"/>
    <w:rsid w:val="00766C23"/>
    <w:rsid w:val="007713B8"/>
    <w:rsid w:val="00774098"/>
    <w:rsid w:val="0078061E"/>
    <w:rsid w:val="00780E50"/>
    <w:rsid w:val="0078621E"/>
    <w:rsid w:val="00793756"/>
    <w:rsid w:val="007A356D"/>
    <w:rsid w:val="007A6EA7"/>
    <w:rsid w:val="007B44B5"/>
    <w:rsid w:val="007C3E55"/>
    <w:rsid w:val="007D2AE9"/>
    <w:rsid w:val="007D7B5E"/>
    <w:rsid w:val="007E0997"/>
    <w:rsid w:val="007E30B1"/>
    <w:rsid w:val="007E4125"/>
    <w:rsid w:val="007F72C3"/>
    <w:rsid w:val="0080313B"/>
    <w:rsid w:val="00806640"/>
    <w:rsid w:val="008078AB"/>
    <w:rsid w:val="00814F19"/>
    <w:rsid w:val="00820775"/>
    <w:rsid w:val="00820B61"/>
    <w:rsid w:val="0082761B"/>
    <w:rsid w:val="008361CD"/>
    <w:rsid w:val="008419E2"/>
    <w:rsid w:val="00843ADC"/>
    <w:rsid w:val="00845551"/>
    <w:rsid w:val="008461D2"/>
    <w:rsid w:val="00850B9C"/>
    <w:rsid w:val="008530BA"/>
    <w:rsid w:val="00853B1D"/>
    <w:rsid w:val="00855382"/>
    <w:rsid w:val="008564CD"/>
    <w:rsid w:val="00862FF8"/>
    <w:rsid w:val="00864BB9"/>
    <w:rsid w:val="00867ECA"/>
    <w:rsid w:val="0088008E"/>
    <w:rsid w:val="00885802"/>
    <w:rsid w:val="008A218A"/>
    <w:rsid w:val="008B1E1E"/>
    <w:rsid w:val="008B41C0"/>
    <w:rsid w:val="008B4C23"/>
    <w:rsid w:val="008B5CBE"/>
    <w:rsid w:val="008B7340"/>
    <w:rsid w:val="008C01CE"/>
    <w:rsid w:val="008C3A13"/>
    <w:rsid w:val="008C41EB"/>
    <w:rsid w:val="008C797A"/>
    <w:rsid w:val="008D02A9"/>
    <w:rsid w:val="008D33F1"/>
    <w:rsid w:val="008E4C99"/>
    <w:rsid w:val="008E56A7"/>
    <w:rsid w:val="008F30D5"/>
    <w:rsid w:val="00903623"/>
    <w:rsid w:val="009039EB"/>
    <w:rsid w:val="00905B0B"/>
    <w:rsid w:val="00907122"/>
    <w:rsid w:val="00907ABE"/>
    <w:rsid w:val="009141CF"/>
    <w:rsid w:val="0091692D"/>
    <w:rsid w:val="00935DE6"/>
    <w:rsid w:val="00940FC5"/>
    <w:rsid w:val="009449A0"/>
    <w:rsid w:val="009456D0"/>
    <w:rsid w:val="009478C5"/>
    <w:rsid w:val="009506D3"/>
    <w:rsid w:val="00957C43"/>
    <w:rsid w:val="00963180"/>
    <w:rsid w:val="00964121"/>
    <w:rsid w:val="00970B24"/>
    <w:rsid w:val="0097509B"/>
    <w:rsid w:val="009A2EB0"/>
    <w:rsid w:val="009A5441"/>
    <w:rsid w:val="009A6D25"/>
    <w:rsid w:val="009B041D"/>
    <w:rsid w:val="009B19A9"/>
    <w:rsid w:val="009B6245"/>
    <w:rsid w:val="009C16D3"/>
    <w:rsid w:val="009C6E05"/>
    <w:rsid w:val="009D023B"/>
    <w:rsid w:val="009D072D"/>
    <w:rsid w:val="009D4154"/>
    <w:rsid w:val="009D5246"/>
    <w:rsid w:val="009E0D59"/>
    <w:rsid w:val="009E1AE8"/>
    <w:rsid w:val="009F1D79"/>
    <w:rsid w:val="009F7668"/>
    <w:rsid w:val="00A17D23"/>
    <w:rsid w:val="00A204FD"/>
    <w:rsid w:val="00A271A9"/>
    <w:rsid w:val="00A3019C"/>
    <w:rsid w:val="00A43AE5"/>
    <w:rsid w:val="00A55D47"/>
    <w:rsid w:val="00A577D4"/>
    <w:rsid w:val="00A66C54"/>
    <w:rsid w:val="00A72D95"/>
    <w:rsid w:val="00A75A8B"/>
    <w:rsid w:val="00A83D65"/>
    <w:rsid w:val="00A9508B"/>
    <w:rsid w:val="00A955A7"/>
    <w:rsid w:val="00AB08E0"/>
    <w:rsid w:val="00AC0D84"/>
    <w:rsid w:val="00AC29D8"/>
    <w:rsid w:val="00AC35FB"/>
    <w:rsid w:val="00AD1672"/>
    <w:rsid w:val="00AD1E4B"/>
    <w:rsid w:val="00AD28D2"/>
    <w:rsid w:val="00AD296B"/>
    <w:rsid w:val="00AD3BC6"/>
    <w:rsid w:val="00AD6B34"/>
    <w:rsid w:val="00AE6893"/>
    <w:rsid w:val="00AF5DDC"/>
    <w:rsid w:val="00AF6094"/>
    <w:rsid w:val="00B02D46"/>
    <w:rsid w:val="00B02D6D"/>
    <w:rsid w:val="00B114C2"/>
    <w:rsid w:val="00B218AB"/>
    <w:rsid w:val="00B21CB1"/>
    <w:rsid w:val="00B236DD"/>
    <w:rsid w:val="00B24A00"/>
    <w:rsid w:val="00B46418"/>
    <w:rsid w:val="00B54930"/>
    <w:rsid w:val="00B55A8A"/>
    <w:rsid w:val="00B803E3"/>
    <w:rsid w:val="00B900D2"/>
    <w:rsid w:val="00B93600"/>
    <w:rsid w:val="00BA3C12"/>
    <w:rsid w:val="00BB1B51"/>
    <w:rsid w:val="00BC3FD8"/>
    <w:rsid w:val="00BC5853"/>
    <w:rsid w:val="00BD6D72"/>
    <w:rsid w:val="00BE48E2"/>
    <w:rsid w:val="00BF6B78"/>
    <w:rsid w:val="00C071DF"/>
    <w:rsid w:val="00C24BA6"/>
    <w:rsid w:val="00C24DB6"/>
    <w:rsid w:val="00C30FAD"/>
    <w:rsid w:val="00C40A3A"/>
    <w:rsid w:val="00C4283A"/>
    <w:rsid w:val="00C450FE"/>
    <w:rsid w:val="00C47D6B"/>
    <w:rsid w:val="00C5222B"/>
    <w:rsid w:val="00C72834"/>
    <w:rsid w:val="00C81FA3"/>
    <w:rsid w:val="00C836EE"/>
    <w:rsid w:val="00C84942"/>
    <w:rsid w:val="00C962F9"/>
    <w:rsid w:val="00C97AFA"/>
    <w:rsid w:val="00CA0ECF"/>
    <w:rsid w:val="00CA656B"/>
    <w:rsid w:val="00CA6A6D"/>
    <w:rsid w:val="00CA7EB0"/>
    <w:rsid w:val="00CB3EB0"/>
    <w:rsid w:val="00CB523D"/>
    <w:rsid w:val="00CD5747"/>
    <w:rsid w:val="00CD6C43"/>
    <w:rsid w:val="00CE04F1"/>
    <w:rsid w:val="00CE0E42"/>
    <w:rsid w:val="00CE5024"/>
    <w:rsid w:val="00CF2E4A"/>
    <w:rsid w:val="00CF7D0E"/>
    <w:rsid w:val="00D013CC"/>
    <w:rsid w:val="00D03EED"/>
    <w:rsid w:val="00D13046"/>
    <w:rsid w:val="00D22231"/>
    <w:rsid w:val="00D252E2"/>
    <w:rsid w:val="00D26789"/>
    <w:rsid w:val="00D320CC"/>
    <w:rsid w:val="00D36983"/>
    <w:rsid w:val="00D36A2D"/>
    <w:rsid w:val="00D40E94"/>
    <w:rsid w:val="00D4374F"/>
    <w:rsid w:val="00D53A2C"/>
    <w:rsid w:val="00D61403"/>
    <w:rsid w:val="00D7283E"/>
    <w:rsid w:val="00D7761F"/>
    <w:rsid w:val="00D80F9A"/>
    <w:rsid w:val="00D81DD0"/>
    <w:rsid w:val="00D8507D"/>
    <w:rsid w:val="00D93725"/>
    <w:rsid w:val="00D948F4"/>
    <w:rsid w:val="00D95FB8"/>
    <w:rsid w:val="00DA0D76"/>
    <w:rsid w:val="00DA5916"/>
    <w:rsid w:val="00DB372D"/>
    <w:rsid w:val="00DD0D2A"/>
    <w:rsid w:val="00DD1C72"/>
    <w:rsid w:val="00DD2FE1"/>
    <w:rsid w:val="00DD3238"/>
    <w:rsid w:val="00DD7CFF"/>
    <w:rsid w:val="00DE2C1F"/>
    <w:rsid w:val="00DF3584"/>
    <w:rsid w:val="00DF563F"/>
    <w:rsid w:val="00DF7BA8"/>
    <w:rsid w:val="00E0019E"/>
    <w:rsid w:val="00E023CD"/>
    <w:rsid w:val="00E033C9"/>
    <w:rsid w:val="00E04941"/>
    <w:rsid w:val="00E268CB"/>
    <w:rsid w:val="00E30F00"/>
    <w:rsid w:val="00E3168F"/>
    <w:rsid w:val="00E33977"/>
    <w:rsid w:val="00E35C67"/>
    <w:rsid w:val="00E36B5C"/>
    <w:rsid w:val="00E40863"/>
    <w:rsid w:val="00E4664C"/>
    <w:rsid w:val="00E5442A"/>
    <w:rsid w:val="00E65C74"/>
    <w:rsid w:val="00E67083"/>
    <w:rsid w:val="00E754D7"/>
    <w:rsid w:val="00E774C2"/>
    <w:rsid w:val="00E8039E"/>
    <w:rsid w:val="00E80759"/>
    <w:rsid w:val="00E8424E"/>
    <w:rsid w:val="00E86FAE"/>
    <w:rsid w:val="00E8758E"/>
    <w:rsid w:val="00E90D68"/>
    <w:rsid w:val="00E96F17"/>
    <w:rsid w:val="00EA1893"/>
    <w:rsid w:val="00EA5771"/>
    <w:rsid w:val="00EB193A"/>
    <w:rsid w:val="00EB3357"/>
    <w:rsid w:val="00EB3728"/>
    <w:rsid w:val="00EB7097"/>
    <w:rsid w:val="00EB79E9"/>
    <w:rsid w:val="00EC1A89"/>
    <w:rsid w:val="00ED248C"/>
    <w:rsid w:val="00EE0410"/>
    <w:rsid w:val="00EE339B"/>
    <w:rsid w:val="00EE3B2D"/>
    <w:rsid w:val="00EE5B4C"/>
    <w:rsid w:val="00EF1E17"/>
    <w:rsid w:val="00EF5BB3"/>
    <w:rsid w:val="00F166F5"/>
    <w:rsid w:val="00F16CEA"/>
    <w:rsid w:val="00F210CD"/>
    <w:rsid w:val="00F24469"/>
    <w:rsid w:val="00F43A32"/>
    <w:rsid w:val="00F46524"/>
    <w:rsid w:val="00F712A2"/>
    <w:rsid w:val="00F8392F"/>
    <w:rsid w:val="00F958D6"/>
    <w:rsid w:val="00FB090D"/>
    <w:rsid w:val="00FB2EC4"/>
    <w:rsid w:val="00FB3861"/>
    <w:rsid w:val="00FD0B94"/>
    <w:rsid w:val="00FD1808"/>
    <w:rsid w:val="00FD5284"/>
    <w:rsid w:val="00FD6346"/>
    <w:rsid w:val="00FD64C1"/>
    <w:rsid w:val="00FF5B51"/>
    <w:rsid w:val="00FF672A"/>
    <w:rsid w:val="00FF6C0E"/>
    <w:rsid w:val="00FF6D3F"/>
    <w:rsid w:val="00FF7536"/>
    <w:rsid w:val="12B74449"/>
    <w:rsid w:val="147BBB9B"/>
    <w:rsid w:val="26148F54"/>
    <w:rsid w:val="3F8B9016"/>
    <w:rsid w:val="402189F8"/>
    <w:rsid w:val="482BEE0A"/>
    <w:rsid w:val="4CA30CE5"/>
    <w:rsid w:val="5366EBA0"/>
    <w:rsid w:val="5384E437"/>
    <w:rsid w:val="5790D192"/>
    <w:rsid w:val="5DD4D21D"/>
    <w:rsid w:val="5F0B6B5E"/>
    <w:rsid w:val="669743DA"/>
    <w:rsid w:val="70077C91"/>
    <w:rsid w:val="72B949E9"/>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Generell/standard mal Helse Bergen¤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Generell/standard mal Helse Bergen"/>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Første versjon. "/>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1503EC85"/>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066A58"/>
    <w:pPr>
      <w:numPr>
        <w:numId w:val="16"/>
      </w:numPr>
      <w:ind w:left="431" w:hanging="431"/>
      <w:outlineLvl w:val="0"/>
    </w:pPr>
    <w:rPr>
      <w:b/>
      <w:sz w:val="28"/>
    </w:rPr>
  </w:style>
  <w:style w:type="paragraph" w:styleId="Heading2">
    <w:name w:val="heading 2"/>
    <w:basedOn w:val="Normal"/>
    <w:next w:val="Normal"/>
    <w:autoRedefine/>
    <w:qFormat/>
    <w:rsid w:val="00066A58"/>
    <w:pPr>
      <w:numPr>
        <w:ilvl w:val="1"/>
        <w:numId w:val="16"/>
      </w:numPr>
      <w:ind w:left="397" w:hanging="397"/>
      <w:outlineLvl w:val="1"/>
    </w:p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uiPriority w:val="39"/>
    <w:unhideWhenUsed/>
    <w:rsid w:val="00C24BA6"/>
    <w:pPr>
      <w:spacing w:after="100"/>
      <w:ind w:left="240"/>
    </w:pPr>
  </w:style>
  <w:style w:type="paragraph" w:styleId="TOC3">
    <w:name w:val="toc 3"/>
    <w:basedOn w:val="Normal"/>
    <w:next w:val="Normal"/>
    <w:autoRedefine/>
    <w:uiPriority w:val="39"/>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paragraph" w:styleId="NormalWeb">
    <w:name w:val="Normal (Web)"/>
    <w:basedOn w:val="Normal"/>
    <w:uiPriority w:val="99"/>
    <w:semiHidden/>
    <w:unhideWhenUsed/>
    <w:rsid w:val="003B78F2"/>
    <w:pPr>
      <w:spacing w:before="100" w:beforeAutospacing="1" w:after="100" w:afterAutospacing="1"/>
    </w:pPr>
    <w:rPr>
      <w:rFonts w:ascii="Times New Roman" w:hAnsi="Times New Roman"/>
      <w:szCs w:val="24"/>
    </w:rPr>
  </w:style>
  <w:style w:type="table" w:styleId="ListTable4Accent1">
    <w:name w:val="List Table 4 Accent 1"/>
    <w:basedOn w:val="TableNormal"/>
    <w:uiPriority w:val="49"/>
    <w:rsid w:val="003B78F2"/>
    <w:rPr>
      <w:rFonts w:eastAsia="SimSun" w:ascii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3B78F2"/>
    <w:pPr>
      <w:spacing w:after="200"/>
    </w:pPr>
    <w:rPr>
      <w:rFonts w:eastAsia="SimSun" w:cstheme="minorBidi"/>
      <w:i/>
      <w:iCs/>
      <w:color w:val="1F497D" w:themeColor="text2"/>
      <w:sz w:val="18"/>
      <w:szCs w:val="18"/>
      <w:lang w:eastAsia="en-US"/>
    </w:rPr>
  </w:style>
  <w:style w:type="table" w:styleId="GridTable4Accent1">
    <w:name w:val="Grid Table 4 Accent 1"/>
    <w:basedOn w:val="TableNormal"/>
    <w:uiPriority w:val="49"/>
    <w:rsid w:val="00520F04"/>
    <w:rPr>
      <w:rFonts w:eastAsia="SimSun" w:ascii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DefaultParagraphFont"/>
    <w:rsid w:val="00520F04"/>
  </w:style>
  <w:style w:type="paragraph" w:customStyle="1" w:styleId="elementtoproof">
    <w:name w:val="elementtoproof"/>
    <w:basedOn w:val="Normal"/>
    <w:uiPriority w:val="99"/>
    <w:semiHidden/>
    <w:rsid w:val="00520F04"/>
    <w:rPr>
      <w:rFonts w:ascii="Calibri" w:hAnsi="Calibri" w:eastAsiaTheme="minorHAnsi" w:cs="Calibri"/>
      <w:sz w:val="22"/>
      <w:szCs w:val="22"/>
    </w:rPr>
  </w:style>
  <w:style w:type="character" w:styleId="UnresolvedMention">
    <w:name w:val="Unresolved Mention"/>
    <w:basedOn w:val="DefaultParagraphFont"/>
    <w:uiPriority w:val="99"/>
    <w:semiHidden/>
    <w:unhideWhenUsed/>
    <w:rsid w:val="00771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kvalitet.helse-bergen.no/docs/pub/dok78847.htm" TargetMode="External" /><Relationship Id="rId11" Type="http://schemas.openxmlformats.org/officeDocument/2006/relationships/hyperlink" Target="https://www.sciencedirect.com/science/article/pii/S0360301623080446?via%3Dihub" TargetMode="External" /><Relationship Id="rId12" Type="http://schemas.openxmlformats.org/officeDocument/2006/relationships/hyperlink" Target="https://doi.org/10.1016/j.ijrobp.2012.01.023" TargetMode="External" /><Relationship Id="rId13" Type="http://schemas.openxmlformats.org/officeDocument/2006/relationships/hyperlink" Target="https://www.sciencedirect.com/science/article/pii/S1470204519300348" TargetMode="External" /><Relationship Id="rId14" Type="http://schemas.openxmlformats.org/officeDocument/2006/relationships/image" Target="media/image1.png" /><Relationship Id="rId15" Type="http://schemas.openxmlformats.org/officeDocument/2006/relationships/hyperlink" Target="https://www.redjournal.org/article/S0360-3016(23)07918-X/fulltext" TargetMode="External" /><Relationship Id="rId16" Type="http://schemas.openxmlformats.org/officeDocument/2006/relationships/hyperlink" Target="https://www.sciencedirect.com/science/article/pii/S0360301618339154" TargetMode="External" /><Relationship Id="rId17" Type="http://schemas.openxmlformats.org/officeDocument/2006/relationships/image" Target="media/image2.png" /><Relationship Id="rId18" Type="http://schemas.openxmlformats.org/officeDocument/2006/relationships/hyperlink" Target="https://www.sciencedirect.com/science/article/pii/S036030162307685X" TargetMode="External" /><Relationship Id="rId19" Type="http://schemas.openxmlformats.org/officeDocument/2006/relationships/hyperlink" Target="https://www.sciencedirect.com/science/article/pii/S0360301624002505" TargetMode="External" /><Relationship Id="rId2" Type="http://schemas.openxmlformats.org/officeDocument/2006/relationships/webSettings" Target="webSettings.xml" /><Relationship Id="rId20" Type="http://schemas.openxmlformats.org/officeDocument/2006/relationships/hyperlink" Target="https://www.ncbi.nlm.nih.gov/pmc/articles/PMC6820042/" TargetMode="External" /><Relationship Id="rId21" Type="http://schemas.openxmlformats.org/officeDocument/2006/relationships/hyperlink" Target="https://kvalitet.helse-bergen.no/docs/pub/dok78857.htm" TargetMode="External" /><Relationship Id="rId22" Type="http://schemas.openxmlformats.org/officeDocument/2006/relationships/hyperlink" Target="https://aapm.onlinelibrary.wiley.com/doi/epdf/10.1002/mp.12824" TargetMode="External" /><Relationship Id="rId23" Type="http://schemas.openxmlformats.org/officeDocument/2006/relationships/hyperlink" Target="https://kvalitet.helse-bergen.no/docs/pub/dok78850.htm" TargetMode="External" /><Relationship Id="rId24" Type="http://schemas.openxmlformats.org/officeDocument/2006/relationships/hyperlink" Target="https://kvalitet.helse-bergen.no/docs/pub/dok78846.htm" TargetMode="External" /><Relationship Id="rId25" Type="http://schemas.openxmlformats.org/officeDocument/2006/relationships/hyperlink" Target="https://doi.org/10.1016/j.ijrobp.2023.10.039" TargetMode="External" /><Relationship Id="rId26" Type="http://schemas.openxmlformats.org/officeDocument/2006/relationships/hyperlink" Target="https://doi.org/10.1016/S1470-2045(19)30034-8" TargetMode="External" /><Relationship Id="rId27" Type="http://schemas.openxmlformats.org/officeDocument/2006/relationships/hyperlink" Target="https://doi.org/10.1016/j.ijrobp.2023.09.005" TargetMode="External" /><Relationship Id="rId28" Type="http://schemas.openxmlformats.org/officeDocument/2006/relationships/hyperlink" Target="https://doi.org/10.1016/j.ijrobp.2018.10.026" TargetMode="External" /><Relationship Id="rId29" Type="http://schemas.openxmlformats.org/officeDocument/2006/relationships/hyperlink" Target="https://doi.org/10.1016/j.ijrobp.2023.07.025" TargetMode="External" /><Relationship Id="rId3" Type="http://schemas.openxmlformats.org/officeDocument/2006/relationships/fontTable" Target="fontTable.xml" /><Relationship Id="rId30" Type="http://schemas.openxmlformats.org/officeDocument/2006/relationships/hyperlink" Target="https://doi.org/10.1016/j.ijrobp.2024.01.206" TargetMode="External" /><Relationship Id="rId31" Type="http://schemas.openxmlformats.org/officeDocument/2006/relationships/hyperlink" Target="https://doi.org/10.1001%2Fjamapediatrics.2019.3807" TargetMode="External" /><Relationship Id="rId32" Type="http://schemas.openxmlformats.org/officeDocument/2006/relationships/hyperlink" Target="https://doi.org/10.1002/mp.12824" TargetMode="External" /><Relationship Id="rId33" Type="http://schemas.openxmlformats.org/officeDocument/2006/relationships/hyperlink" Target="https://ehandboken.ous-hf.no/document/150902" TargetMode="External" /><Relationship Id="rId34" Type="http://schemas.openxmlformats.org/officeDocument/2006/relationships/header" Target="header1.xml" /><Relationship Id="rId35" Type="http://schemas.openxmlformats.org/officeDocument/2006/relationships/header" Target="header2.xml" /><Relationship Id="rId36" Type="http://schemas.openxmlformats.org/officeDocument/2006/relationships/footer" Target="footer1.xml" /><Relationship Id="rId37" Type="http://schemas.openxmlformats.org/officeDocument/2006/relationships/footer" Target="footer2.xml" /><Relationship Id="rId38" Type="http://schemas.openxmlformats.org/officeDocument/2006/relationships/header" Target="header3.xml" /><Relationship Id="rId39" Type="http://schemas.openxmlformats.org/officeDocument/2006/relationships/footer" Target="footer3.xml"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hyperlink" Target="https://kvalitet.helse-bergen.no/docs/pub/dok78859.htm" TargetMode="External" /><Relationship Id="rId6" Type="http://schemas.openxmlformats.org/officeDocument/2006/relationships/hyperlink" Target="https://kvalitet.helse-bergen.no/docs/pub/dok78860.htm" TargetMode="External" /><Relationship Id="rId7" Type="http://schemas.openxmlformats.org/officeDocument/2006/relationships/hyperlink" Target="https://kvalitet.helse-bergen.no/docs/pub/dok78851.htm" TargetMode="External" /><Relationship Id="rId8" Type="http://schemas.openxmlformats.org/officeDocument/2006/relationships/hyperlink" Target="https://kvalitet.helse-bergen.no/docs/pub/dok78855.htm" TargetMode="External" /><Relationship Id="rId9" Type="http://schemas.openxmlformats.org/officeDocument/2006/relationships/hyperlink" Target="https://kvalitet.helse-bergen.no/docs/pub/dok78863.htm"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BB189F-2722-493F-BE0F-E728C905F0EA}">
  <we:reference id="1fc441d0-c012-4ded-878a-44e68ea26eb9" version="3.0.0.0" store="EXCatalog" storeType="excatalog"/>
  <we:alternateReferences>
    <we:reference id="WA200003024" version="3.0.0.0" store="nb-NO"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127</TotalTime>
  <Pages>10</Pages>
  <Words>3362</Words>
  <Characters>27429</Characters>
  <Application>Microsoft Office Word</Application>
  <DocSecurity>0</DocSecurity>
  <Lines>228</Lines>
  <Paragraphs>61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Barn - Retningslinje for protonplanlegging</vt:lpstr>
      <vt:lpstr>HBHF-mal - stående</vt:lpstr>
    </vt:vector>
  </TitlesOfParts>
  <Company>Datakvalitet</Company>
  <LinksUpToDate>false</LinksUpToDate>
  <CharactersWithSpaces>30730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 - Retningslinje for protonplanlegging</dc:title>
  <dc:subject>000302|[RefNr]|</dc:subject>
  <dc:creator>Handbok</dc:creator>
  <dc:description>EK_Avdeling_x0002_4_x0002_[Avdeling]_x0003_EK_Avsnitt_x0002_4_x0002_[Avsnitt]_x0003_EK_Bedriftsnavn_x0002_1_x0002_Helse Bergen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HBHF Generell/standard mal Helse Bergen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000302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Ugland, Maren</cp:lastModifiedBy>
  <cp:revision>21</cp:revision>
  <cp:lastPrinted>2006-09-07T08:52:00Z</cp:lastPrinted>
  <dcterms:created xsi:type="dcterms:W3CDTF">2021-12-08T08:43:00Z</dcterms:created>
  <dcterms:modified xsi:type="dcterms:W3CDTF">2024-06-26T07:20:00Z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Barn - Retningslinje for protonplanlegging</vt:lpwstr>
  </property>
  <property fmtid="{D5CDD505-2E9C-101B-9397-08002B2CF9AE}" pid="4" name="EK_DokType">
    <vt:lpwstr>Retningslinje</vt:lpwstr>
  </property>
  <property fmtid="{D5CDD505-2E9C-101B-9397-08002B2CF9AE}" pid="5" name="EK_DokumentID">
    <vt:lpwstr>D78861</vt:lpwstr>
  </property>
  <property fmtid="{D5CDD505-2E9C-101B-9397-08002B2CF9AE}" pid="6" name="EK_EKPrintMerke">
    <vt:lpwstr>Uoffisiell utskrift er kun gyldig på utskriftsdato</vt:lpwstr>
  </property>
  <property fmtid="{D5CDD505-2E9C-101B-9397-08002B2CF9AE}" pid="7" name="EK_GjelderFra">
    <vt:lpwstr>27.06.2024</vt:lpwstr>
  </property>
  <property fmtid="{D5CDD505-2E9C-101B-9397-08002B2CF9AE}" pid="8" name="EK_GjelderTil">
    <vt:lpwstr>27.06.2026</vt:lpwstr>
  </property>
  <property fmtid="{D5CDD505-2E9C-101B-9397-08002B2CF9AE}" pid="9" name="EK_Merknad">
    <vt:lpwstr>[Merknad]</vt:lpwstr>
  </property>
  <property fmtid="{D5CDD505-2E9C-101B-9397-08002B2CF9AE}" pid="10" name="EK_RefNr">
    <vt:lpwstr>3.1.2.5.9.4.1-01</vt:lpwstr>
  </property>
  <property fmtid="{D5CDD505-2E9C-101B-9397-08002B2CF9AE}" pid="11" name="EK_S00MT1">
    <vt:lpwstr>Helse Bergen HF/Avdeling for kreftbehandling og medisinsk fysikk</vt:lpwstr>
  </property>
  <property fmtid="{D5CDD505-2E9C-101B-9397-08002B2CF9AE}" pid="12" name="EK_S01MT3">
    <vt:lpwstr>Pasientbehandling/Fagprosedyrer/Kreft</vt:lpwstr>
  </property>
  <property fmtid="{D5CDD505-2E9C-101B-9397-08002B2CF9AE}" pid="13" name="EK_Signatur">
    <vt:lpwstr>Oddbjørn Straume</vt:lpwstr>
  </property>
  <property fmtid="{D5CDD505-2E9C-101B-9397-08002B2CF9AE}" pid="14" name="EK_UText1">
    <vt:lpwstr>Einar Waldeland, ++</vt:lpwstr>
  </property>
  <property fmtid="{D5CDD505-2E9C-101B-9397-08002B2CF9AE}" pid="15" name="EK_Utgave">
    <vt:lpwstr>1.00</vt:lpwstr>
  </property>
  <property fmtid="{D5CDD505-2E9C-101B-9397-08002B2CF9AE}" pid="16" name="EK_Watermark">
    <vt:lpwstr>Vannmerke</vt:lpwstr>
  </property>
  <property fmtid="{D5CDD505-2E9C-101B-9397-08002B2CF9AE}" pid="17" name="MSIP_Label_d291ddcc-9a90-46b7-a727-d19b3ec4b730_ActionId">
    <vt:lpwstr>d7b85499-0339-47b5-b847-11258b57a5ac</vt:lpwstr>
  </property>
  <property fmtid="{D5CDD505-2E9C-101B-9397-08002B2CF9AE}" pid="18" name="MSIP_Label_d291ddcc-9a90-46b7-a727-d19b3ec4b730_ContentBits">
    <vt:lpwstr>0</vt:lpwstr>
  </property>
  <property fmtid="{D5CDD505-2E9C-101B-9397-08002B2CF9AE}" pid="19" name="MSIP_Label_d291ddcc-9a90-46b7-a727-d19b3ec4b730_Enabled">
    <vt:lpwstr>true</vt:lpwstr>
  </property>
  <property fmtid="{D5CDD505-2E9C-101B-9397-08002B2CF9AE}" pid="20" name="MSIP_Label_d291ddcc-9a90-46b7-a727-d19b3ec4b730_Method">
    <vt:lpwstr>Privileged</vt:lpwstr>
  </property>
  <property fmtid="{D5CDD505-2E9C-101B-9397-08002B2CF9AE}" pid="21" name="MSIP_Label_d291ddcc-9a90-46b7-a727-d19b3ec4b730_Name">
    <vt:lpwstr>Åpen</vt:lpwstr>
  </property>
  <property fmtid="{D5CDD505-2E9C-101B-9397-08002B2CF9AE}" pid="22" name="MSIP_Label_d291ddcc-9a90-46b7-a727-d19b3ec4b730_SetDate">
    <vt:lpwstr>2024-05-24T08:48:26Z</vt:lpwstr>
  </property>
  <property fmtid="{D5CDD505-2E9C-101B-9397-08002B2CF9AE}" pid="23" name="MSIP_Label_d291ddcc-9a90-46b7-a727-d19b3ec4b730_SiteId">
    <vt:lpwstr>bdcbe535-f3cf-49f5-8a6a-fb6d98dc7837</vt:lpwstr>
  </property>
  <property fmtid="{D5CDD505-2E9C-101B-9397-08002B2CF9AE}" pid="24" name="XD78846">
    <vt:lpwstr>3.1.2.5.9.4.1-07</vt:lpwstr>
  </property>
  <property fmtid="{D5CDD505-2E9C-101B-9397-08002B2CF9AE}" pid="25" name="XD78847">
    <vt:lpwstr>3.1.2.5.9.4.1-09</vt:lpwstr>
  </property>
  <property fmtid="{D5CDD505-2E9C-101B-9397-08002B2CF9AE}" pid="26" name="XD78850">
    <vt:lpwstr>3.1.2.5.9.4.1-04</vt:lpwstr>
  </property>
  <property fmtid="{D5CDD505-2E9C-101B-9397-08002B2CF9AE}" pid="27" name="XD78851">
    <vt:lpwstr>3.1.2.5.9.4.1-05</vt:lpwstr>
  </property>
  <property fmtid="{D5CDD505-2E9C-101B-9397-08002B2CF9AE}" pid="28" name="XD78855">
    <vt:lpwstr>3.1.2.5.9.4.1-06</vt:lpwstr>
  </property>
  <property fmtid="{D5CDD505-2E9C-101B-9397-08002B2CF9AE}" pid="29" name="XD78857">
    <vt:lpwstr>3.1.2.5.9.4.1-11</vt:lpwstr>
  </property>
  <property fmtid="{D5CDD505-2E9C-101B-9397-08002B2CF9AE}" pid="30" name="XD78859">
    <vt:lpwstr>3.1.2.5.9.4.1-03</vt:lpwstr>
  </property>
  <property fmtid="{D5CDD505-2E9C-101B-9397-08002B2CF9AE}" pid="31" name="XD78860">
    <vt:lpwstr>3.1.2.5.9.4.1-02</vt:lpwstr>
  </property>
  <property fmtid="{D5CDD505-2E9C-101B-9397-08002B2CF9AE}" pid="32" name="XD78863">
    <vt:lpwstr>3.1.2.5.9.4.1-08</vt:lpwstr>
  </property>
  <property fmtid="{D5CDD505-2E9C-101B-9397-08002B2CF9AE}" pid="33" name="XDF78846">
    <vt:lpwstr>Fiksering av hode , hals og CNS-nevroakse ved protonbehandling (voksen/pediatri) Retningslinje.</vt:lpwstr>
  </property>
  <property fmtid="{D5CDD505-2E9C-101B-9397-08002B2CF9AE}" pid="34" name="XDF78847">
    <vt:lpwstr>Håndtering av implantat og artefakter ved protonbehandling</vt:lpwstr>
  </property>
  <property fmtid="{D5CDD505-2E9C-101B-9397-08002B2CF9AE}" pid="35" name="XDF78850">
    <vt:lpwstr>ØNH - Retningslinje for protonplanlegging</vt:lpwstr>
  </property>
  <property fmtid="{D5CDD505-2E9C-101B-9397-08002B2CF9AE}" pid="36" name="XDF78851">
    <vt:lpwstr>Sarcom - Retningslinje for protonplanlegging</vt:lpwstr>
  </property>
  <property fmtid="{D5CDD505-2E9C-101B-9397-08002B2CF9AE}" pid="37" name="XDF78855">
    <vt:lpwstr>Protonfiksering - oversikt</vt:lpwstr>
  </property>
  <property fmtid="{D5CDD505-2E9C-101B-9397-08002B2CF9AE}" pid="38" name="XDF78857">
    <vt:lpwstr>Protonbehandling - prosedyre for gjennomføring</vt:lpwstr>
  </property>
  <property fmtid="{D5CDD505-2E9C-101B-9397-08002B2CF9AE}" pid="39" name="XDF78859">
    <vt:lpwstr>Cerebri - Retningslinje for protonplanlegging</vt:lpwstr>
  </property>
  <property fmtid="{D5CDD505-2E9C-101B-9397-08002B2CF9AE}" pid="40" name="XDF78860">
    <vt:lpwstr>Total CNS-akse - Retningslinje for protonplanlegging</vt:lpwstr>
  </property>
  <property fmtid="{D5CDD505-2E9C-101B-9397-08002B2CF9AE}" pid="41" name="XDF78863">
    <vt:lpwstr>Avbildning for protonterapi - retningslinje</vt:lpwstr>
  </property>
  <property fmtid="{D5CDD505-2E9C-101B-9397-08002B2CF9AE}" pid="42" name="XDL78846">
    <vt:lpwstr>3.1.2.5.9.4.1-07 Fiksering av hode , hals og CNS-nevroakse ved protonbehandling (voksen/pediatri) Retningslinje.</vt:lpwstr>
  </property>
  <property fmtid="{D5CDD505-2E9C-101B-9397-08002B2CF9AE}" pid="43" name="XDL78847">
    <vt:lpwstr>3.1.2.5.9.4.1-09 Håndtering av implantat og artefakter ved protonbehandling</vt:lpwstr>
  </property>
  <property fmtid="{D5CDD505-2E9C-101B-9397-08002B2CF9AE}" pid="44" name="XDL78850">
    <vt:lpwstr>3.1.2.5.9.4.1-04 ØNH - Retningslinje for protonplanlegging</vt:lpwstr>
  </property>
  <property fmtid="{D5CDD505-2E9C-101B-9397-08002B2CF9AE}" pid="45" name="XDL78851">
    <vt:lpwstr>3.1.2.5.9.4.1-05 Sarcom - Retningslinje for protonplanlegging</vt:lpwstr>
  </property>
  <property fmtid="{D5CDD505-2E9C-101B-9397-08002B2CF9AE}" pid="46" name="XDL78855">
    <vt:lpwstr>3.1.2.5.9.4.1-06 Protonfiksering - oversikt</vt:lpwstr>
  </property>
  <property fmtid="{D5CDD505-2E9C-101B-9397-08002B2CF9AE}" pid="47" name="XDL78857">
    <vt:lpwstr>3.1.2.5.9.4.1-11 Protonbehandling - prosedyre for gjennomføring</vt:lpwstr>
  </property>
  <property fmtid="{D5CDD505-2E9C-101B-9397-08002B2CF9AE}" pid="48" name="XDL78859">
    <vt:lpwstr>3.1.2.5.9.4.1-03 Cerebri - Retningslinje for protonplanlegging</vt:lpwstr>
  </property>
  <property fmtid="{D5CDD505-2E9C-101B-9397-08002B2CF9AE}" pid="49" name="XDL78860">
    <vt:lpwstr>3.1.2.5.9.4.1-02 Total CNS-akse - Retningslinje for protonplanlegging</vt:lpwstr>
  </property>
  <property fmtid="{D5CDD505-2E9C-101B-9397-08002B2CF9AE}" pid="50" name="XDL78863">
    <vt:lpwstr>3.1.2.5.9.4.1-08 Avbildning for protonterapi - retningslinje</vt:lpwstr>
  </property>
  <property fmtid="{D5CDD505-2E9C-101B-9397-08002B2CF9AE}" pid="51" name="XDT78846">
    <vt:lpwstr>Fiksering av hode , hals og CNS-nevroakse ved protonbehandling (voksen/pediatri) Retningslinje.</vt:lpwstr>
  </property>
  <property fmtid="{D5CDD505-2E9C-101B-9397-08002B2CF9AE}" pid="52" name="XDT78847">
    <vt:lpwstr>Håndtering av implantat og artefakter ved protonbehandling</vt:lpwstr>
  </property>
  <property fmtid="{D5CDD505-2E9C-101B-9397-08002B2CF9AE}" pid="53" name="XDT78850">
    <vt:lpwstr>ØNH - Retningslinje for protonplanlegging</vt:lpwstr>
  </property>
  <property fmtid="{D5CDD505-2E9C-101B-9397-08002B2CF9AE}" pid="54" name="XDT78851">
    <vt:lpwstr>Sarcom - Retningslinje for protonplanlegging</vt:lpwstr>
  </property>
  <property fmtid="{D5CDD505-2E9C-101B-9397-08002B2CF9AE}" pid="55" name="XDT78855">
    <vt:lpwstr>Protonfiksering - oversikt</vt:lpwstr>
  </property>
  <property fmtid="{D5CDD505-2E9C-101B-9397-08002B2CF9AE}" pid="56" name="XDT78857">
    <vt:lpwstr>Protonbehandling - prosedyre for gjennomføring</vt:lpwstr>
  </property>
  <property fmtid="{D5CDD505-2E9C-101B-9397-08002B2CF9AE}" pid="57" name="XDT78859">
    <vt:lpwstr>Cerebri - Retningslinje for protonplanlegging</vt:lpwstr>
  </property>
  <property fmtid="{D5CDD505-2E9C-101B-9397-08002B2CF9AE}" pid="58" name="XDT78860">
    <vt:lpwstr>Total CNS-akse - Retningslinje for protonplanlegging</vt:lpwstr>
  </property>
  <property fmtid="{D5CDD505-2E9C-101B-9397-08002B2CF9AE}" pid="59" name="XDT78863">
    <vt:lpwstr>Avbildning for protonterapi - retningslinje</vt:lpwstr>
  </property>
</Properties>
</file>