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asciiTheme="minorHAnsi" w:hAnsiTheme="minorHAnsi"/>
          <w:i w:val="0"/>
          <w:sz w:val="24"/>
          <w:szCs w:val="20"/>
          <w:lang w:eastAsia="nb-NO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67055" w:rsidRPr="009D6480" w:rsidP="00A67055" w14:paraId="4EEC063E" w14:textId="18C261F8">
          <w:pPr>
            <w:pStyle w:val="WarningBody"/>
            <w:rPr>
              <w:sz w:val="24"/>
              <w:szCs w:val="24"/>
            </w:rPr>
          </w:pPr>
          <w:r w:rsidRPr="009D6480">
            <w:rPr>
              <w:sz w:val="24"/>
              <w:szCs w:val="24"/>
            </w:rPr>
            <w:t>OBS! Majoriteten av krav og anbefalinger i dette dokumentet, som f.eks. dekningskrav og planleggingsteknikker er tentative. Det kreves uttesting og diskusjoner for å etablere endelige anbefalinger.</w:t>
          </w:r>
        </w:p>
        <w:p w:rsidR="00A67055" w:rsidP="00EB12D2" w14:paraId="6BAA1D8F" w14:textId="77777777">
          <w:pPr>
            <w:pStyle w:val="StilOverskriftforinnholdsfortegnelseLatinBrdtekstCali"/>
            <w:rPr>
              <w:rFonts w:eastAsia="Times New Roman" w:cs="Times New Roman"/>
              <w:sz w:val="24"/>
            </w:rPr>
          </w:pPr>
        </w:p>
        <w:p w:rsidR="00A55D47" w:rsidRPr="00066A58" w:rsidP="00EB12D2" w14:paraId="3C743289" w14:textId="775D3CA2">
          <w:pPr>
            <w:pStyle w:val="StilOverskriftforinnholdsfortegnelseLatinBrdtekstCali"/>
          </w:pPr>
          <w:r w:rsidRPr="00066A58"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 w:rsidR="00EB12D2">
              <w:rPr>
                <w:rStyle w:val="Hyperlink"/>
              </w:rPr>
              <w:t xml:space="preserve"> og 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Bildegrunnlag og fiksering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Inntegning av volumer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F7D0E">
              <w:rPr>
                <w:rStyle w:val="Hyperlink"/>
              </w:rPr>
              <w:t>Risikoorgan og andre strukturer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F7D0E">
              <w:rPr>
                <w:rStyle w:val="Hyperlink"/>
              </w:rPr>
              <w:t>Målvolum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Protonplanlegging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Forberedelser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5.1.1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Valg av </w:t>
            </w:r>
            <w:r>
              <w:rPr>
                <w:rStyle w:val="Hyperlink"/>
              </w:rPr>
              <w:t>planleggings-CT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5.1.2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Materialoverstyring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5.1.3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Kalibreringskurve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Strukturer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Planoppsett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F7D0E">
              <w:rPr>
                <w:rStyle w:val="Hyperlink"/>
              </w:rPr>
              <w:t>Fe</w:t>
            </w:r>
            <w:r w:rsidRPr="00CF7D0E">
              <w:rPr>
                <w:rStyle w:val="Hyperlink"/>
              </w:rPr>
              <w:t>ltoppsett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5.4.1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F7D0E">
              <w:rPr>
                <w:rStyle w:val="Hyperlink"/>
              </w:rPr>
              <w:t>Generelle hensyn ved valg av feltvinkler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>
              <w:rPr>
                <w:rStyle w:val="Hyperlink"/>
              </w:rPr>
              <w:t>5.4.2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Generelle hensyn ved bordrotasjon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5.4.3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Range </w:t>
            </w:r>
            <w:r>
              <w:rPr>
                <w:rStyle w:val="Hyperlink"/>
              </w:rPr>
              <w:t>shifter</w:t>
            </w:r>
            <w:r>
              <w:rPr>
                <w:rStyle w:val="Hyperlink"/>
              </w:rPr>
              <w:t xml:space="preserve"> og</w:t>
            </w:r>
            <w:r w:rsidRPr="00CF7D0E">
              <w:rPr>
                <w:rStyle w:val="Hyperlink"/>
              </w:rPr>
              <w:t xml:space="preserve"> </w:t>
            </w:r>
            <w:r>
              <w:rPr>
                <w:rStyle w:val="Hyperlink"/>
              </w:rPr>
              <w:t>a</w:t>
            </w:r>
            <w:r w:rsidRPr="00CF7D0E">
              <w:rPr>
                <w:rStyle w:val="Hyperlink"/>
              </w:rPr>
              <w:t>ir gap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>
              <w:rPr>
                <w:rStyle w:val="Hyperlink"/>
              </w:rPr>
              <w:t>5.5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F7D0E">
              <w:rPr>
                <w:rStyle w:val="Hyperlink"/>
              </w:rPr>
              <w:t>Robust optimering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8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Planevaluering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9" w:history="1">
            <w:r>
              <w:rPr>
                <w:rStyle w:val="Hyperlink"/>
              </w:rPr>
              <w:t>6.1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F7D0E">
              <w:rPr>
                <w:rStyle w:val="Hyperlink"/>
              </w:rPr>
              <w:t>Doser til målvolum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0" w:history="1">
            <w:r>
              <w:rPr>
                <w:rStyle w:val="Hyperlink"/>
              </w:rPr>
              <w:t>6.2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F7D0E">
              <w:rPr>
                <w:rStyle w:val="Hyperlink"/>
              </w:rPr>
              <w:t>Doser til risikoorgan</w:t>
            </w:r>
            <w:r>
              <w:tab/>
            </w:r>
            <w:r>
              <w:fldChar w:fldCharType="begin"/>
            </w:r>
            <w:r>
              <w:instrText xml:space="preserve"> PAGEREF _Toc256000020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1" w:history="1">
            <w:r>
              <w:rPr>
                <w:rStyle w:val="Hyperlink"/>
              </w:rPr>
              <w:t>6.3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F7D0E">
              <w:rPr>
                <w:rStyle w:val="Hyperlink"/>
              </w:rPr>
              <w:t>Robust evaluering</w:t>
            </w:r>
            <w:r>
              <w:tab/>
            </w:r>
            <w:r>
              <w:fldChar w:fldCharType="begin"/>
            </w:r>
            <w:r>
              <w:instrText xml:space="preserve"> PAGEREF _Toc256000021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2" w:history="1">
            <w:r>
              <w:rPr>
                <w:rStyle w:val="Hyperlink"/>
              </w:rPr>
              <w:t>6.3.1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</w:t>
            </w:r>
            <w:r>
              <w:rPr>
                <w:rStyle w:val="Hyperlink"/>
              </w:rPr>
              <w:t>lvolum</w:t>
            </w:r>
            <w:r>
              <w:tab/>
            </w:r>
            <w:r>
              <w:fldChar w:fldCharType="begin"/>
            </w:r>
            <w:r>
              <w:instrText xml:space="preserve"> PAGEREF _Toc256000022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3" w:history="1">
            <w:r>
              <w:rPr>
                <w:rStyle w:val="Hyperlink"/>
              </w:rPr>
              <w:t>6.3.2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Risikoorganer</w:t>
            </w:r>
            <w:r>
              <w:tab/>
            </w:r>
            <w:r>
              <w:fldChar w:fldCharType="begin"/>
            </w:r>
            <w:r>
              <w:instrText xml:space="preserve"> PAGEREF _Toc256000023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4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Image </w:t>
            </w:r>
            <w:r>
              <w:rPr>
                <w:rStyle w:val="Hyperlink"/>
              </w:rPr>
              <w:t>guidance</w:t>
            </w:r>
            <w:r>
              <w:tab/>
            </w:r>
            <w:r>
              <w:fldChar w:fldCharType="begin"/>
            </w:r>
            <w:r>
              <w:instrText xml:space="preserve"> PAGEREF _Toc256000024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5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Kontrollbilder og adapsjon</w:t>
            </w:r>
            <w:r>
              <w:tab/>
            </w:r>
            <w:r>
              <w:fldChar w:fldCharType="begin"/>
            </w:r>
            <w:r>
              <w:instrText xml:space="preserve"> PAGEREF _Toc256000025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6" w:history="1">
            <w:r>
              <w:rPr>
                <w:rStyle w:val="Hyperlink"/>
              </w:rPr>
              <w:t>9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Tiltak og prioritering ved </w:t>
            </w:r>
            <w:r>
              <w:rPr>
                <w:rStyle w:val="Hyperlink"/>
              </w:rPr>
              <w:t>nedetid</w:t>
            </w:r>
            <w:r>
              <w:tab/>
            </w:r>
            <w:r>
              <w:fldChar w:fldCharType="begin"/>
            </w:r>
            <w:r>
              <w:instrText xml:space="preserve"> PAGEREF _Toc256000026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7" w:history="1">
            <w:r>
              <w:rPr>
                <w:rStyle w:val="Hyperlink"/>
              </w:rPr>
              <w:t>10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_Toc256000027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8" w:history="1">
            <w:r>
              <w:rPr>
                <w:rStyle w:val="Hyperlink"/>
              </w:rPr>
              <w:t>11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</w:t>
            </w:r>
            <w:r w:rsidR="00EB12D2">
              <w:rPr>
                <w:rStyle w:val="Hyperlink"/>
              </w:rPr>
              <w:t xml:space="preserve">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_Toc256000028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EB12D2" w14:paraId="3C743293" w14:textId="6766543C">
      <w:pPr>
        <w:pStyle w:val="Heading1"/>
      </w:pPr>
      <w:bookmarkStart w:id="1" w:name="_Toc256000000"/>
      <w:r>
        <w:t>Hensikt</w:t>
      </w:r>
      <w:r w:rsidR="00EB12D2">
        <w:t xml:space="preserve"> og omfang</w:t>
      </w:r>
      <w:bookmarkEnd w:id="1"/>
    </w:p>
    <w:p w:rsidR="009D6480" w:rsidP="009D6480" w14:paraId="018277B8" w14:textId="147866BA">
      <w:pPr>
        <w:autoSpaceDE w:val="0"/>
        <w:autoSpaceDN w:val="0"/>
        <w:adjustRightInd w:val="0"/>
        <w:rPr>
          <w:rFonts w:ascii="Calibri" w:hAnsi="Calibri" w:cs="Calibri"/>
        </w:rPr>
      </w:pPr>
      <w:r w:rsidRPr="00CF7D0E">
        <w:rPr>
          <w:rFonts w:ascii="Calibri" w:hAnsi="Calibri" w:cs="Calibri"/>
        </w:rPr>
        <w:t>Retningslinjen skal være til hjelp for stråleterapeuter, doseplanleggere, fysikere og leger som er involvert i planlegging av proton</w:t>
      </w:r>
      <w:r w:rsidRPr="00CF7D0E">
        <w:rPr>
          <w:rFonts w:ascii="Calibri" w:hAnsi="Calibri" w:cs="Calibri"/>
        </w:rPr>
        <w:t xml:space="preserve">strålebehandling ved tumor </w:t>
      </w:r>
      <w:r w:rsidRPr="00CF7D0E">
        <w:rPr>
          <w:rFonts w:ascii="Calibri" w:hAnsi="Calibri" w:cs="Calibri"/>
        </w:rPr>
        <w:t>cerebri</w:t>
      </w:r>
      <w:r>
        <w:rPr>
          <w:rFonts w:ascii="Calibri" w:hAnsi="Calibri" w:cs="Calibri"/>
        </w:rPr>
        <w:t xml:space="preserve"> hos voksne pasienter. For planlegging av protonstrålebehandling av barn, se </w:t>
      </w:r>
      <w:hyperlink r:id="rId5" w:tooltip="XDF78861" w:history="1">
        <w:r w:rsidRPr="009551B1">
          <w:rPr>
            <w:rStyle w:val="Hyperlink"/>
          </w:rPr>
          <w:fldChar w:fldCharType="begin" w:fldLock="1"/>
        </w:r>
        <w:r w:rsidRPr="009551B1">
          <w:rPr>
            <w:rStyle w:val="Hyperlink"/>
          </w:rPr>
          <w:instrText xml:space="preserve"> DOCPROPERTY XDT78861 *charformat * MERGEFORMAT </w:instrText>
        </w:r>
        <w:r w:rsidRPr="009551B1">
          <w:rPr>
            <w:rStyle w:val="Hyperlink"/>
          </w:rPr>
          <w:fldChar w:fldCharType="separate"/>
        </w:r>
        <w:r w:rsidRPr="009551B1">
          <w:rPr>
            <w:rStyle w:val="Hyperlink"/>
          </w:rPr>
          <w:t>Barn - Retningslinje for protonplanlegging</w:t>
        </w:r>
        <w:r w:rsidRPr="009551B1">
          <w:rPr>
            <w:rStyle w:val="Hyperlink"/>
          </w:rPr>
          <w:fldChar w:fldCharType="end"/>
        </w:r>
      </w:hyperlink>
      <w:r>
        <w:t>.</w:t>
      </w:r>
    </w:p>
    <w:p w:rsidR="009D6480" w:rsidP="009D6480" w14:paraId="0537861E" w14:textId="77777777">
      <w:pPr>
        <w:autoSpaceDE w:val="0"/>
        <w:autoSpaceDN w:val="0"/>
        <w:adjustRightInd w:val="0"/>
        <w:rPr>
          <w:rFonts w:ascii="Calibri" w:hAnsi="Calibri" w:cs="Calibri"/>
        </w:rPr>
      </w:pPr>
    </w:p>
    <w:p w:rsidR="009D6480" w:rsidRPr="00912F65" w:rsidP="009D6480" w14:paraId="3E20F030" w14:textId="5C188455">
      <w:pPr>
        <w:autoSpaceDE w:val="0"/>
        <w:autoSpaceDN w:val="0"/>
        <w:adjustRightInd w:val="0"/>
      </w:pPr>
      <w:r>
        <w:t xml:space="preserve">Det finnes mange hjernesvulstentiteter hvor man ser for seg at protonbestråling kan være gunstig. De vanligste finner man i </w:t>
      </w:r>
      <w:r>
        <w:fldChar w:fldCharType="begin"/>
      </w:r>
      <w:r>
        <w:instrText xml:space="preserve"> REF _Ref149742545 \h </w:instrText>
      </w:r>
      <w:r>
        <w:fldChar w:fldCharType="separate"/>
      </w:r>
      <w:r w:rsidRPr="00CF7D0E">
        <w:t xml:space="preserve">Tabell </w:t>
      </w:r>
      <w:r>
        <w:t>1</w:t>
      </w:r>
      <w:r>
        <w:fldChar w:fldCharType="end"/>
      </w:r>
      <w:r>
        <w:t xml:space="preserve">, mens varianter som varierer fra sjeldne til svært sjeldne finnes i </w:t>
      </w:r>
      <w:r>
        <w:fldChar w:fldCharType="begin"/>
      </w:r>
      <w:r>
        <w:instrText xml:space="preserve"> REF _Ref152333111 \h </w:instrText>
      </w:r>
      <w:r>
        <w:fldChar w:fldCharType="separate"/>
      </w:r>
      <w:r w:rsidRPr="00CF7D0E">
        <w:t xml:space="preserve">Tabell </w:t>
      </w:r>
      <w:r>
        <w:t>2</w:t>
      </w:r>
      <w:r>
        <w:fldChar w:fldCharType="end"/>
      </w:r>
      <w:r>
        <w:t>. Det er viktig å være klar over at diagnosene i tabelle</w:t>
      </w:r>
      <w:r>
        <w:t xml:space="preserve">ne ikke er utfyllende og at det finnes andre sjeldnere hjernesvulstentiteter hvor man også mener protonterapi kan være nyttig. </w:t>
      </w:r>
      <w:r w:rsidRPr="00CF7D0E">
        <w:rPr>
          <w:rFonts w:ascii="Calibri" w:hAnsi="Calibri" w:cs="Calibri"/>
        </w:rPr>
        <w:t xml:space="preserve">Dosering og fraksjonering </w:t>
      </w:r>
      <w:r>
        <w:rPr>
          <w:rFonts w:ascii="Calibri" w:hAnsi="Calibri" w:cs="Calibri"/>
        </w:rPr>
        <w:t xml:space="preserve">for disse pasientene </w:t>
      </w:r>
      <w:r w:rsidRPr="00CF7D0E">
        <w:rPr>
          <w:rFonts w:ascii="Calibri" w:hAnsi="Calibri" w:cs="Calibri"/>
        </w:rPr>
        <w:t xml:space="preserve">bestemmes ut fra histologi og allmenntilstand, jf. </w:t>
      </w:r>
      <w:hyperlink r:id="rId6" w:history="1">
        <w:r>
          <w:rPr>
            <w:rStyle w:val="Hyperlink"/>
            <w:rFonts w:ascii="Calibri" w:hAnsi="Calibri" w:cs="Calibri"/>
          </w:rPr>
          <w:t>Helsedirektoratet 2023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ldData xml:space="preserve">PEVuZE5vdGU+PENpdGU+PEF1dGhvcj5IZWxzZWRpcmVrdG9yYXRldDwvQXV0aG9yPjxZZWFyPjIw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</w:fldData>
        </w:fldChar>
      </w:r>
      <w:r>
        <w:rPr>
          <w:rFonts w:ascii="Calibri" w:hAnsi="Calibri" w:cs="Calibri"/>
        </w:rPr>
        <w:instrText xml:space="preserve"> ADDIN EN.CITE </w:instrText>
      </w:r>
      <w:r>
        <w:rPr>
          <w:rFonts w:ascii="Calibri" w:hAnsi="Calibri" w:cs="Calibri"/>
        </w:rPr>
        <w:fldChar w:fldCharType="begin">
          <w:fldData xml:space="preserve">PEVuZE5vdGU+PENpdGU+PEF1dGhvcj5IZWxzZWRpcmVrdG9yYXRldDwvQXV0aG9yPjxZZWFyPjIw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</w:fldData>
        </w:fldChar>
      </w:r>
      <w:r>
        <w:rPr>
          <w:rFonts w:ascii="Calibri" w:hAnsi="Calibri" w:cs="Calibri"/>
        </w:rPr>
        <w:instrText xml:space="preserve"> ADDIN EN.CITE.DATA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[</w:t>
      </w:r>
      <w:hyperlink w:anchor="_ENREF_1" w:tooltip="Helsedirektoratet, 2020 #1481" w:history="1">
        <w:r>
          <w:rPr>
            <w:rFonts w:ascii="Calibri" w:hAnsi="Calibri" w:cs="Calibri"/>
            <w:noProof/>
          </w:rPr>
          <w:t>1-4</w:t>
        </w:r>
      </w:hyperlink>
      <w:r>
        <w:rPr>
          <w:rFonts w:ascii="Calibri" w:hAnsi="Calibri" w:cs="Calibri"/>
          <w:noProof/>
        </w:rPr>
        <w:t>]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 For andre entiteter vil dosering og fraksjonering bestemmes på bakgrunn av individuelle vurderinger som svulsttype, internasjonale retningslinjer, relevante pu</w:t>
      </w:r>
      <w:r>
        <w:rPr>
          <w:rFonts w:ascii="Calibri" w:hAnsi="Calibri" w:cs="Calibri"/>
        </w:rPr>
        <w:t xml:space="preserve">blikasjoner og andre faktorer inkludert histologi og allmenntilstand. </w:t>
      </w:r>
      <w:r>
        <w:t xml:space="preserve">Dosering vil ofte være 1.8 Gy (RBE) x 28-33 til 50.4-59.4 Gy (RBE), men dette kan variere. </w:t>
      </w:r>
      <w:r>
        <w:rPr>
          <w:color w:val="000000" w:themeColor="text1"/>
        </w:rPr>
        <w:t xml:space="preserve">Det er heller ikke gitt at noen av diagnosene under skal behandles med protonterapi. </w:t>
      </w:r>
      <w:r w:rsidRPr="00E85063">
        <w:rPr>
          <w:color w:val="000000" w:themeColor="text1"/>
        </w:rPr>
        <w:t>For alle h</w:t>
      </w:r>
      <w:r w:rsidRPr="00E85063">
        <w:rPr>
          <w:color w:val="000000" w:themeColor="text1"/>
        </w:rPr>
        <w:t xml:space="preserve">jernesvulstentitetene i </w:t>
      </w:r>
      <w:r>
        <w:fldChar w:fldCharType="begin"/>
      </w:r>
      <w:r>
        <w:instrText xml:space="preserve"> REF _Ref149742545 \h </w:instrText>
      </w:r>
      <w:r>
        <w:fldChar w:fldCharType="separate"/>
      </w:r>
      <w:r w:rsidRPr="00CF7D0E">
        <w:t xml:space="preserve">Tabell </w:t>
      </w:r>
      <w:r>
        <w:t>1</w:t>
      </w:r>
      <w:r>
        <w:fldChar w:fldCharType="end"/>
      </w:r>
      <w:r>
        <w:t xml:space="preserve"> og </w:t>
      </w:r>
      <w:r>
        <w:fldChar w:fldCharType="begin"/>
      </w:r>
      <w:r>
        <w:instrText xml:space="preserve"> REF _Ref152333111 \h </w:instrText>
      </w:r>
      <w:r>
        <w:fldChar w:fldCharType="separate"/>
      </w:r>
      <w:r w:rsidRPr="00CF7D0E">
        <w:t xml:space="preserve">Tabell </w:t>
      </w:r>
      <w:r>
        <w:t>2</w:t>
      </w:r>
      <w:r>
        <w:fldChar w:fldCharType="end"/>
      </w:r>
      <w:r>
        <w:t xml:space="preserve"> bør man oftest lage sammenlikne</w:t>
      </w:r>
      <w:r>
        <w:t xml:space="preserve">nde planer for å vurdere om protonterapi antas bedre enn fotonbestråling. </w:t>
      </w:r>
      <w:r w:rsidRPr="00CF7D0E">
        <w:t>På generell basis vil det være mindre aktuelt med protonterapi for eldre og/eller allment påvirkede pasienter hvor man gir hypofraksjonert strålebehandling. Dette er imidlertid i</w:t>
      </w:r>
      <w:r>
        <w:t xml:space="preserve">kke </w:t>
      </w:r>
      <w:r>
        <w:t xml:space="preserve">i seg selv ekskluderende. </w:t>
      </w:r>
      <w:r>
        <w:rPr>
          <w:color w:val="000000" w:themeColor="text1"/>
        </w:rPr>
        <w:t>For utfyllende informasjon om pasientseleksjon til protonterapi, se [</w:t>
      </w:r>
      <w:r>
        <w:rPr>
          <w:color w:val="0000FF"/>
        </w:rPr>
        <w:t>REF! &lt;pasientseleksjon&gt;under arbeid</w:t>
      </w:r>
      <w:r>
        <w:rPr>
          <w:color w:val="000000" w:themeColor="text1"/>
        </w:rPr>
        <w:t>].</w:t>
      </w:r>
    </w:p>
    <w:p w:rsidR="009D6480" w:rsidP="009D6480" w14:paraId="10AB24C2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9D6480" w:rsidRPr="00CF7D0E" w:rsidP="009D6480" w14:paraId="10ADED5D" w14:textId="77777777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Perifert beliggende benigne tumorer inkludert</w:t>
      </w:r>
      <w:r w:rsidRPr="00CF7D0E">
        <w:rPr>
          <w:color w:val="000000" w:themeColor="text1"/>
        </w:rPr>
        <w:t xml:space="preserve"> meningeomer er de hyppigst forekommende hjernesvulstentitetene hvor man ser </w:t>
      </w:r>
      <w:r w:rsidRPr="00CF7D0E">
        <w:rPr>
          <w:color w:val="000000" w:themeColor="text1"/>
        </w:rPr>
        <w:t xml:space="preserve">for seg at protonterapi potensielt </w:t>
      </w:r>
      <w:r>
        <w:rPr>
          <w:color w:val="000000" w:themeColor="text1"/>
        </w:rPr>
        <w:t>kan</w:t>
      </w:r>
      <w:r w:rsidRPr="00CF7D0E">
        <w:rPr>
          <w:color w:val="000000" w:themeColor="text1"/>
        </w:rPr>
        <w:t xml:space="preserve"> være nyttig. </w:t>
      </w:r>
      <w:r>
        <w:rPr>
          <w:color w:val="000000" w:themeColor="text1"/>
        </w:rPr>
        <w:t>Sammenliknende doseplanlegging vil likevel oftest være å foretrekke.</w:t>
      </w:r>
      <w:r w:rsidRPr="00CF7D0E">
        <w:rPr>
          <w:color w:val="000000" w:themeColor="text1"/>
        </w:rPr>
        <w:t xml:space="preserve"> De </w:t>
      </w:r>
      <w:r>
        <w:rPr>
          <w:color w:val="000000" w:themeColor="text1"/>
        </w:rPr>
        <w:t xml:space="preserve">IDH-muterte </w:t>
      </w:r>
      <w:r w:rsidRPr="00CF7D0E">
        <w:rPr>
          <w:color w:val="000000" w:themeColor="text1"/>
        </w:rPr>
        <w:t xml:space="preserve">diffuse gliomene grad 2 og 3 </w:t>
      </w:r>
      <w:r>
        <w:rPr>
          <w:color w:val="000000" w:themeColor="text1"/>
        </w:rPr>
        <w:t xml:space="preserve">er </w:t>
      </w:r>
      <w:r w:rsidRPr="00CF7D0E">
        <w:rPr>
          <w:color w:val="000000" w:themeColor="text1"/>
        </w:rPr>
        <w:t>tilsvarende, men med et større spørsmåls</w:t>
      </w:r>
      <w:r w:rsidRPr="00CF7D0E">
        <w:rPr>
          <w:color w:val="000000" w:themeColor="text1"/>
        </w:rPr>
        <w:t xml:space="preserve">tegn på grunn av sin diffuse svulstutbredelse. Av den grunn randomiseres de i PRO-GLIO-studien </w:t>
      </w:r>
      <w:r>
        <w:rPr>
          <w:color w:val="000000" w:themeColor="text1"/>
        </w:rPr>
        <w:fldChar w:fldCharType="begin">
          <w:fldData xml:space="preserve">PEVuZE5vdGU+PENpdGU+PEF1dGhvcj5IZWdnZWLDuDwvQXV0aG9yPjxZZWFyPjIwMjM8L1llYXI+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</w:fldData>
        </w:fldChar>
      </w:r>
      <w:r>
        <w:rPr>
          <w:color w:val="000000" w:themeColor="text1"/>
        </w:rPr>
        <w:instrText xml:space="preserve"> ADDIN EN.CITE </w:instrText>
      </w:r>
      <w:r>
        <w:rPr>
          <w:color w:val="000000" w:themeColor="text1"/>
        </w:rPr>
        <w:fldChar w:fldCharType="begin">
          <w:fldData xml:space="preserve">PEVuZE5vdGU+PENpdGU+PEF1dGhvcj5IZWdnZWLDuDwvQXV0aG9yPjxZZWFyPjIwMjM8L1llYXI+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</w:fldData>
        </w:fldChar>
      </w:r>
      <w:r>
        <w:rPr>
          <w:color w:val="000000" w:themeColor="text1"/>
        </w:rPr>
        <w:instrText xml:space="preserve"> ADDIN EN.CITE.DATA </w:instrText>
      </w:r>
      <w:r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[</w:t>
      </w:r>
      <w:hyperlink w:anchor="_ENREF_5" w:tooltip="Heggebø, 2023 #1480" w:history="1">
        <w:r>
          <w:rPr>
            <w:noProof/>
            <w:color w:val="000000" w:themeColor="text1"/>
          </w:rPr>
          <w:t>5</w:t>
        </w:r>
      </w:hyperlink>
      <w:r>
        <w:rPr>
          <w:noProof/>
          <w:color w:val="000000" w:themeColor="text1"/>
        </w:rPr>
        <w:t>]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>.</w:t>
      </w:r>
    </w:p>
    <w:p w:rsidR="009D6480" w:rsidRPr="00CF7D0E" w:rsidP="009D6480" w14:paraId="7B77B5D0" w14:textId="77777777">
      <w:pPr>
        <w:autoSpaceDE w:val="0"/>
        <w:autoSpaceDN w:val="0"/>
        <w:adjustRightInd w:val="0"/>
        <w:rPr>
          <w:color w:val="FF0000"/>
        </w:rPr>
      </w:pPr>
    </w:p>
    <w:p w:rsidR="009D6480" w:rsidRPr="006D4406" w:rsidP="009D6480" w14:paraId="3A86F322" w14:textId="77777777">
      <w:pPr>
        <w:pStyle w:val="Caption"/>
        <w:keepNext/>
      </w:pPr>
      <w:bookmarkStart w:id="2" w:name="_Ref149742545"/>
      <w:r w:rsidRPr="00CF7D0E"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1</w:t>
      </w:r>
      <w:r>
        <w:rPr>
          <w:noProof/>
        </w:rPr>
        <w:fldChar w:fldCharType="end"/>
      </w:r>
      <w:bookmarkEnd w:id="2"/>
      <w:r w:rsidRPr="00CF7D0E">
        <w:t xml:space="preserve"> </w:t>
      </w:r>
      <w:r w:rsidRPr="006D4406">
        <w:t>Fraksjoneringsmønstre for de hyppigst forekommende hjernesvulstentitetene.</w:t>
      </w:r>
    </w:p>
    <w:tbl>
      <w:tblPr>
        <w:tblStyle w:val="ListTable4Accent1"/>
        <w:tblW w:w="0" w:type="auto"/>
        <w:tblLook w:val="04A0"/>
      </w:tblPr>
      <w:tblGrid>
        <w:gridCol w:w="1696"/>
        <w:gridCol w:w="2552"/>
        <w:gridCol w:w="2835"/>
      </w:tblGrid>
      <w:tr w14:paraId="3FA5F927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CF7D0E" w:rsidP="00D70046" w14:paraId="662A41E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:rsidR="009D6480" w:rsidRPr="00FD6346" w:rsidP="00D70046" w14:paraId="7E2E4F7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FD6346">
              <w:rPr>
                <w:rFonts w:ascii="Calibri" w:hAnsi="Calibri" w:cs="Calibri"/>
                <w:sz w:val="16"/>
                <w:szCs w:val="24"/>
              </w:rPr>
              <w:t>Diagnosegruppe</w:t>
            </w:r>
          </w:p>
        </w:tc>
        <w:tc>
          <w:tcPr>
            <w:tcW w:w="2835" w:type="dxa"/>
          </w:tcPr>
          <w:p w:rsidR="009D6480" w:rsidRPr="00FD6346" w:rsidP="00D70046" w14:paraId="51AB9CA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FD6346">
              <w:rPr>
                <w:rFonts w:ascii="Calibri" w:hAnsi="Calibri" w:cs="Calibri"/>
                <w:sz w:val="16"/>
                <w:szCs w:val="24"/>
              </w:rPr>
              <w:t>Fraksjonering</w:t>
            </w:r>
          </w:p>
        </w:tc>
      </w:tr>
      <w:tr w14:paraId="3E482FE0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141ACA" w:rsidP="00D70046" w14:paraId="5D542D6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141ACA">
              <w:rPr>
                <w:rFonts w:ascii="Calibri" w:hAnsi="Calibri" w:cs="Calibri"/>
                <w:sz w:val="16"/>
                <w:szCs w:val="24"/>
              </w:rPr>
              <w:t>Meningeomer</w:t>
            </w:r>
          </w:p>
        </w:tc>
        <w:tc>
          <w:tcPr>
            <w:tcW w:w="2552" w:type="dxa"/>
          </w:tcPr>
          <w:p w:rsidR="009D6480" w:rsidRPr="00CF7D0E" w:rsidP="00D70046" w14:paraId="015D9E69" w14:textId="77777777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2835" w:type="dxa"/>
          </w:tcPr>
          <w:p w:rsidR="009D6480" w:rsidRPr="00CF7D0E" w:rsidP="00D70046" w14:paraId="7F92D026" w14:textId="77777777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</w:tr>
      <w:tr w14:paraId="384FB834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141ACA" w:rsidP="00D70046" w14:paraId="7261834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:rsidR="009D6480" w:rsidRPr="00CF7D0E" w:rsidP="00D70046" w14:paraId="21F74CDC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Meningeom WHO grad 1</w:t>
            </w:r>
          </w:p>
        </w:tc>
        <w:tc>
          <w:tcPr>
            <w:tcW w:w="2835" w:type="dxa"/>
          </w:tcPr>
          <w:p w:rsidR="009D6480" w:rsidRPr="00CF7D0E" w:rsidP="00D70046" w14:paraId="274C61C6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50.4-54</w:t>
            </w:r>
            <w:r>
              <w:rPr>
                <w:rFonts w:ascii="Calibri" w:hAnsi="Calibri" w:cs="Calibri"/>
                <w:sz w:val="16"/>
                <w:szCs w:val="24"/>
              </w:rPr>
              <w:t>.0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 (59.4) Gy</w:t>
            </w:r>
            <w:r>
              <w:rPr>
                <w:rFonts w:ascii="Calibri" w:hAnsi="Calibri" w:cs="Calibri"/>
                <w:sz w:val="16"/>
                <w:szCs w:val="24"/>
              </w:rPr>
              <w:t xml:space="preserve"> 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(RBE) / 28-30</w:t>
            </w:r>
            <w:r>
              <w:rPr>
                <w:rFonts w:ascii="Calibri" w:hAnsi="Calibri" w:cs="Calibri"/>
                <w:sz w:val="16"/>
                <w:szCs w:val="24"/>
              </w:rPr>
              <w:t xml:space="preserve"> 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(33) 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fx</w:t>
            </w:r>
          </w:p>
        </w:tc>
      </w:tr>
      <w:tr w14:paraId="3D58F580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141ACA" w:rsidP="00D70046" w14:paraId="655A8379" w14:textId="7777777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52" w:type="dxa"/>
          </w:tcPr>
          <w:p w:rsidR="009D6480" w:rsidRPr="00CF7D0E" w:rsidP="00D70046" w14:paraId="5C7297F7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Meningeom WHO grad 2-3</w:t>
            </w:r>
            <w:r>
              <w:rPr>
                <w:rFonts w:ascii="Calibri" w:hAnsi="Calibri" w:cs="Calibri"/>
                <w:sz w:val="16"/>
                <w:szCs w:val="24"/>
              </w:rPr>
              <w:t>*</w:t>
            </w:r>
          </w:p>
        </w:tc>
        <w:tc>
          <w:tcPr>
            <w:tcW w:w="2835" w:type="dxa"/>
          </w:tcPr>
          <w:p w:rsidR="009D6480" w:rsidRPr="00CF7D0E" w:rsidP="00D70046" w14:paraId="333CC4DC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59.4-60</w:t>
            </w:r>
            <w:r>
              <w:rPr>
                <w:rFonts w:ascii="Calibri" w:hAnsi="Calibri" w:cs="Calibri"/>
                <w:sz w:val="16"/>
                <w:szCs w:val="24"/>
              </w:rPr>
              <w:t>.0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 Gy</w:t>
            </w:r>
            <w:r>
              <w:rPr>
                <w:rFonts w:ascii="Calibri" w:hAnsi="Calibri" w:cs="Calibri"/>
                <w:sz w:val="16"/>
                <w:szCs w:val="24"/>
              </w:rPr>
              <w:t xml:space="preserve"> 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(RBE) / 30-33 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fx</w:t>
            </w:r>
          </w:p>
        </w:tc>
      </w:tr>
      <w:tr w14:paraId="4ADCE8D3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141ACA" w:rsidP="00D70046" w14:paraId="18CF1794" w14:textId="7777777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41ACA">
              <w:rPr>
                <w:rFonts w:ascii="Calibri" w:hAnsi="Calibri" w:cs="Calibri"/>
                <w:sz w:val="16"/>
                <w:szCs w:val="24"/>
              </w:rPr>
              <w:t>Hypofyseadenomer</w:t>
            </w:r>
          </w:p>
        </w:tc>
        <w:tc>
          <w:tcPr>
            <w:tcW w:w="2552" w:type="dxa"/>
          </w:tcPr>
          <w:p w:rsidR="009D6480" w:rsidRPr="00CF7D0E" w:rsidP="00D70046" w14:paraId="5BC847B4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</w:p>
        </w:tc>
        <w:tc>
          <w:tcPr>
            <w:tcW w:w="2835" w:type="dxa"/>
          </w:tcPr>
          <w:p w:rsidR="009D6480" w:rsidRPr="00CF7D0E" w:rsidP="00D70046" w14:paraId="2D73B469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</w:p>
        </w:tc>
      </w:tr>
      <w:tr w14:paraId="16F021EF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141ACA" w:rsidP="00D70046" w14:paraId="17DCC7D6" w14:textId="7777777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52" w:type="dxa"/>
          </w:tcPr>
          <w:p w:rsidR="009D6480" w:rsidRPr="00CF7D0E" w:rsidP="00D70046" w14:paraId="0BEB26C6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Non-funksjonelt hypofyseadenom</w:t>
            </w:r>
          </w:p>
        </w:tc>
        <w:tc>
          <w:tcPr>
            <w:tcW w:w="2835" w:type="dxa"/>
          </w:tcPr>
          <w:p w:rsidR="009D6480" w:rsidRPr="00CF7D0E" w:rsidP="00D70046" w14:paraId="573B3F16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>
              <w:rPr>
                <w:rFonts w:ascii="Calibri" w:hAnsi="Calibri" w:cs="Calibri"/>
                <w:sz w:val="16"/>
                <w:szCs w:val="24"/>
              </w:rPr>
              <w:t>50.4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(</w:t>
            </w:r>
            <w:r>
              <w:rPr>
                <w:rFonts w:ascii="Calibri" w:hAnsi="Calibri" w:cs="Calibri"/>
                <w:sz w:val="16"/>
                <w:szCs w:val="24"/>
              </w:rPr>
              <w:t>-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54</w:t>
            </w:r>
            <w:r>
              <w:rPr>
                <w:rFonts w:ascii="Calibri" w:hAnsi="Calibri" w:cs="Calibri"/>
                <w:sz w:val="16"/>
                <w:szCs w:val="24"/>
              </w:rPr>
              <w:t>.0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) Gy</w:t>
            </w:r>
            <w:r>
              <w:rPr>
                <w:rFonts w:ascii="Calibri" w:hAnsi="Calibri" w:cs="Calibri"/>
                <w:sz w:val="16"/>
                <w:szCs w:val="24"/>
              </w:rPr>
              <w:t xml:space="preserve"> 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(RBE) / 28(</w:t>
            </w:r>
            <w:r>
              <w:rPr>
                <w:rFonts w:ascii="Calibri" w:hAnsi="Calibri" w:cs="Calibri"/>
                <w:sz w:val="16"/>
                <w:szCs w:val="24"/>
              </w:rPr>
              <w:t>-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30) 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fx</w:t>
            </w:r>
          </w:p>
        </w:tc>
      </w:tr>
      <w:tr w14:paraId="17730C35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141ACA" w:rsidP="00D70046" w14:paraId="155299BB" w14:textId="7777777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52" w:type="dxa"/>
          </w:tcPr>
          <w:p w:rsidR="009D6480" w:rsidRPr="00CF7D0E" w:rsidP="00D70046" w14:paraId="1CE04E7D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Funksjonelt hypofyseadenom</w:t>
            </w:r>
          </w:p>
        </w:tc>
        <w:tc>
          <w:tcPr>
            <w:tcW w:w="2835" w:type="dxa"/>
          </w:tcPr>
          <w:p w:rsidR="009D6480" w:rsidRPr="007A39DA" w:rsidP="00D70046" w14:paraId="642FC3AF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  <w:lang w:val="en-US"/>
              </w:rPr>
            </w:pP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>(50.4</w:t>
            </w:r>
            <w:r>
              <w:rPr>
                <w:rFonts w:ascii="Calibri" w:hAnsi="Calibri" w:cs="Calibri"/>
                <w:sz w:val="16"/>
                <w:szCs w:val="24"/>
                <w:lang w:val="en-US"/>
              </w:rPr>
              <w:t>-</w:t>
            </w: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>)54.</w:t>
            </w:r>
            <w:r>
              <w:rPr>
                <w:rFonts w:ascii="Calibri" w:hAnsi="Calibri" w:cs="Calibri"/>
                <w:sz w:val="16"/>
                <w:szCs w:val="24"/>
                <w:lang w:val="en-US"/>
              </w:rPr>
              <w:t>0</w:t>
            </w: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</w:t>
            </w: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>Gy</w:t>
            </w: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(RBE) / (28</w:t>
            </w:r>
            <w:r>
              <w:rPr>
                <w:rFonts w:ascii="Calibri" w:hAnsi="Calibri" w:cs="Calibri"/>
                <w:sz w:val="16"/>
                <w:szCs w:val="24"/>
                <w:lang w:val="en-US"/>
              </w:rPr>
              <w:t>-)</w:t>
            </w: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 xml:space="preserve">30 </w:t>
            </w: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>fx</w:t>
            </w:r>
          </w:p>
        </w:tc>
      </w:tr>
      <w:tr w14:paraId="2111C0A8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141ACA" w:rsidP="00D70046" w14:paraId="33A81BDB" w14:textId="77777777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141ACA">
              <w:rPr>
                <w:rFonts w:ascii="Calibri" w:hAnsi="Calibri" w:cs="Calibri"/>
                <w:sz w:val="16"/>
                <w:szCs w:val="24"/>
                <w:lang w:val="en-US"/>
              </w:rPr>
              <w:t>Gliomer</w:t>
            </w:r>
            <w:r w:rsidRPr="00141ACA">
              <w:rPr>
                <w:rFonts w:ascii="Calibri" w:hAnsi="Calibri" w:cs="Calibri"/>
                <w:sz w:val="16"/>
                <w:szCs w:val="24"/>
                <w:lang w:val="en-US"/>
              </w:rPr>
              <w:t>**</w:t>
            </w:r>
          </w:p>
        </w:tc>
        <w:tc>
          <w:tcPr>
            <w:tcW w:w="2552" w:type="dxa"/>
          </w:tcPr>
          <w:p w:rsidR="009D6480" w:rsidRPr="007A39DA" w:rsidP="00D70046" w14:paraId="534168CA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9D6480" w:rsidRPr="007A39DA" w:rsidP="00D70046" w14:paraId="0F5DEB1F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  <w:lang w:val="en-US"/>
              </w:rPr>
            </w:pPr>
          </w:p>
        </w:tc>
      </w:tr>
      <w:tr w14:paraId="04B3D4B8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7A39DA" w:rsidP="00D70046" w14:paraId="4118AFF1" w14:textId="77777777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</w:p>
        </w:tc>
        <w:tc>
          <w:tcPr>
            <w:tcW w:w="2552" w:type="dxa"/>
          </w:tcPr>
          <w:p w:rsidR="009D6480" w:rsidRPr="00F163C9" w:rsidP="00D70046" w14:paraId="6B22924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  <w:lang w:val="en-US"/>
              </w:rPr>
            </w:pP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Diffust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astrocytom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WHO grad 3</w:t>
            </w:r>
          </w:p>
          <w:p w:rsidR="009D6480" w:rsidRPr="00F163C9" w:rsidP="00D70046" w14:paraId="2851C26C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  <w:lang w:val="en-US"/>
              </w:rPr>
            </w:pP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Oligodendrogliom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WHO grad 3</w:t>
            </w:r>
          </w:p>
        </w:tc>
        <w:tc>
          <w:tcPr>
            <w:tcW w:w="2835" w:type="dxa"/>
          </w:tcPr>
          <w:p w:rsidR="009D6480" w:rsidRPr="007A39DA" w:rsidP="00D70046" w14:paraId="639C77FB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  <w:lang w:val="en-US"/>
              </w:rPr>
            </w:pP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 xml:space="preserve">59.4 </w:t>
            </w: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>Gy</w:t>
            </w: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(RBE) / 33 </w:t>
            </w:r>
            <w:r w:rsidRPr="007A39DA">
              <w:rPr>
                <w:rFonts w:ascii="Calibri" w:hAnsi="Calibri" w:cs="Calibri"/>
                <w:sz w:val="16"/>
                <w:szCs w:val="24"/>
                <w:lang w:val="en-US"/>
              </w:rPr>
              <w:t>fx</w:t>
            </w:r>
          </w:p>
        </w:tc>
      </w:tr>
      <w:tr w14:paraId="28EDA68A" w14:textId="77777777" w:rsidTr="000F44D2">
        <w:tblPrEx>
          <w:tblW w:w="0" w:type="auto"/>
          <w:tblLook w:val="04A0"/>
        </w:tblPrEx>
        <w:tc>
          <w:tcPr>
            <w:tcW w:w="1696" w:type="dxa"/>
          </w:tcPr>
          <w:p w:rsidR="009D6480" w:rsidRPr="007A39DA" w:rsidP="00D70046" w14:paraId="01F445FA" w14:textId="77777777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</w:p>
        </w:tc>
        <w:tc>
          <w:tcPr>
            <w:tcW w:w="2552" w:type="dxa"/>
          </w:tcPr>
          <w:p w:rsidR="009D6480" w:rsidRPr="00F163C9" w:rsidP="00D70046" w14:paraId="132D44F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  <w:lang w:val="en-US"/>
              </w:rPr>
            </w:pP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Diffust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astrocytom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WHO grad 2</w:t>
            </w:r>
          </w:p>
          <w:p w:rsidR="009D6480" w:rsidRPr="00F163C9" w:rsidP="00D70046" w14:paraId="4ABB739A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  <w:lang w:val="en-US"/>
              </w:rPr>
            </w:pP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Oligodendrogliom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WHO grad 2</w:t>
            </w:r>
          </w:p>
        </w:tc>
        <w:tc>
          <w:tcPr>
            <w:tcW w:w="2835" w:type="dxa"/>
          </w:tcPr>
          <w:p w:rsidR="009D6480" w:rsidRPr="00CF7D0E" w:rsidP="00D70046" w14:paraId="144EAA72" w14:textId="77777777">
            <w:pPr>
              <w:autoSpaceDE w:val="0"/>
              <w:autoSpaceDN w:val="0"/>
              <w:adjustRightInd w:val="0"/>
              <w:rPr>
                <w:color w:val="FF0000"/>
                <w:sz w:val="16"/>
              </w:rPr>
            </w:pPr>
            <w:r>
              <w:rPr>
                <w:rFonts w:ascii="Calibri" w:hAnsi="Calibri" w:cs="Calibri"/>
                <w:sz w:val="16"/>
                <w:szCs w:val="24"/>
              </w:rPr>
              <w:t>(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50.4-</w:t>
            </w:r>
            <w:r>
              <w:rPr>
                <w:rFonts w:ascii="Calibri" w:hAnsi="Calibri" w:cs="Calibri"/>
                <w:sz w:val="16"/>
                <w:szCs w:val="24"/>
              </w:rPr>
              <w:t>)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54</w:t>
            </w:r>
            <w:r>
              <w:rPr>
                <w:rFonts w:ascii="Calibri" w:hAnsi="Calibri" w:cs="Calibri"/>
                <w:sz w:val="16"/>
                <w:szCs w:val="24"/>
              </w:rPr>
              <w:t>.0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 Gy</w:t>
            </w:r>
            <w:r>
              <w:rPr>
                <w:rFonts w:ascii="Calibri" w:hAnsi="Calibri" w:cs="Calibri"/>
                <w:sz w:val="16"/>
                <w:szCs w:val="24"/>
              </w:rPr>
              <w:t xml:space="preserve"> 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(RBE) / </w:t>
            </w:r>
            <w:r>
              <w:rPr>
                <w:rFonts w:ascii="Calibri" w:hAnsi="Calibri" w:cs="Calibri"/>
                <w:sz w:val="16"/>
                <w:szCs w:val="24"/>
              </w:rPr>
              <w:t>(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28-</w:t>
            </w:r>
            <w:r>
              <w:rPr>
                <w:rFonts w:ascii="Calibri" w:hAnsi="Calibri" w:cs="Calibri"/>
                <w:sz w:val="16"/>
                <w:szCs w:val="24"/>
              </w:rPr>
              <w:t>)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30 </w:t>
            </w:r>
            <w:r w:rsidRPr="00CF7D0E">
              <w:rPr>
                <w:rFonts w:ascii="Calibri" w:hAnsi="Calibri" w:cs="Calibri"/>
                <w:sz w:val="16"/>
                <w:szCs w:val="24"/>
              </w:rPr>
              <w:t>fx</w:t>
            </w:r>
          </w:p>
        </w:tc>
      </w:tr>
    </w:tbl>
    <w:p w:rsidR="009D6480" w:rsidP="009D6480" w14:paraId="401ACEC7" w14:textId="7777777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* Fotonbehandling ved lokalsykehus vil ofte bli anbefalt ved </w:t>
      </w:r>
      <w:r>
        <w:rPr>
          <w:sz w:val="16"/>
          <w:szCs w:val="16"/>
        </w:rPr>
        <w:t>grad 3 meningeomer</w:t>
      </w:r>
    </w:p>
    <w:p w:rsidR="009D6480" w:rsidP="009D6480" w14:paraId="5F7B8F8B" w14:textId="77777777">
      <w:pPr>
        <w:pStyle w:val="NoSpacing"/>
        <w:ind w:right="1984"/>
        <w:rPr>
          <w:sz w:val="16"/>
          <w:szCs w:val="16"/>
        </w:rPr>
      </w:pPr>
      <w:r>
        <w:rPr>
          <w:sz w:val="16"/>
          <w:szCs w:val="16"/>
        </w:rPr>
        <w:t>*</w:t>
      </w:r>
      <w:r w:rsidRPr="00DF3584">
        <w:rPr>
          <w:sz w:val="16"/>
          <w:szCs w:val="16"/>
        </w:rPr>
        <w:t xml:space="preserve">* </w:t>
      </w:r>
      <w:r w:rsidRPr="00DF3584">
        <w:rPr>
          <w:sz w:val="16"/>
          <w:szCs w:val="16"/>
        </w:rPr>
        <w:t>Astrocytomer</w:t>
      </w:r>
      <w:r w:rsidRPr="00DF3584">
        <w:rPr>
          <w:sz w:val="16"/>
          <w:szCs w:val="16"/>
        </w:rPr>
        <w:t xml:space="preserve"> og </w:t>
      </w:r>
      <w:r w:rsidRPr="00DF3584">
        <w:rPr>
          <w:sz w:val="16"/>
          <w:szCs w:val="16"/>
        </w:rPr>
        <w:t>oligodendrogliomer</w:t>
      </w:r>
      <w:r w:rsidRPr="00DF3584">
        <w:rPr>
          <w:sz w:val="16"/>
          <w:szCs w:val="16"/>
        </w:rPr>
        <w:t xml:space="preserve"> grad 2-3 bør fortrinnsvis behandles innenfor PRO-GLIO-studien, det vil si randomisering mellom proton- og </w:t>
      </w:r>
      <w:r w:rsidRPr="00DF3584">
        <w:rPr>
          <w:sz w:val="16"/>
          <w:szCs w:val="16"/>
        </w:rPr>
        <w:t>fotonterapi</w:t>
      </w:r>
      <w:r w:rsidRPr="00DF3584">
        <w:rPr>
          <w:sz w:val="16"/>
          <w:szCs w:val="16"/>
        </w:rPr>
        <w:t xml:space="preserve"> samt strukturert oppfølging</w:t>
      </w:r>
      <w:r>
        <w:rPr>
          <w:sz w:val="16"/>
          <w:szCs w:val="16"/>
        </w:rPr>
        <w:t>.</w:t>
      </w:r>
    </w:p>
    <w:p w:rsidR="009D6480" w:rsidRPr="00CF7D0E" w:rsidP="009D6480" w14:paraId="223EACE0" w14:textId="77777777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9D6480" w:rsidRPr="00CF7D0E" w:rsidP="009D6480" w14:paraId="597ADDFF" w14:textId="77777777">
      <w:pPr>
        <w:pStyle w:val="Caption"/>
        <w:keepNext/>
      </w:pPr>
      <w:bookmarkStart w:id="3" w:name="_Ref152333111"/>
      <w:r w:rsidRPr="00CF7D0E"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2</w:t>
      </w:r>
      <w:r>
        <w:rPr>
          <w:noProof/>
        </w:rPr>
        <w:fldChar w:fldCharType="end"/>
      </w:r>
      <w:bookmarkEnd w:id="3"/>
      <w:r w:rsidRPr="00CF7D0E">
        <w:t xml:space="preserve"> Andre nevroonkologiske entiteter aktuelle for protonterapi</w:t>
      </w:r>
      <w:r>
        <w:t>.</w:t>
      </w:r>
    </w:p>
    <w:tbl>
      <w:tblPr>
        <w:tblStyle w:val="ListTable4Accent1"/>
        <w:tblW w:w="0" w:type="auto"/>
        <w:tblLook w:val="04A0"/>
      </w:tblPr>
      <w:tblGrid>
        <w:gridCol w:w="7083"/>
      </w:tblGrid>
      <w:tr w14:paraId="6D3BD181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CF7D0E" w:rsidP="00D70046" w14:paraId="59A36A8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FD6346">
              <w:rPr>
                <w:rFonts w:ascii="Calibri" w:hAnsi="Calibri" w:cs="Calibri"/>
                <w:sz w:val="16"/>
                <w:szCs w:val="24"/>
              </w:rPr>
              <w:t>Diagnose</w:t>
            </w:r>
          </w:p>
        </w:tc>
      </w:tr>
      <w:tr w14:paraId="1BCAB94B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2AE12EB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 xml:space="preserve">Andre gliomer (inkludert </w:t>
            </w:r>
            <w:r w:rsidRPr="00141ACA">
              <w:rPr>
                <w:b w:val="0"/>
                <w:sz w:val="16"/>
              </w:rPr>
              <w:t>ependymomer</w:t>
            </w:r>
            <w:r w:rsidRPr="00141ACA">
              <w:rPr>
                <w:b w:val="0"/>
                <w:sz w:val="16"/>
              </w:rPr>
              <w:t xml:space="preserve"> og </w:t>
            </w:r>
            <w:r w:rsidRPr="00141ACA">
              <w:rPr>
                <w:b w:val="0"/>
                <w:sz w:val="16"/>
              </w:rPr>
              <w:t>pilocytiske</w:t>
            </w:r>
            <w:r w:rsidRPr="00141ACA">
              <w:rPr>
                <w:b w:val="0"/>
                <w:sz w:val="16"/>
              </w:rPr>
              <w:t xml:space="preserve"> </w:t>
            </w:r>
            <w:r w:rsidRPr="00141ACA">
              <w:rPr>
                <w:b w:val="0"/>
                <w:sz w:val="16"/>
              </w:rPr>
              <w:t>astrocytomer</w:t>
            </w:r>
            <w:r w:rsidRPr="00141ACA">
              <w:rPr>
                <w:b w:val="0"/>
                <w:sz w:val="16"/>
              </w:rPr>
              <w:t xml:space="preserve">) </w:t>
            </w:r>
          </w:p>
        </w:tc>
      </w:tr>
      <w:tr w14:paraId="03916383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4B33214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>Glionevronale</w:t>
            </w:r>
            <w:r w:rsidRPr="00141ACA">
              <w:rPr>
                <w:b w:val="0"/>
                <w:sz w:val="16"/>
              </w:rPr>
              <w:t xml:space="preserve"> og </w:t>
            </w:r>
            <w:r w:rsidRPr="00141ACA">
              <w:rPr>
                <w:b w:val="0"/>
                <w:sz w:val="16"/>
              </w:rPr>
              <w:t>nevronale</w:t>
            </w:r>
            <w:r w:rsidRPr="00141ACA">
              <w:rPr>
                <w:b w:val="0"/>
                <w:sz w:val="16"/>
              </w:rPr>
              <w:t xml:space="preserve"> svulster </w:t>
            </w:r>
          </w:p>
        </w:tc>
      </w:tr>
      <w:tr w14:paraId="448A0440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7BA3589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 xml:space="preserve">Plexussvulster </w:t>
            </w:r>
          </w:p>
        </w:tc>
      </w:tr>
      <w:tr w14:paraId="789931A9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7DD1E70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 xml:space="preserve">Embryonale svulster (inkludert </w:t>
            </w:r>
            <w:r w:rsidRPr="00141ACA">
              <w:rPr>
                <w:b w:val="0"/>
                <w:sz w:val="16"/>
              </w:rPr>
              <w:t>medulloblastomer</w:t>
            </w:r>
            <w:r w:rsidRPr="00141ACA">
              <w:rPr>
                <w:b w:val="0"/>
                <w:sz w:val="16"/>
              </w:rPr>
              <w:t xml:space="preserve">) </w:t>
            </w:r>
          </w:p>
        </w:tc>
      </w:tr>
      <w:tr w14:paraId="01F5D266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2813281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>Pineale</w:t>
            </w:r>
            <w:r w:rsidRPr="00141ACA">
              <w:rPr>
                <w:b w:val="0"/>
                <w:sz w:val="16"/>
              </w:rPr>
              <w:t xml:space="preserve"> svu</w:t>
            </w:r>
            <w:r w:rsidRPr="00141ACA">
              <w:rPr>
                <w:b w:val="0"/>
                <w:sz w:val="16"/>
              </w:rPr>
              <w:t xml:space="preserve">lster </w:t>
            </w:r>
          </w:p>
        </w:tc>
      </w:tr>
      <w:tr w14:paraId="523524C2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4E9556F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 xml:space="preserve">Svulster i kraniale og paraspinale nerver </w:t>
            </w:r>
          </w:p>
        </w:tc>
      </w:tr>
      <w:tr w14:paraId="5604F0F5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5BD002B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>Mesenkymale</w:t>
            </w:r>
            <w:r w:rsidRPr="00141ACA">
              <w:rPr>
                <w:b w:val="0"/>
                <w:sz w:val="16"/>
              </w:rPr>
              <w:t xml:space="preserve"> svulster (inkludert solitære fibrøse </w:t>
            </w:r>
            <w:r w:rsidRPr="00141ACA">
              <w:rPr>
                <w:b w:val="0"/>
                <w:sz w:val="16"/>
              </w:rPr>
              <w:t>tumores</w:t>
            </w:r>
            <w:r w:rsidRPr="00141ACA">
              <w:rPr>
                <w:b w:val="0"/>
                <w:sz w:val="16"/>
              </w:rPr>
              <w:t xml:space="preserve">) </w:t>
            </w:r>
          </w:p>
        </w:tc>
      </w:tr>
      <w:tr w14:paraId="19C98BAC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169CD5F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>Melanocytære</w:t>
            </w:r>
            <w:r w:rsidRPr="00141ACA">
              <w:rPr>
                <w:b w:val="0"/>
                <w:sz w:val="16"/>
              </w:rPr>
              <w:t xml:space="preserve"> svulster </w:t>
            </w:r>
          </w:p>
        </w:tc>
      </w:tr>
      <w:tr w14:paraId="71FE18FF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640013A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>Germinalcellesvulster</w:t>
            </w:r>
            <w:r w:rsidRPr="00141ACA">
              <w:rPr>
                <w:b w:val="0"/>
                <w:sz w:val="16"/>
              </w:rPr>
              <w:t xml:space="preserve"> </w:t>
            </w:r>
          </w:p>
        </w:tc>
      </w:tr>
      <w:tr w14:paraId="158ED0AB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3C11E51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 xml:space="preserve">Andre </w:t>
            </w:r>
            <w:r w:rsidRPr="00141ACA">
              <w:rPr>
                <w:b w:val="0"/>
                <w:sz w:val="16"/>
              </w:rPr>
              <w:t>sellære</w:t>
            </w:r>
            <w:r w:rsidRPr="00141ACA">
              <w:rPr>
                <w:b w:val="0"/>
                <w:sz w:val="16"/>
              </w:rPr>
              <w:t xml:space="preserve"> svulster enn hypofyseadenomer (inkludert </w:t>
            </w:r>
            <w:r w:rsidRPr="00141ACA">
              <w:rPr>
                <w:b w:val="0"/>
                <w:sz w:val="16"/>
              </w:rPr>
              <w:t>kraniofaryngeomer</w:t>
            </w:r>
            <w:r w:rsidRPr="00141ACA">
              <w:rPr>
                <w:b w:val="0"/>
                <w:sz w:val="16"/>
              </w:rPr>
              <w:t xml:space="preserve">) </w:t>
            </w:r>
          </w:p>
        </w:tc>
      </w:tr>
      <w:tr w14:paraId="35D98D55" w14:textId="77777777" w:rsidTr="000F44D2">
        <w:tblPrEx>
          <w:tblW w:w="0" w:type="auto"/>
          <w:tblLook w:val="04A0"/>
        </w:tblPrEx>
        <w:tc>
          <w:tcPr>
            <w:tcW w:w="7083" w:type="dxa"/>
          </w:tcPr>
          <w:p w:rsidR="009D6480" w:rsidRPr="00141ACA" w:rsidP="00D70046" w14:paraId="22E7E8C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141ACA">
              <w:rPr>
                <w:b w:val="0"/>
                <w:sz w:val="16"/>
              </w:rPr>
              <w:t xml:space="preserve">Spinale svulster </w:t>
            </w:r>
          </w:p>
        </w:tc>
      </w:tr>
    </w:tbl>
    <w:p w:rsidR="00DF7BA8" w:rsidRPr="00DF7BA8" w:rsidP="00066A58" w14:paraId="3C743294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EB12D2" w14:paraId="3C743295" w14:textId="1FE992B5">
      <w:pPr>
        <w:pStyle w:val="Heading1"/>
      </w:pPr>
      <w:bookmarkStart w:id="4" w:name="_Toc256000001"/>
      <w:r>
        <w:t>Ansvar</w:t>
      </w:r>
      <w:bookmarkEnd w:id="4"/>
    </w:p>
    <w:p w:rsidR="009D6480" w:rsidRPr="00CF7D0E" w:rsidP="009D6480" w14:paraId="00C3C68A" w14:textId="77777777">
      <w:r>
        <w:t>Denne retningslinjen er utviklet av en gruppe bestående av sentrale fagpersoner innenfor strålebehandling av hjernesvulstentiteter ved Oslo Universitetssykehus og Hau</w:t>
      </w:r>
      <w:r>
        <w:t xml:space="preserve">keland Universitetssykehus. Retningslinjen er avstemt ved </w:t>
      </w:r>
      <w:r w:rsidRPr="007A0934">
        <w:t>stråleterapimiljøer på St. Olavs hospital og Universitetssykehuset Nord-Norge</w:t>
      </w:r>
      <w:r>
        <w:t>.</w:t>
      </w:r>
    </w:p>
    <w:p w:rsidR="00C450FE" w:rsidRPr="00C450FE" w:rsidP="00066A58" w14:paraId="3C743296" w14:textId="77777777">
      <w:pPr>
        <w:spacing w:line="259" w:lineRule="auto"/>
      </w:pPr>
    </w:p>
    <w:p w:rsidR="00DF7BA8" w:rsidP="00EB12D2" w14:paraId="3C743297" w14:textId="058A7029">
      <w:pPr>
        <w:pStyle w:val="Heading1"/>
      </w:pPr>
      <w:bookmarkStart w:id="5" w:name="_Toc256000002"/>
      <w:r>
        <w:t>Bildegrunnlag og fiksering</w:t>
      </w:r>
      <w:bookmarkEnd w:id="5"/>
    </w:p>
    <w:p w:rsidR="009D6480" w:rsidP="009D6480" w14:paraId="6196CFDD" w14:textId="02261B4C">
      <w:r w:rsidRPr="00916340">
        <w:t xml:space="preserve">Se generelle prosedyrer for avbildning </w:t>
      </w:r>
      <w:r>
        <w:t>[</w:t>
      </w:r>
      <w:hyperlink r:id="rId7" w:tooltip="XDF78863" w:history="1">
        <w:r w:rsidRPr="009D6480">
          <w:rPr>
            <w:rStyle w:val="Hyperlink"/>
          </w:rPr>
          <w:fldChar w:fldCharType="begin" w:fldLock="1"/>
        </w:r>
        <w:r w:rsidRPr="009D6480">
          <w:rPr>
            <w:rStyle w:val="Hyperlink"/>
          </w:rPr>
          <w:instrText xml:space="preserve"> DOCPROPERTY XDT78863 *charformat * MERGEFORMAT </w:instrText>
        </w:r>
        <w:r w:rsidRPr="009D6480">
          <w:rPr>
            <w:rStyle w:val="Hyperlink"/>
          </w:rPr>
          <w:fldChar w:fldCharType="separate"/>
        </w:r>
        <w:r w:rsidRPr="009D6480">
          <w:rPr>
            <w:rStyle w:val="Hyperlink"/>
          </w:rPr>
          <w:t>Avbildning for protonterapi - retningslinje</w:t>
        </w:r>
        <w:r w:rsidRPr="009D6480">
          <w:rPr>
            <w:rStyle w:val="Hyperlink"/>
          </w:rPr>
          <w:fldChar w:fldCharType="end"/>
        </w:r>
      </w:hyperlink>
      <w:r>
        <w:t xml:space="preserve">] </w:t>
      </w:r>
      <w:r w:rsidRPr="00916340">
        <w:t xml:space="preserve">og </w:t>
      </w:r>
      <w:r>
        <w:t>fiksering [</w:t>
      </w:r>
      <w:hyperlink r:id="rId8" w:tooltip="XDF78855" w:history="1">
        <w:r w:rsidRPr="009D6480">
          <w:rPr>
            <w:rStyle w:val="Hyperlink"/>
          </w:rPr>
          <w:fldChar w:fldCharType="begin" w:fldLock="1"/>
        </w:r>
        <w:r w:rsidRPr="009D6480">
          <w:rPr>
            <w:rStyle w:val="Hyperlink"/>
          </w:rPr>
          <w:instrText xml:space="preserve"> DOCPROPERTY XDT78855 *charformat * MERGEFORMAT </w:instrText>
        </w:r>
        <w:r w:rsidRPr="009D6480">
          <w:rPr>
            <w:rStyle w:val="Hyperlink"/>
          </w:rPr>
          <w:fldChar w:fldCharType="separate"/>
        </w:r>
        <w:r w:rsidRPr="009D6480">
          <w:rPr>
            <w:rStyle w:val="Hyperlink"/>
          </w:rPr>
          <w:t>Protonfiksering - oversikt</w:t>
        </w:r>
        <w:r w:rsidRPr="009D6480">
          <w:rPr>
            <w:rStyle w:val="Hyperlink"/>
          </w:rPr>
          <w:fldChar w:fldCharType="end"/>
        </w:r>
      </w:hyperlink>
      <w:r>
        <w:t>]. Ved metallimplantater og/eller artefakter se generelle prosedyrer [</w:t>
      </w:r>
      <w:hyperlink r:id="rId9" w:tooltip="XDF78847" w:history="1">
        <w:r w:rsidRPr="009D6480">
          <w:rPr>
            <w:rStyle w:val="Hyperlink"/>
          </w:rPr>
          <w:fldChar w:fldCharType="begin" w:fldLock="1"/>
        </w:r>
        <w:r w:rsidRPr="009D6480">
          <w:rPr>
            <w:rStyle w:val="Hyperlink"/>
          </w:rPr>
          <w:instrText xml:space="preserve"> DOCPROPERTY XDT78847 *charformat * MERGEFORMAT </w:instrText>
        </w:r>
        <w:r w:rsidRPr="009D6480">
          <w:rPr>
            <w:rStyle w:val="Hyperlink"/>
          </w:rPr>
          <w:fldChar w:fldCharType="separate"/>
        </w:r>
        <w:r w:rsidRPr="009D6480">
          <w:rPr>
            <w:rStyle w:val="Hyperlink"/>
          </w:rPr>
          <w:t>Håndtering av implantat og artefakter ved protonbehandling</w:t>
        </w:r>
        <w:r w:rsidRPr="009D6480">
          <w:rPr>
            <w:rStyle w:val="Hyperlink"/>
          </w:rPr>
          <w:fldChar w:fldCharType="end"/>
        </w:r>
      </w:hyperlink>
      <w:r>
        <w:t>].</w:t>
      </w:r>
    </w:p>
    <w:p w:rsidR="009D6480" w:rsidP="009D6480" w14:paraId="1DE73447" w14:textId="77777777"/>
    <w:p w:rsidR="009D6480" w:rsidP="009D6480" w14:paraId="71B13EC1" w14:textId="49641D1C">
      <w:r>
        <w:t>Pasientene skal fikseres med protonfiksering, dvs. med tre-punkts maske og persontilpasset pute i r</w:t>
      </w:r>
      <w:r>
        <w:t xml:space="preserve">yggleie på kort </w:t>
      </w:r>
      <w:r>
        <w:t>BoS</w:t>
      </w:r>
      <w:r>
        <w:t>-bord</w:t>
      </w:r>
      <w:r>
        <w:t>.</w:t>
      </w:r>
    </w:p>
    <w:p w:rsidR="009D6480" w:rsidP="009D6480" w14:paraId="666F5DCC" w14:textId="77777777"/>
    <w:p w:rsidR="009D6480" w:rsidP="009D6480" w14:paraId="37C15A6A" w14:textId="77777777">
      <w:r>
        <w:t xml:space="preserve">CT-serien som benyttes til planlegging skal være rekonstruert med 1 mm snitt. </w:t>
      </w:r>
      <w:r>
        <w:t>Scanområdet</w:t>
      </w:r>
      <w:r>
        <w:t xml:space="preserve"> skal starte over issen og omfatte hele kraniet, til og med </w:t>
      </w:r>
      <w:r>
        <w:t>jugulum</w:t>
      </w:r>
      <w:r>
        <w:t xml:space="preserve">. Påse at alt </w:t>
      </w:r>
      <w:r w:rsidRPr="003E66DF">
        <w:t>immobiliseringsutstyr</w:t>
      </w:r>
      <w:r>
        <w:t xml:space="preserve"> som kan påvirke dosefordelingen er in</w:t>
      </w:r>
      <w:r>
        <w:t xml:space="preserve">kludert samt skuldre ved bruk av </w:t>
      </w:r>
      <w:r>
        <w:t>extended</w:t>
      </w:r>
      <w:r>
        <w:t xml:space="preserve"> </w:t>
      </w:r>
      <w:r>
        <w:t>FoV</w:t>
      </w:r>
      <w:r>
        <w:t>.</w:t>
      </w:r>
    </w:p>
    <w:p w:rsidR="009D6480" w:rsidP="009D6480" w14:paraId="78E8A6C9" w14:textId="77777777"/>
    <w:p w:rsidR="009D6480" w:rsidP="009D6480" w14:paraId="0FB6685B" w14:textId="77777777">
      <w:r>
        <w:rPr>
          <w:rFonts w:ascii="Calibri" w:hAnsi="Calibri" w:cs="Calibri"/>
        </w:rPr>
        <w:t>Ved bruk av metallartefaktreduksjon (MAR) på CT</w:t>
      </w:r>
      <w:r>
        <w:t xml:space="preserve"> skal den opprinnelige CT-serien foreligge i doseplansystemet i tillegg til MAR-serien. Ved CT-serie med kontrast skal det i tillegg til kontrastserien foreligge en CT-serie uten kontrast i doseplansystemet.</w:t>
      </w:r>
    </w:p>
    <w:p w:rsidR="009D6480" w:rsidP="009D6480" w14:paraId="68BD960B" w14:textId="77777777"/>
    <w:p w:rsidR="009D6480" w:rsidP="009D6480" w14:paraId="63CE2859" w14:textId="025E20C1">
      <w:pPr>
        <w:rPr>
          <w:rFonts w:ascii="Calibri" w:hAnsi="Calibri" w:cs="Calibri"/>
        </w:rPr>
      </w:pPr>
      <w:r>
        <w:t>I tillegg til CT bør det også brukes fusjonerte</w:t>
      </w:r>
      <w:r>
        <w:t xml:space="preserve"> MR-bilder som hjelp ved inntegning. Generelt sett er det ønskelig med en T1-vektet MR-serie og gjerne en T2-vektet serie </w:t>
      </w:r>
      <w:r>
        <w:fldChar w:fldCharType="begin"/>
      </w:r>
      <w:r>
        <w:instrText xml:space="preserve"> ADDIN EN.CITE &lt;EndNote&gt;&lt;Cite&gt;&lt;Author&gt;Marienhagen&lt;/Author&gt;&lt;Year&gt;2020&lt;/Year&gt;&lt;RecNum&gt;1485&lt;/RecNum&gt;&lt;DisplayText&gt;[6]&lt;/DisplayText&gt;&lt;record&gt;</w:instrText>
      </w:r>
      <w:r>
        <w:instrText>&lt;rec-number&gt;1485&lt;/rec-number&gt;&lt;foreign-keys&gt;&lt;key app="EN" db-id="ae555efdts2x04e2de7vpvvzf20spe20xswe" timestamp="1702370343" guid="3e0edd80-0dc3-4107-827c-3011cb10056b"&gt;1485&lt;/key&gt;&lt;/foreign-keys&gt;&lt;ref-type name="Report"&gt;27&lt;/ref-type&gt;&lt;contributors&gt;&lt;authors&gt;&lt;a</w:instrText>
      </w:r>
      <w:r>
        <w:instrText>uthor&gt;Marienhagen, K&lt;/author&gt;&lt;author&gt;Djupvik, LH&lt;/author&gt;&lt;author&gt;Danielsen, T&lt;/author&gt;&lt;/authors&gt;&lt;/contributors&gt;&lt;titles&gt;&lt;title&gt;Norwegian guidelines for delineation of organs at risk in neuro-oncology. Technical Document no. 16&lt;/title&gt;&lt;/titles&gt;&lt;dates&gt;&lt;year&gt;2</w:instrText>
      </w:r>
      <w:r>
        <w:instrText>020&lt;/year&gt;&lt;/dates&gt;&lt;publisher&gt;Østerås: Norwegian Radiation and Nuclear Safety Authority. Language: Norwegian&lt;/publisher&gt;&lt;urls&gt;&lt;related-urls&gt;&lt;url&gt;https://dsa.no/publikasjoner/_/attachment/inline/401a60b3-b7db-4c4a-b741-da0a70c43b20:f0c3325a0ec4a43b2335cf17df</w:instrText>
      </w:r>
      <w:r>
        <w:instrText>266e4e7c34408c/Teknisk%20dokument16_rev.pdf&lt;/url&gt;&lt;/related-urls&gt;&lt;/urls&gt;&lt;/record&gt;&lt;/Cite&gt;&lt;/EndNote&gt;</w:instrText>
      </w:r>
      <w:r>
        <w:fldChar w:fldCharType="separate"/>
      </w:r>
      <w:r>
        <w:rPr>
          <w:noProof/>
        </w:rPr>
        <w:t>[</w:t>
      </w:r>
      <w:hyperlink w:anchor="_ENREF_6" w:tooltip="Marienhagen, 2020 #1485" w:history="1">
        <w:r>
          <w:rPr>
            <w:noProof/>
          </w:rPr>
          <w:t>6</w:t>
        </w:r>
      </w:hyperlink>
      <w:r>
        <w:rPr>
          <w:noProof/>
        </w:rPr>
        <w:t>]</w:t>
      </w:r>
      <w:r>
        <w:fldChar w:fldCharType="end"/>
      </w:r>
      <w:r>
        <w:t xml:space="preserve">. Det er ønskelig med isotrope </w:t>
      </w:r>
      <w:r>
        <w:t>voksler</w:t>
      </w:r>
      <w:r>
        <w:t xml:space="preserve"> og tynn snittføring </w:t>
      </w:r>
      <w:r w:rsidRPr="00AC1A97">
        <w:t>(</w:t>
      </w:r>
      <w:r w:rsidRPr="00AC1A97">
        <w:rPr>
          <w:rFonts w:ascii="Calibri" w:hAnsi="Calibri" w:cs="Calibri"/>
        </w:rPr>
        <w:t>≤ 2</w:t>
      </w:r>
      <w:r w:rsidRPr="00AC1A97">
        <w:rPr>
          <w:rFonts w:ascii="Calibri" w:hAnsi="Calibri" w:cs="Calibri"/>
        </w:rPr>
        <w:t xml:space="preserve"> mm)</w:t>
      </w:r>
      <w:r>
        <w:rPr>
          <w:rFonts w:ascii="Calibri" w:hAnsi="Calibri" w:cs="Calibri"/>
        </w:rPr>
        <w:t xml:space="preserve"> og alle MR-bilder skal 3D-distorsjonskorrigeres</w:t>
      </w:r>
      <w:r w:rsidRPr="00AC1A9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t xml:space="preserve">Se ellers aktuell bildeprotokoll for detaljer. </w:t>
      </w:r>
      <w:r>
        <w:rPr>
          <w:rFonts w:ascii="Calibri" w:hAnsi="Calibri" w:cs="Calibri"/>
        </w:rPr>
        <w:t xml:space="preserve">Andre sekvenser benyttes etter individuell vurdering, se anbefalinger fra </w:t>
      </w:r>
      <w:hyperlink r:id="rId10" w:history="1">
        <w:r w:rsidRPr="00C72AC2">
          <w:rPr>
            <w:rStyle w:val="Hyperlink"/>
            <w:rFonts w:ascii="Calibri" w:hAnsi="Calibri" w:cs="Calibri"/>
          </w:rPr>
          <w:t>Helsedirektoratet 2023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ADDIN EN.CITE &lt;EndNote&gt;&lt;Cite&gt;&lt;Author&gt;Helsedirektoratet&lt;/Author&gt;&lt;Year&gt;20</w:instrText>
      </w:r>
      <w:r>
        <w:rPr>
          <w:rFonts w:ascii="Calibri" w:hAnsi="Calibri" w:cs="Calibri"/>
        </w:rPr>
        <w:instrText>20&lt;/Year&gt;&lt;RecNum&gt;1481&lt;/RecNum&gt;&lt;DisplayText&gt;[1]&lt;/DisplayText&gt;&lt;record&gt;&lt;rec-number&gt;1481&lt;/rec-number&gt;&lt;foreign-keys&gt;&lt;key app="EN" db-id="ae555efdts2x04e2de7vpvvzf20spe20xswe" timestamp="1702368828" guid="f565a3b9-ede0-4a33-a3b6-14afc1641fd3"&gt;1481&lt;/key&gt;&lt;/foreign</w:instrText>
      </w:r>
      <w:r>
        <w:rPr>
          <w:rFonts w:ascii="Calibri" w:hAnsi="Calibri" w:cs="Calibri"/>
        </w:rPr>
        <w:instrText>-keys&gt;&lt;ref-type name="Web Page"&gt;12&lt;/ref-type&gt;&lt;contributors&gt;&lt;authors&gt;&lt;author&gt;Helsedirektoratet&lt;/author&gt;&lt;/authors&gt;&lt;/contributors&gt;&lt;titles&gt;&lt;title&gt;Nasjonalt handlingsprogram med retningslinjer for diagnostikk, behandling og oppfølging av hjernesvulster generelt</w:instrText>
      </w:r>
      <w:r>
        <w:rPr>
          <w:rFonts w:ascii="Calibri" w:hAnsi="Calibri" w:cs="Calibri"/>
        </w:rPr>
        <w:instrText xml:space="preserve"> (hos voksne) [nettdokument]. Hjernesvulster generelt (hos voksne) - handlingsprogram&lt;/title&gt;&lt;/titles&gt;&lt;dates&gt;&lt;year&gt;2020&lt;/year&gt;&lt;pub-dates&gt;&lt;date&gt;Oslo: Helsedirektoratet (sist faglig oppdatert 17. august 2023, lest 12. desember 2023)&lt;/date&gt;&lt;/pub-dates&gt;&lt;/dates</w:instrText>
      </w:r>
      <w:r>
        <w:rPr>
          <w:rFonts w:ascii="Calibri" w:hAnsi="Calibri" w:cs="Calibri"/>
        </w:rPr>
        <w:instrText>&gt;&lt;urls&gt;&lt;related-urls&gt;&lt;url&gt;https://www.helsedirektoratet.no/retningslinjer/hjernesvulster-generelt-hos-voksne-handlingsprogram&lt;/url&gt;&lt;/related-urls&gt;&lt;/urls&gt;&lt;/record&gt;&lt;/Cite&gt;&lt;/EndNote&gt;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[</w:t>
      </w:r>
      <w:hyperlink w:anchor="_ENREF_1" w:tooltip="Helsedirektoratet, 2020 #1481" w:history="1">
        <w:r>
          <w:rPr>
            <w:rFonts w:ascii="Calibri" w:hAnsi="Calibri" w:cs="Calibri"/>
            <w:noProof/>
          </w:rPr>
          <w:t>1</w:t>
        </w:r>
      </w:hyperlink>
      <w:r>
        <w:rPr>
          <w:rFonts w:ascii="Calibri" w:hAnsi="Calibri" w:cs="Calibri"/>
          <w:noProof/>
        </w:rPr>
        <w:t>]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. </w:t>
      </w:r>
    </w:p>
    <w:p w:rsidR="009D6480" w:rsidP="009D6480" w14:paraId="36455C82" w14:textId="77777777">
      <w:pPr>
        <w:rPr>
          <w:rFonts w:ascii="Calibri" w:hAnsi="Calibri" w:cs="Calibri"/>
        </w:rPr>
      </w:pPr>
    </w:p>
    <w:p w:rsidR="009D6480" w:rsidRPr="008D2E78" w:rsidP="009D6480" w14:paraId="76EECE7F" w14:textId="77777777">
      <w:pPr>
        <w:rPr>
          <w:rFonts w:ascii="Calibri" w:hAnsi="Calibri" w:cs="Calibri"/>
          <w:b/>
        </w:rPr>
      </w:pPr>
      <w:r w:rsidRPr="008D2E78">
        <w:rPr>
          <w:rFonts w:ascii="Calibri" w:hAnsi="Calibri" w:cs="Calibri"/>
          <w:b/>
        </w:rPr>
        <w:t xml:space="preserve">NB: Ved sykehus som skal utføre sammenliknende doseplanlegging, men som ikke har tilgjengelig utstyr for fiksering til protonbehandling, brukes standard fikseringsutstyr </w:t>
      </w:r>
      <w:r>
        <w:rPr>
          <w:rFonts w:ascii="Calibri" w:hAnsi="Calibri" w:cs="Calibri"/>
          <w:b/>
        </w:rPr>
        <w:t>som ved</w:t>
      </w:r>
      <w:r w:rsidRPr="008D2E78">
        <w:rPr>
          <w:rFonts w:ascii="Calibri" w:hAnsi="Calibri" w:cs="Calibri"/>
          <w:b/>
        </w:rPr>
        <w:t xml:space="preserve"> konvensjonell strålebehandling.</w:t>
      </w:r>
      <w:r>
        <w:rPr>
          <w:rFonts w:ascii="Calibri" w:hAnsi="Calibri" w:cs="Calibri"/>
          <w:b/>
        </w:rPr>
        <w:t xml:space="preserve"> Ved henvisning ti</w:t>
      </w:r>
      <w:r>
        <w:rPr>
          <w:rFonts w:ascii="Calibri" w:hAnsi="Calibri" w:cs="Calibri"/>
          <w:b/>
        </w:rPr>
        <w:t>l protonbehandling tas ny CT og ny fiksering utføres ved behandlende protonsenter.</w:t>
      </w:r>
    </w:p>
    <w:p w:rsidR="00DF7BA8" w:rsidRPr="00360258" w:rsidP="00066A58" w14:paraId="3C743298" w14:textId="4274DB1E">
      <w:pPr>
        <w:spacing w:line="259" w:lineRule="auto"/>
        <w:rPr>
          <w:rFonts w:cstheme="minorHAnsi"/>
        </w:rPr>
      </w:pPr>
    </w:p>
    <w:p w:rsidR="00510BDF" w:rsidP="00EB12D2" w14:paraId="3C743299" w14:textId="1D0E7F33">
      <w:pPr>
        <w:pStyle w:val="Heading1"/>
      </w:pPr>
      <w:bookmarkStart w:id="6" w:name="_Toc256000003"/>
      <w:r>
        <w:t>Inntegning av volumer</w:t>
      </w:r>
      <w:bookmarkEnd w:id="6"/>
    </w:p>
    <w:p w:rsidR="009D6480" w:rsidRPr="00CF7D0E" w:rsidP="009D6480" w14:paraId="0BAB4E19" w14:textId="77777777">
      <w:pPr>
        <w:pStyle w:val="Heading2"/>
      </w:pPr>
      <w:bookmarkStart w:id="7" w:name="_Toc256000004"/>
      <w:r w:rsidRPr="00CF7D0E">
        <w:t>Risikoorgan og andre strukturer</w:t>
      </w:r>
      <w:bookmarkEnd w:id="7"/>
    </w:p>
    <w:p w:rsidR="009D6480" w:rsidP="009D6480" w14:paraId="45DFBE38" w14:textId="77777777">
      <w:r w:rsidRPr="00CF7D0E">
        <w:t xml:space="preserve">Anbefalinger for inntegning av risikoorganer i </w:t>
      </w:r>
      <w:r w:rsidRPr="00CF7D0E">
        <w:t>cerebri</w:t>
      </w:r>
      <w:r w:rsidRPr="00CF7D0E">
        <w:t xml:space="preserve"> er basert på DSA-publikasjonen </w:t>
      </w:r>
      <w:hyperlink r:id="rId11">
        <w:r w:rsidRPr="00A8428D">
          <w:rPr>
            <w:rStyle w:val="Hyperlink"/>
          </w:rPr>
          <w:t>Faglige</w:t>
        </w:r>
        <w:r w:rsidRPr="00A8428D">
          <w:rPr>
            <w:rStyle w:val="Hyperlink"/>
          </w:rPr>
          <w:t xml:space="preserve"> anbefalinger for inntegning av risikoorganer i CNS</w:t>
        </w:r>
      </w:hyperlink>
      <w:r w:rsidRPr="00CF7D0E">
        <w:t xml:space="preserve"> fra 2020</w:t>
      </w:r>
      <w:r>
        <w:t xml:space="preserve"> </w:t>
      </w:r>
      <w:r>
        <w:fldChar w:fldCharType="begin"/>
      </w:r>
      <w:r>
        <w:instrText xml:space="preserve"> ADDIN EN.CITE &lt;EndNote&gt;&lt;Cite&gt;&lt;Author&gt;Marienhagen&lt;/Author&gt;&lt;Year&gt;2020&lt;/Year&gt;&lt;RecNum&gt;1485&lt;/RecNum&gt;&lt;DisplayText&gt;[6]&lt;/DisplayText&gt;&lt;record&gt;&lt;rec-number&gt;1485&lt;/rec-num</w:instrText>
      </w:r>
      <w:r>
        <w:instrText>ber&gt;&lt;foreign-keys&gt;&lt;key app="EN" db-id="ae555efdts2x04e2de7vpvvzf20spe20xswe" timestamp="1702370343" guid="3e0edd80-0dc3-4107-827c-3011cb10056b"&gt;1485&lt;/key&gt;&lt;/foreign-keys&gt;&lt;ref-type name="Report"&gt;27&lt;/ref-type&gt;&lt;contributors&gt;&lt;authors&gt;&lt;author&gt;Marienhagen, K&lt;/aut</w:instrText>
      </w:r>
      <w:r>
        <w:instrText>hor&gt;&lt;author&gt;Djupvik, LH&lt;/author&gt;&lt;author&gt;Danielsen, T&lt;/author&gt;&lt;/authors&gt;&lt;/contributors&gt;&lt;titles&gt;&lt;title&gt;Norwegian guidelines for delineation of organs at risk in neuro-oncology. Technical Document no. 16&lt;/title&gt;&lt;/titles&gt;&lt;dates&gt;&lt;year&gt;2020&lt;/year&gt;&lt;/dates&gt;&lt;publis</w:instrText>
      </w:r>
      <w:r>
        <w:instrText>her&gt;Østerås: Norwegian Radiation and Nuclear Safety Authority. Language: Norwegian&lt;/publisher&gt;&lt;urls&gt;&lt;related-urls&gt;&lt;url&gt;https://dsa.no/publikasjoner/_/attachment/inline/401a60b3-b7db-4c4a-b741-da0a70c43b20:f0c3325a0ec4a43b2335cf17df266e4e7c34408c/Teknisk%20</w:instrText>
      </w:r>
      <w:r>
        <w:instrText>dokument16_rev.pdf&lt;/url&gt;&lt;/related-urls&gt;&lt;/urls&gt;&lt;/record&gt;&lt;/Cite&gt;&lt;/EndNote&gt;</w:instrText>
      </w:r>
      <w:r>
        <w:fldChar w:fldCharType="separate"/>
      </w:r>
      <w:r>
        <w:rPr>
          <w:noProof/>
        </w:rPr>
        <w:t>[</w:t>
      </w:r>
      <w:hyperlink w:anchor="_ENREF_6" w:tooltip="Marienhagen, 2020 #1485" w:history="1">
        <w:r>
          <w:rPr>
            <w:noProof/>
          </w:rPr>
          <w:t>6</w:t>
        </w:r>
      </w:hyperlink>
      <w:r>
        <w:rPr>
          <w:noProof/>
        </w:rPr>
        <w:t>]</w:t>
      </w:r>
      <w:r>
        <w:fldChar w:fldCharType="end"/>
      </w:r>
      <w:r>
        <w:t xml:space="preserve"> som i sin tur er basert på </w:t>
      </w:r>
      <w:hyperlink r:id="rId12" w:history="1">
        <w:r w:rsidRPr="003E53AC">
          <w:rPr>
            <w:rStyle w:val="Hyperlink"/>
          </w:rPr>
          <w:t>EPTN-</w:t>
        </w:r>
        <w:r w:rsidRPr="003E53AC">
          <w:rPr>
            <w:rStyle w:val="Hyperlink"/>
          </w:rPr>
          <w:t>guidlines</w:t>
        </w:r>
        <w:r w:rsidRPr="003E53AC">
          <w:rPr>
            <w:rStyle w:val="Hyperlink"/>
          </w:rPr>
          <w:t xml:space="preserve"> fra 2018</w:t>
        </w:r>
      </w:hyperlink>
      <w:r>
        <w:t xml:space="preserve"> [8]. Det er også kommet en </w:t>
      </w:r>
      <w:hyperlink r:id="rId13" w:history="1">
        <w:r w:rsidRPr="003E53AC">
          <w:rPr>
            <w:rStyle w:val="Hyperlink"/>
          </w:rPr>
          <w:t>oppdatert versjon av EPTN-</w:t>
        </w:r>
        <w:r w:rsidRPr="003E53AC">
          <w:rPr>
            <w:rStyle w:val="Hyperlink"/>
          </w:rPr>
          <w:t>guidlines</w:t>
        </w:r>
        <w:r w:rsidRPr="003E53AC">
          <w:rPr>
            <w:rStyle w:val="Hyperlink"/>
          </w:rPr>
          <w:t xml:space="preserve"> (2021)</w:t>
        </w:r>
      </w:hyperlink>
      <w:r>
        <w:t xml:space="preserve"> [9] med noen flere risikoorganer</w:t>
      </w:r>
      <w:r w:rsidRPr="00CF7D0E">
        <w:t xml:space="preserve">. Tabellen under inkluderer også forslag til inntegning </w:t>
      </w:r>
      <w:r w:rsidRPr="00CF7D0E">
        <w:t xml:space="preserve">av andre strukturer. </w:t>
      </w:r>
      <w:r>
        <w:t>H</w:t>
      </w:r>
      <w:r w:rsidRPr="002375A1">
        <w:t>vilke risikoorganer som skal tegnes må vurderes individuel</w:t>
      </w:r>
      <w:r>
        <w:t>t avhengig av diagnose, målvolu</w:t>
      </w:r>
      <w:r w:rsidRPr="002375A1">
        <w:t>mets lokalisasjon, behandlingsintensjon, fraksjonering og totaldose.</w:t>
      </w:r>
      <w:r w:rsidRPr="00CF7D0E">
        <w:t xml:space="preserve"> Merk at </w:t>
      </w:r>
      <w:r>
        <w:t>tabellen</w:t>
      </w:r>
      <w:r w:rsidRPr="00CF7D0E">
        <w:t xml:space="preserve"> ikk</w:t>
      </w:r>
      <w:r w:rsidRPr="00CF7D0E">
        <w:t>e nødvendigvis er utfyllende og andre ris</w:t>
      </w:r>
      <w:r>
        <w:t>i</w:t>
      </w:r>
      <w:r w:rsidRPr="00CF7D0E">
        <w:t>koområder som ikke dekkes her</w:t>
      </w:r>
      <w:r>
        <w:t xml:space="preserve"> kan være aktuelle å tegne for</w:t>
      </w:r>
      <w:r w:rsidRPr="00CF7D0E">
        <w:t xml:space="preserve"> eks</w:t>
      </w:r>
      <w:r>
        <w:t>empel</w:t>
      </w:r>
      <w:r w:rsidRPr="00CF7D0E">
        <w:t xml:space="preserve"> temporallappe</w:t>
      </w:r>
      <w:r>
        <w:t>r, frontallapper og periventrikulæ</w:t>
      </w:r>
      <w:r w:rsidRPr="00CF7D0E">
        <w:t xml:space="preserve">r sone. </w:t>
      </w:r>
    </w:p>
    <w:p w:rsidR="009D6480" w:rsidRPr="00CF7D0E" w:rsidP="009D6480" w14:paraId="01B2A635" w14:textId="77777777"/>
    <w:p w:rsidR="009D6480" w:rsidRPr="00CF7D0E" w:rsidP="009D6480" w14:paraId="33913978" w14:textId="77777777">
      <w:pPr>
        <w:pStyle w:val="Caption"/>
        <w:keepNext/>
      </w:pPr>
      <w:r w:rsidRPr="00CF7D0E"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3</w:t>
      </w:r>
      <w:r>
        <w:rPr>
          <w:noProof/>
        </w:rPr>
        <w:fldChar w:fldCharType="end"/>
      </w:r>
      <w:r w:rsidRPr="00CF7D0E">
        <w:t xml:space="preserve"> Anbefalinger for inntegning av strukturer</w:t>
      </w:r>
      <w:r>
        <w:t>.</w:t>
      </w:r>
    </w:p>
    <w:tbl>
      <w:tblPr>
        <w:tblStyle w:val="GridTable4Accent1"/>
        <w:tblW w:w="9067" w:type="dxa"/>
        <w:tblLook w:val="04A0"/>
      </w:tblPr>
      <w:tblGrid>
        <w:gridCol w:w="1833"/>
        <w:gridCol w:w="1990"/>
        <w:gridCol w:w="5244"/>
      </w:tblGrid>
      <w:tr w14:paraId="7DE3944D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6556833D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Struktur</w:t>
            </w:r>
          </w:p>
        </w:tc>
        <w:tc>
          <w:tcPr>
            <w:tcW w:w="1990" w:type="dxa"/>
          </w:tcPr>
          <w:p w:rsidR="009D6480" w:rsidRPr="00CF7D0E" w:rsidP="00D70046" w14:paraId="42F5A269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 xml:space="preserve">Utgangspunkt for CT-vindu (WW/WL) </w:t>
            </w:r>
          </w:p>
        </w:tc>
        <w:tc>
          <w:tcPr>
            <w:tcW w:w="5244" w:type="dxa"/>
          </w:tcPr>
          <w:p w:rsidR="009D6480" w:rsidRPr="00CF7D0E" w:rsidP="00D70046" w14:paraId="64647B85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Beskrivelse/merknad</w:t>
            </w:r>
          </w:p>
        </w:tc>
      </w:tr>
      <w:tr w14:paraId="25A75AC9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1EBD38E6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Body</w:t>
            </w:r>
          </w:p>
        </w:tc>
        <w:tc>
          <w:tcPr>
            <w:tcW w:w="1990" w:type="dxa"/>
          </w:tcPr>
          <w:p w:rsidR="009D6480" w:rsidRPr="00CF7D0E" w:rsidP="00D70046" w14:paraId="5C3C8AD2" w14:textId="77777777">
            <w:pPr>
              <w:rPr>
                <w:sz w:val="16"/>
              </w:rPr>
            </w:pPr>
          </w:p>
        </w:tc>
        <w:tc>
          <w:tcPr>
            <w:tcW w:w="5244" w:type="dxa"/>
          </w:tcPr>
          <w:p w:rsidR="009D6480" w:rsidRPr="00CF7D0E" w:rsidP="00D70046" w14:paraId="19A68E22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>Inkluderer alt innenfor pasientens hud.</w:t>
            </w:r>
            <w:r>
              <w:rPr>
                <w:sz w:val="16"/>
                <w:szCs w:val="16"/>
              </w:rPr>
              <w:t xml:space="preserve"> Kalles BodySurface i </w:t>
            </w:r>
            <w:r>
              <w:rPr>
                <w:sz w:val="16"/>
                <w:szCs w:val="16"/>
              </w:rPr>
              <w:t>Eclipse</w:t>
            </w:r>
            <w:r>
              <w:rPr>
                <w:sz w:val="16"/>
                <w:szCs w:val="16"/>
              </w:rPr>
              <w:t>.</w:t>
            </w:r>
          </w:p>
        </w:tc>
      </w:tr>
      <w:tr w14:paraId="4BC86417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20529FD9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</w:t>
            </w:r>
          </w:p>
        </w:tc>
        <w:tc>
          <w:tcPr>
            <w:tcW w:w="1990" w:type="dxa"/>
          </w:tcPr>
          <w:p w:rsidR="009D6480" w:rsidRPr="00CF7D0E" w:rsidP="00D70046" w14:paraId="1CCAFE9B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120/40 (-20 til +100)</w:t>
            </w:r>
          </w:p>
        </w:tc>
        <w:tc>
          <w:tcPr>
            <w:tcW w:w="5244" w:type="dxa"/>
          </w:tcPr>
          <w:p w:rsidR="009D6480" w:rsidRPr="00CF7D0E" w:rsidP="00D70046" w14:paraId="329651AF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 xml:space="preserve">Hele hjernen intrakranielt ned til toppen av dens </w:t>
            </w:r>
            <w:r w:rsidRPr="00CF7D0E">
              <w:rPr>
                <w:sz w:val="16"/>
                <w:szCs w:val="16"/>
              </w:rPr>
              <w:t>axis</w:t>
            </w:r>
            <w:r w:rsidRPr="00CF7D0E">
              <w:rPr>
                <w:sz w:val="16"/>
                <w:szCs w:val="16"/>
              </w:rPr>
              <w:t>.</w:t>
            </w:r>
          </w:p>
        </w:tc>
      </w:tr>
      <w:tr w14:paraId="1371C9C2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61B4A51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Brain-CTV</w:t>
            </w:r>
          </w:p>
        </w:tc>
        <w:tc>
          <w:tcPr>
            <w:tcW w:w="1990" w:type="dxa"/>
          </w:tcPr>
          <w:p w:rsidR="009D6480" w:rsidRPr="00CF7D0E" w:rsidP="00D70046" w14:paraId="6A2D476D" w14:textId="77777777">
            <w:pPr>
              <w:rPr>
                <w:sz w:val="16"/>
              </w:rPr>
            </w:pPr>
          </w:p>
        </w:tc>
        <w:tc>
          <w:tcPr>
            <w:tcW w:w="5244" w:type="dxa"/>
          </w:tcPr>
          <w:p w:rsidR="009D6480" w:rsidRPr="00CF7D0E" w:rsidP="00D70046" w14:paraId="661A2106" w14:textId="77777777">
            <w:pPr>
              <w:rPr>
                <w:sz w:val="16"/>
                <w:szCs w:val="16"/>
              </w:rPr>
            </w:pPr>
            <w:r w:rsidRPr="00CF7D0E">
              <w:rPr>
                <w:rFonts w:ascii="Calibri" w:hAnsi="Calibri" w:cs="Calibri"/>
                <w:sz w:val="16"/>
                <w:szCs w:val="16"/>
              </w:rPr>
              <w:t>Hele hjernen minus CTV.</w:t>
            </w:r>
          </w:p>
        </w:tc>
      </w:tr>
      <w:tr w14:paraId="452BA7A9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0F55E48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Brain-CTV-</w:t>
            </w:r>
            <w:r w:rsidRPr="00CF7D0E">
              <w:rPr>
                <w:sz w:val="16"/>
              </w:rPr>
              <w:t>Brst</w:t>
            </w:r>
          </w:p>
        </w:tc>
        <w:tc>
          <w:tcPr>
            <w:tcW w:w="1990" w:type="dxa"/>
          </w:tcPr>
          <w:p w:rsidR="009D6480" w:rsidRPr="00CF7D0E" w:rsidP="00D70046" w14:paraId="6D2BF836" w14:textId="77777777">
            <w:pPr>
              <w:rPr>
                <w:sz w:val="16"/>
              </w:rPr>
            </w:pPr>
          </w:p>
        </w:tc>
        <w:tc>
          <w:tcPr>
            <w:tcW w:w="5244" w:type="dxa"/>
          </w:tcPr>
          <w:p w:rsidR="009D6480" w:rsidRPr="00CF7D0E" w:rsidP="00D70046" w14:paraId="4ADE172B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CF7D0E">
              <w:rPr>
                <w:rFonts w:ascii="Calibri" w:hAnsi="Calibri" w:cs="Calibri"/>
                <w:sz w:val="16"/>
                <w:szCs w:val="16"/>
              </w:rPr>
              <w:t xml:space="preserve">Hele hjernen minus CTV og </w:t>
            </w:r>
            <w:r w:rsidRPr="00CF7D0E">
              <w:rPr>
                <w:rFonts w:ascii="Calibri" w:hAnsi="Calibri" w:cs="Calibri"/>
                <w:sz w:val="16"/>
                <w:szCs w:val="16"/>
              </w:rPr>
              <w:t>Brainstem</w:t>
            </w:r>
            <w:r w:rsidRPr="00CF7D0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14:paraId="2CBE24F0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36CBCC78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Brainstem</w:t>
            </w:r>
          </w:p>
        </w:tc>
        <w:tc>
          <w:tcPr>
            <w:tcW w:w="1990" w:type="dxa"/>
          </w:tcPr>
          <w:p w:rsidR="009D6480" w:rsidRPr="00CF7D0E" w:rsidP="00D70046" w14:paraId="436FFBC6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120/40 (-20 til +100)</w:t>
            </w:r>
          </w:p>
        </w:tc>
        <w:tc>
          <w:tcPr>
            <w:tcW w:w="5244" w:type="dxa"/>
          </w:tcPr>
          <w:p w:rsidR="009D6480" w:rsidRPr="00CF7D0E" w:rsidP="00D70046" w14:paraId="3A1AAF26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 xml:space="preserve">Øvre begrensning er bunnen av </w:t>
            </w:r>
            <w:r>
              <w:rPr>
                <w:sz w:val="16"/>
                <w:szCs w:val="16"/>
              </w:rPr>
              <w:t>tredje</w:t>
            </w:r>
            <w:r w:rsidRPr="00CF7D0E">
              <w:rPr>
                <w:sz w:val="16"/>
                <w:szCs w:val="16"/>
              </w:rPr>
              <w:t xml:space="preserve"> ventrikkel. Nedre begrensning er toppen av dens </w:t>
            </w:r>
            <w:r w:rsidRPr="00CF7D0E">
              <w:rPr>
                <w:sz w:val="16"/>
                <w:szCs w:val="16"/>
              </w:rPr>
              <w:t>axis</w:t>
            </w:r>
            <w:r w:rsidRPr="00CF7D0E">
              <w:rPr>
                <w:sz w:val="16"/>
                <w:szCs w:val="16"/>
              </w:rPr>
              <w:t>.</w:t>
            </w:r>
          </w:p>
        </w:tc>
      </w:tr>
      <w:tr w14:paraId="71C66166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159BE6C1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BrainstemCore</w:t>
            </w:r>
          </w:p>
        </w:tc>
        <w:tc>
          <w:tcPr>
            <w:tcW w:w="1990" w:type="dxa"/>
          </w:tcPr>
          <w:p w:rsidR="009D6480" w:rsidRPr="00CF7D0E" w:rsidP="00D70046" w14:paraId="18F02C3E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120/40 (-20 til +100)</w:t>
            </w:r>
          </w:p>
        </w:tc>
        <w:tc>
          <w:tcPr>
            <w:tcW w:w="5244" w:type="dxa"/>
          </w:tcPr>
          <w:p w:rsidR="009D6480" w:rsidRPr="00CF7D0E" w:rsidP="00D70046" w14:paraId="50DE0DDB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 xml:space="preserve">2 mm margin innenfor </w:t>
            </w:r>
            <w:r w:rsidRPr="00CF7D0E">
              <w:rPr>
                <w:sz w:val="16"/>
                <w:szCs w:val="16"/>
              </w:rPr>
              <w:t>Brainstem</w:t>
            </w:r>
            <w:r w:rsidRPr="00CF7D0E">
              <w:rPr>
                <w:sz w:val="16"/>
                <w:szCs w:val="16"/>
              </w:rPr>
              <w:t>. 0 mm margi</w:t>
            </w:r>
            <w:r w:rsidRPr="00CF7D0E">
              <w:rPr>
                <w:sz w:val="16"/>
                <w:szCs w:val="16"/>
              </w:rPr>
              <w:t>n kaudalt.</w:t>
            </w:r>
          </w:p>
        </w:tc>
      </w:tr>
      <w:tr w14:paraId="78DC7CFD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629373E6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BrainstemSurface</w:t>
            </w:r>
          </w:p>
        </w:tc>
        <w:tc>
          <w:tcPr>
            <w:tcW w:w="1990" w:type="dxa"/>
          </w:tcPr>
          <w:p w:rsidR="009D6480" w:rsidRPr="00CF7D0E" w:rsidP="00D70046" w14:paraId="4DD2237C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120/40 (-20 til +100)</w:t>
            </w:r>
          </w:p>
        </w:tc>
        <w:tc>
          <w:tcPr>
            <w:tcW w:w="5244" w:type="dxa"/>
          </w:tcPr>
          <w:p w:rsidR="009D6480" w:rsidRPr="00CF7D0E" w:rsidP="00D70046" w14:paraId="11A8193A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>Brainstem</w:t>
            </w:r>
            <w:r w:rsidRPr="00CF7D0E">
              <w:rPr>
                <w:sz w:val="16"/>
                <w:szCs w:val="16"/>
              </w:rPr>
              <w:t xml:space="preserve"> minus </w:t>
            </w:r>
            <w:r w:rsidRPr="00CF7D0E">
              <w:rPr>
                <w:sz w:val="16"/>
                <w:szCs w:val="16"/>
              </w:rPr>
              <w:t>BrainstemCore</w:t>
            </w:r>
            <w:r w:rsidRPr="00CF7D0E">
              <w:rPr>
                <w:sz w:val="16"/>
                <w:szCs w:val="16"/>
              </w:rPr>
              <w:t>.</w:t>
            </w:r>
          </w:p>
        </w:tc>
      </w:tr>
      <w:tr w14:paraId="49A190F8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3DB3FB95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Cochlea_L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1990" w:type="dxa"/>
          </w:tcPr>
          <w:p w:rsidR="009D6480" w:rsidRPr="00CF7D0E" w:rsidP="00D70046" w14:paraId="3CC75EC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1500/120 (-1100 til +1900)</w:t>
            </w:r>
          </w:p>
        </w:tc>
        <w:tc>
          <w:tcPr>
            <w:tcW w:w="5244" w:type="dxa"/>
          </w:tcPr>
          <w:p w:rsidR="009D6480" w:rsidRPr="00CF7D0E" w:rsidP="00D70046" w14:paraId="478B64A9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Struktur p</w:t>
            </w:r>
            <w:r>
              <w:rPr>
                <w:sz w:val="16"/>
              </w:rPr>
              <w:t xml:space="preserve">å 5-10 mm lokalisert i </w:t>
            </w:r>
            <w:r>
              <w:rPr>
                <w:sz w:val="16"/>
              </w:rPr>
              <w:t>sphenoid</w:t>
            </w:r>
            <w:r w:rsidRPr="00CF7D0E">
              <w:rPr>
                <w:sz w:val="16"/>
              </w:rPr>
              <w:t>ben</w:t>
            </w:r>
            <w:r>
              <w:rPr>
                <w:sz w:val="16"/>
              </w:rPr>
              <w:t>et</w:t>
            </w:r>
            <w:r w:rsidRPr="00CF7D0E">
              <w:rPr>
                <w:sz w:val="16"/>
              </w:rPr>
              <w:t>.</w:t>
            </w:r>
          </w:p>
        </w:tc>
      </w:tr>
      <w:tr w14:paraId="0D9EA053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5643514F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Cornea_L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1990" w:type="dxa"/>
          </w:tcPr>
          <w:p w:rsidR="009D6480" w:rsidRPr="00CF7D0E" w:rsidP="00D70046" w14:paraId="6F932E05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350/50 (-125 til +225)</w:t>
            </w:r>
          </w:p>
        </w:tc>
        <w:tc>
          <w:tcPr>
            <w:tcW w:w="5244" w:type="dxa"/>
          </w:tcPr>
          <w:p w:rsidR="009D6480" w:rsidRPr="00CF7D0E" w:rsidP="00D70046" w14:paraId="7C596C5A" w14:textId="77777777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2(-3) mm tykk struktur som d</w:t>
            </w:r>
            <w:r w:rsidRPr="00CF7D0E">
              <w:rPr>
                <w:rFonts w:ascii="Calibri" w:hAnsi="Calibri" w:cs="Calibri"/>
                <w:sz w:val="16"/>
                <w:szCs w:val="16"/>
              </w:rPr>
              <w:t xml:space="preserve">ekker 1/6 av </w:t>
            </w:r>
            <w:r w:rsidRPr="00CF7D0E">
              <w:rPr>
                <w:rFonts w:ascii="Calibri" w:hAnsi="Calibri" w:cs="Calibri"/>
                <w:sz w:val="16"/>
                <w:szCs w:val="16"/>
              </w:rPr>
              <w:t xml:space="preserve">øyeeplet og går dorsalt over i Retina. Grensen defineres som en rett linje langs bakre begrensning av linsen, i både aksial- og </w:t>
            </w:r>
            <w:r w:rsidRPr="00CF7D0E">
              <w:rPr>
                <w:rFonts w:ascii="Calibri" w:hAnsi="Calibri" w:cs="Calibri"/>
                <w:sz w:val="16"/>
                <w:szCs w:val="16"/>
              </w:rPr>
              <w:t>sagitalplanet</w:t>
            </w:r>
            <w:r w:rsidRPr="00CF7D0E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14:paraId="40462BA5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19794BB9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Eye_L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1990" w:type="dxa"/>
          </w:tcPr>
          <w:p w:rsidR="009D6480" w:rsidRPr="00CF7D0E" w:rsidP="00D70046" w14:paraId="5D5ABB31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350/50 (-125 til +225)</w:t>
            </w:r>
          </w:p>
        </w:tc>
        <w:tc>
          <w:tcPr>
            <w:tcW w:w="5244" w:type="dxa"/>
          </w:tcPr>
          <w:p w:rsidR="009D6480" w:rsidRPr="00CF7D0E" w:rsidP="00D70046" w14:paraId="7CCC2F79" w14:textId="77777777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CF7D0E">
              <w:rPr>
                <w:rFonts w:ascii="Calibri" w:hAnsi="Calibri" w:cs="Calibri"/>
                <w:sz w:val="16"/>
                <w:szCs w:val="16"/>
              </w:rPr>
              <w:t>Kan tegnes 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F7D0E">
              <w:rPr>
                <w:rFonts w:ascii="Calibri" w:hAnsi="Calibri" w:cs="Calibri"/>
                <w:sz w:val="16"/>
                <w:szCs w:val="16"/>
              </w:rPr>
              <w:t>stedet for Cornea og Retina der dosen til disse organene ikke er vik</w:t>
            </w:r>
            <w:r w:rsidRPr="00CF7D0E">
              <w:rPr>
                <w:rFonts w:ascii="Calibri" w:hAnsi="Calibri" w:cs="Calibri"/>
                <w:sz w:val="16"/>
                <w:szCs w:val="16"/>
              </w:rPr>
              <w:t>tig.</w:t>
            </w:r>
          </w:p>
        </w:tc>
      </w:tr>
      <w:tr w14:paraId="20DE5C4F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5F0527FD" w14:textId="77777777">
            <w:pPr>
              <w:rPr>
                <w:sz w:val="16"/>
              </w:rPr>
            </w:pPr>
            <w:r>
              <w:rPr>
                <w:sz w:val="16"/>
              </w:rPr>
              <w:t>External</w:t>
            </w:r>
          </w:p>
        </w:tc>
        <w:tc>
          <w:tcPr>
            <w:tcW w:w="1990" w:type="dxa"/>
          </w:tcPr>
          <w:p w:rsidR="009D6480" w:rsidRPr="00CF7D0E" w:rsidP="00D70046" w14:paraId="63DC06F3" w14:textId="77777777">
            <w:pPr>
              <w:rPr>
                <w:sz w:val="16"/>
              </w:rPr>
            </w:pPr>
          </w:p>
        </w:tc>
        <w:tc>
          <w:tcPr>
            <w:tcW w:w="5244" w:type="dxa"/>
          </w:tcPr>
          <w:p w:rsidR="009D6480" w:rsidRPr="00CF7D0E" w:rsidP="00D70046" w14:paraId="0B0383A7" w14:textId="3D9EE9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Inkluderer hele </w:t>
            </w:r>
            <w:r w:rsidRPr="006E280B">
              <w:rPr>
                <w:rFonts w:ascii="Calibri" w:hAnsi="Calibri" w:cs="Calibri"/>
                <w:sz w:val="16"/>
                <w:szCs w:val="16"/>
              </w:rPr>
              <w:t>pasienten</w:t>
            </w:r>
            <w:r w:rsidRPr="006E280B">
              <w:rPr>
                <w:sz w:val="16"/>
                <w:szCs w:val="16"/>
              </w:rPr>
              <w:t xml:space="preserve"> med </w:t>
            </w:r>
            <w:r w:rsidRPr="006E280B">
              <w:rPr>
                <w:rFonts w:ascii="Calibri" w:hAnsi="Calibri" w:cs="Calibri"/>
                <w:sz w:val="16"/>
                <w:szCs w:val="16"/>
              </w:rPr>
              <w:t>all relevant fiksering inklusiv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6E280B">
              <w:rPr>
                <w:rFonts w:ascii="Calibri" w:hAnsi="Calibri" w:cs="Calibri"/>
                <w:sz w:val="16"/>
                <w:szCs w:val="16"/>
              </w:rPr>
              <w:t xml:space="preserve"> puter og bordtoppen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Kalles Body i </w:t>
            </w:r>
            <w:r>
              <w:rPr>
                <w:rFonts w:ascii="Calibri" w:hAnsi="Calibri" w:cs="Calibri"/>
                <w:sz w:val="16"/>
                <w:szCs w:val="16"/>
              </w:rPr>
              <w:t>Eclipse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14:paraId="7337CAE2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P="00D70046" w14:paraId="0D8816D9" w14:textId="77777777">
            <w:pPr>
              <w:rPr>
                <w:sz w:val="16"/>
              </w:rPr>
            </w:pPr>
            <w:r w:rsidRPr="00FD1808">
              <w:rPr>
                <w:sz w:val="16"/>
                <w:szCs w:val="16"/>
              </w:rPr>
              <w:t>“Fiksering”</w:t>
            </w:r>
          </w:p>
        </w:tc>
        <w:tc>
          <w:tcPr>
            <w:tcW w:w="1990" w:type="dxa"/>
          </w:tcPr>
          <w:p w:rsidR="009D6480" w:rsidRPr="00CF7D0E" w:rsidP="00D70046" w14:paraId="38E135A2" w14:textId="77777777">
            <w:pPr>
              <w:rPr>
                <w:sz w:val="16"/>
              </w:rPr>
            </w:pPr>
          </w:p>
        </w:tc>
        <w:tc>
          <w:tcPr>
            <w:tcW w:w="5244" w:type="dxa"/>
          </w:tcPr>
          <w:p w:rsidR="009D6480" w:rsidP="00D70046" w14:paraId="32D3678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D1808">
              <w:rPr>
                <w:sz w:val="16"/>
                <w:szCs w:val="16"/>
              </w:rPr>
              <w:t>Alt fikseringsutstyr som kan komme med i strålefeltene må tegnes inn/modelleres særskilt.</w:t>
            </w:r>
          </w:p>
        </w:tc>
      </w:tr>
      <w:tr w14:paraId="7B882E75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3E6F315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Hippocampus_L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1990" w:type="dxa"/>
          </w:tcPr>
          <w:p w:rsidR="009D6480" w:rsidRPr="00CF7D0E" w:rsidP="00D70046" w14:paraId="4AC3DBF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120/40 (-20 </w:t>
            </w:r>
            <w:r w:rsidRPr="00CF7D0E">
              <w:rPr>
                <w:sz w:val="16"/>
              </w:rPr>
              <w:t>til +100)</w:t>
            </w:r>
          </w:p>
        </w:tc>
        <w:tc>
          <w:tcPr>
            <w:tcW w:w="5244" w:type="dxa"/>
          </w:tcPr>
          <w:p w:rsidR="009D6480" w:rsidRPr="00CF7D0E" w:rsidP="00D70046" w14:paraId="56D9C5DA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 xml:space="preserve">Representerer grå substans </w:t>
            </w:r>
            <w:r>
              <w:rPr>
                <w:sz w:val="16"/>
                <w:szCs w:val="16"/>
              </w:rPr>
              <w:t>medialt for laterale ventrikkel</w:t>
            </w:r>
            <w:r w:rsidRPr="00CF7D0E">
              <w:rPr>
                <w:sz w:val="16"/>
                <w:szCs w:val="16"/>
              </w:rPr>
              <w:t xml:space="preserve">s temporalhorn, og grenser medialt an mot cisterna </w:t>
            </w:r>
            <w:r w:rsidRPr="00CF7D0E">
              <w:rPr>
                <w:sz w:val="16"/>
                <w:szCs w:val="16"/>
              </w:rPr>
              <w:t>quadrigemina</w:t>
            </w:r>
            <w:r w:rsidRPr="00CF7D0E">
              <w:rPr>
                <w:sz w:val="16"/>
                <w:szCs w:val="16"/>
              </w:rPr>
              <w:t>. Bør tegnes basert på MR.</w:t>
            </w:r>
          </w:p>
        </w:tc>
      </w:tr>
      <w:tr w14:paraId="49BE2D56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326B3EC8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Hippocampi</w:t>
            </w:r>
          </w:p>
        </w:tc>
        <w:tc>
          <w:tcPr>
            <w:tcW w:w="1990" w:type="dxa"/>
          </w:tcPr>
          <w:p w:rsidR="009D6480" w:rsidRPr="00CF7D0E" w:rsidP="00D70046" w14:paraId="5754574C" w14:textId="77777777">
            <w:pPr>
              <w:rPr>
                <w:sz w:val="16"/>
              </w:rPr>
            </w:pPr>
          </w:p>
        </w:tc>
        <w:tc>
          <w:tcPr>
            <w:tcW w:w="5244" w:type="dxa"/>
          </w:tcPr>
          <w:p w:rsidR="009D6480" w:rsidRPr="00CF7D0E" w:rsidP="00D70046" w14:paraId="59A5D3E0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 xml:space="preserve">Union av </w:t>
            </w:r>
            <w:r w:rsidRPr="00CF7D0E">
              <w:rPr>
                <w:sz w:val="16"/>
                <w:szCs w:val="16"/>
              </w:rPr>
              <w:t>Hippocampus_L</w:t>
            </w:r>
            <w:r w:rsidRPr="00CF7D0E">
              <w:rPr>
                <w:sz w:val="16"/>
                <w:szCs w:val="16"/>
              </w:rPr>
              <w:t xml:space="preserve"> og </w:t>
            </w:r>
            <w:r w:rsidRPr="00CF7D0E">
              <w:rPr>
                <w:sz w:val="16"/>
                <w:szCs w:val="16"/>
              </w:rPr>
              <w:t>Hippocampus_R</w:t>
            </w:r>
            <w:r w:rsidRPr="00CF7D0E">
              <w:rPr>
                <w:sz w:val="16"/>
                <w:szCs w:val="16"/>
              </w:rPr>
              <w:t>.</w:t>
            </w:r>
          </w:p>
        </w:tc>
      </w:tr>
      <w:tr w14:paraId="37A5DA2D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1FDE2AD7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Hypothalamus_L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1990" w:type="dxa"/>
          </w:tcPr>
          <w:p w:rsidR="009D6480" w:rsidRPr="00CF7D0E" w:rsidP="00D70046" w14:paraId="291E317B" w14:textId="77777777">
            <w:pPr>
              <w:rPr>
                <w:color w:val="FF0000"/>
                <w:sz w:val="16"/>
              </w:rPr>
            </w:pPr>
            <w:r w:rsidRPr="00CF7D0E">
              <w:rPr>
                <w:sz w:val="16"/>
              </w:rPr>
              <w:t>120/40 (-20 til +100)</w:t>
            </w:r>
          </w:p>
        </w:tc>
        <w:tc>
          <w:tcPr>
            <w:tcW w:w="5244" w:type="dxa"/>
          </w:tcPr>
          <w:p w:rsidR="009D6480" w:rsidRPr="00CF7D0E" w:rsidP="00D70046" w14:paraId="065CF81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Polygonal struktur på hver side av tredje ventrikkel fra </w:t>
            </w:r>
            <w:r>
              <w:rPr>
                <w:sz w:val="16"/>
                <w:szCs w:val="16"/>
              </w:rPr>
              <w:t>commisura</w:t>
            </w:r>
            <w:r>
              <w:rPr>
                <w:sz w:val="16"/>
                <w:szCs w:val="16"/>
              </w:rPr>
              <w:t xml:space="preserve"> ant/post oppad og ned til basis i tredje ventrikkel. Bør tegnes basert på MR.</w:t>
            </w:r>
          </w:p>
        </w:tc>
      </w:tr>
      <w:tr w14:paraId="1F7173B3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70AFD20D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LacrimalGland_L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1990" w:type="dxa"/>
          </w:tcPr>
          <w:p w:rsidR="009D6480" w:rsidRPr="00CF7D0E" w:rsidP="00D70046" w14:paraId="241A3788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350/50 (-125 til +225)</w:t>
            </w:r>
          </w:p>
        </w:tc>
        <w:tc>
          <w:tcPr>
            <w:tcW w:w="5244" w:type="dxa"/>
          </w:tcPr>
          <w:p w:rsidR="009D6480" w:rsidRPr="00CF7D0E" w:rsidP="00D70046" w14:paraId="1CD12B29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Oval struktur (ca. 18 mm </w:t>
            </w:r>
            <w:r w:rsidRPr="00CF7D0E">
              <w:rPr>
                <w:sz w:val="16"/>
              </w:rPr>
              <w:t>kraniokaudalt</w:t>
            </w:r>
            <w:r w:rsidRPr="00CF7D0E">
              <w:rPr>
                <w:sz w:val="16"/>
              </w:rPr>
              <w:t>, 15 mm aksial lengde, 5mm bred</w:t>
            </w:r>
            <w:r w:rsidRPr="00CF7D0E">
              <w:rPr>
                <w:sz w:val="16"/>
              </w:rPr>
              <w:t xml:space="preserve">de). Kan være vanskelig å skille fra m. </w:t>
            </w:r>
            <w:r w:rsidRPr="00CF7D0E">
              <w:rPr>
                <w:sz w:val="16"/>
              </w:rPr>
              <w:t>rectus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sz w:val="16"/>
              </w:rPr>
              <w:t>lateralis</w:t>
            </w:r>
            <w:r w:rsidRPr="00CF7D0E">
              <w:rPr>
                <w:sz w:val="16"/>
              </w:rPr>
              <w:t>.</w:t>
            </w:r>
          </w:p>
        </w:tc>
      </w:tr>
      <w:tr w14:paraId="3194C32D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5E706F85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Lens_L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1990" w:type="dxa"/>
          </w:tcPr>
          <w:p w:rsidR="009D6480" w:rsidRPr="00CF7D0E" w:rsidP="00D70046" w14:paraId="1A7324D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350/50 (-125 til +225)</w:t>
            </w:r>
          </w:p>
        </w:tc>
        <w:tc>
          <w:tcPr>
            <w:tcW w:w="5244" w:type="dxa"/>
          </w:tcPr>
          <w:p w:rsidR="009D6480" w:rsidRPr="00CF7D0E" w:rsidP="00D70046" w14:paraId="4E586E85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Oval struktur, opptil 10 mm i diameter.</w:t>
            </w:r>
          </w:p>
        </w:tc>
      </w:tr>
      <w:tr w14:paraId="485E0314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33106D8A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OpticChiasm</w:t>
            </w:r>
          </w:p>
        </w:tc>
        <w:tc>
          <w:tcPr>
            <w:tcW w:w="1990" w:type="dxa"/>
          </w:tcPr>
          <w:p w:rsidR="009D6480" w:rsidRPr="00CF7D0E" w:rsidP="00D70046" w14:paraId="184718F5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120/40 (-20 til +100)</w:t>
            </w:r>
          </w:p>
        </w:tc>
        <w:tc>
          <w:tcPr>
            <w:tcW w:w="5244" w:type="dxa"/>
          </w:tcPr>
          <w:p w:rsidR="009D6480" w:rsidRPr="00CF7D0E" w:rsidP="00D70046" w14:paraId="7A952FF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Lokalisert omtrent</w:t>
            </w:r>
            <w:r w:rsidRPr="00CF7D0E">
              <w:rPr>
                <w:sz w:val="16"/>
                <w:szCs w:val="16"/>
              </w:rPr>
              <w:t xml:space="preserve"> 10 mm kranialt for sella </w:t>
            </w:r>
            <w:r w:rsidRPr="00CF7D0E">
              <w:rPr>
                <w:sz w:val="16"/>
                <w:szCs w:val="16"/>
              </w:rPr>
              <w:t>turcica</w:t>
            </w:r>
            <w:r w:rsidRPr="00CF7D0E">
              <w:rPr>
                <w:sz w:val="16"/>
                <w:szCs w:val="16"/>
              </w:rPr>
              <w:t xml:space="preserve"> og rett </w:t>
            </w:r>
            <w:r w:rsidRPr="00CF7D0E">
              <w:rPr>
                <w:sz w:val="16"/>
                <w:szCs w:val="16"/>
              </w:rPr>
              <w:t>anterior</w:t>
            </w:r>
            <w:r>
              <w:rPr>
                <w:sz w:val="16"/>
                <w:szCs w:val="16"/>
              </w:rPr>
              <w:t>t</w:t>
            </w:r>
            <w:r w:rsidRPr="00CF7D0E">
              <w:rPr>
                <w:sz w:val="16"/>
                <w:szCs w:val="16"/>
              </w:rPr>
              <w:t xml:space="preserve"> for hypofysestilken,</w:t>
            </w:r>
            <w:r w:rsidRPr="00CF7D0E">
              <w:rPr>
                <w:sz w:val="16"/>
                <w:szCs w:val="16"/>
              </w:rPr>
              <w:t xml:space="preserve"> rett medialt for a. </w:t>
            </w:r>
            <w:r w:rsidRPr="00CF7D0E">
              <w:rPr>
                <w:sz w:val="16"/>
                <w:szCs w:val="16"/>
              </w:rPr>
              <w:t>carotis</w:t>
            </w:r>
            <w:r w:rsidRPr="00CF7D0E">
              <w:rPr>
                <w:sz w:val="16"/>
                <w:szCs w:val="16"/>
              </w:rPr>
              <w:t xml:space="preserve"> </w:t>
            </w:r>
            <w:r w:rsidRPr="00CF7D0E">
              <w:rPr>
                <w:sz w:val="16"/>
                <w:szCs w:val="16"/>
              </w:rPr>
              <w:t>interna</w:t>
            </w:r>
            <w:r w:rsidRPr="00CF7D0E">
              <w:rPr>
                <w:sz w:val="16"/>
                <w:szCs w:val="16"/>
              </w:rPr>
              <w:t xml:space="preserve">. De fremste 5 mm av </w:t>
            </w:r>
            <w:r w:rsidRPr="00CF7D0E">
              <w:rPr>
                <w:sz w:val="16"/>
                <w:szCs w:val="16"/>
              </w:rPr>
              <w:t>tractus</w:t>
            </w:r>
            <w:r w:rsidRPr="00CF7D0E">
              <w:rPr>
                <w:sz w:val="16"/>
                <w:szCs w:val="16"/>
              </w:rPr>
              <w:t xml:space="preserve"> </w:t>
            </w:r>
            <w:r w:rsidRPr="00CF7D0E">
              <w:rPr>
                <w:sz w:val="16"/>
                <w:szCs w:val="16"/>
              </w:rPr>
              <w:t>opticus</w:t>
            </w:r>
            <w:r w:rsidRPr="00CF7D0E">
              <w:rPr>
                <w:sz w:val="16"/>
                <w:szCs w:val="16"/>
              </w:rPr>
              <w:t xml:space="preserve"> tegnes som en del av </w:t>
            </w:r>
            <w:r w:rsidRPr="00CF7D0E">
              <w:rPr>
                <w:sz w:val="16"/>
                <w:szCs w:val="16"/>
              </w:rPr>
              <w:t>OpticChiasm</w:t>
            </w:r>
            <w:r w:rsidRPr="00CF7D0E">
              <w:rPr>
                <w:sz w:val="16"/>
                <w:szCs w:val="16"/>
              </w:rPr>
              <w:t>.</w:t>
            </w:r>
          </w:p>
        </w:tc>
      </w:tr>
      <w:tr w14:paraId="562720CC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59A8E2EB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OpticNerve_L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1990" w:type="dxa"/>
          </w:tcPr>
          <w:p w:rsidR="009D6480" w:rsidRPr="00CF7D0E" w:rsidP="00D70046" w14:paraId="3F16243E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120/40 (-20 til +100)/</w:t>
            </w:r>
          </w:p>
          <w:p w:rsidR="009D6480" w:rsidRPr="00CF7D0E" w:rsidP="00D70046" w14:paraId="4F793451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1500/120 (-1100 til +1900)</w:t>
            </w:r>
          </w:p>
        </w:tc>
        <w:tc>
          <w:tcPr>
            <w:tcW w:w="5244" w:type="dxa"/>
          </w:tcPr>
          <w:p w:rsidR="009D6480" w:rsidRPr="00CF7D0E" w:rsidP="00D70046" w14:paraId="77D8E07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2-5 mm tykk struktur fra Retina bakover gjennom </w:t>
            </w:r>
            <w:r w:rsidRPr="00CF7D0E">
              <w:rPr>
                <w:sz w:val="16"/>
              </w:rPr>
              <w:t>canalis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sz w:val="16"/>
              </w:rPr>
              <w:t>opticus</w:t>
            </w:r>
            <w:r w:rsidRPr="00CF7D0E">
              <w:rPr>
                <w:sz w:val="16"/>
              </w:rPr>
              <w:t xml:space="preserve"> til </w:t>
            </w:r>
            <w:r w:rsidRPr="00CF7D0E">
              <w:rPr>
                <w:sz w:val="16"/>
              </w:rPr>
              <w:t>OpticChiasm</w:t>
            </w:r>
            <w:r w:rsidRPr="00CF7D0E">
              <w:rPr>
                <w:sz w:val="16"/>
              </w:rPr>
              <w:t>.</w:t>
            </w:r>
          </w:p>
        </w:tc>
      </w:tr>
      <w:tr w14:paraId="0C18DD8F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3622128B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Pituitary</w:t>
            </w:r>
          </w:p>
        </w:tc>
        <w:tc>
          <w:tcPr>
            <w:tcW w:w="1990" w:type="dxa"/>
          </w:tcPr>
          <w:p w:rsidR="009D6480" w:rsidRPr="00CF7D0E" w:rsidP="00D70046" w14:paraId="542E2F91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120/40 (-20 til +100)/</w:t>
            </w:r>
          </w:p>
          <w:p w:rsidR="009D6480" w:rsidRPr="00CF7D0E" w:rsidP="00D70046" w14:paraId="0AE3BC0C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1500/120 (-1100 til +1900)</w:t>
            </w:r>
          </w:p>
        </w:tc>
        <w:tc>
          <w:tcPr>
            <w:tcW w:w="5244" w:type="dxa"/>
          </w:tcPr>
          <w:p w:rsidR="009D6480" w:rsidRPr="00CF7D0E" w:rsidP="00D70046" w14:paraId="5DB1E13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Kaudalt for </w:t>
            </w:r>
            <w:r w:rsidRPr="00CF7D0E">
              <w:rPr>
                <w:sz w:val="16"/>
              </w:rPr>
              <w:t>chiasma</w:t>
            </w:r>
            <w:r w:rsidRPr="00CF7D0E">
              <w:rPr>
                <w:sz w:val="16"/>
              </w:rPr>
              <w:t xml:space="preserve">, ligger i sella </w:t>
            </w:r>
            <w:r w:rsidRPr="00CF7D0E">
              <w:rPr>
                <w:sz w:val="16"/>
              </w:rPr>
              <w:t>turcica</w:t>
            </w:r>
            <w:r w:rsidRPr="00CF7D0E">
              <w:rPr>
                <w:sz w:val="16"/>
              </w:rPr>
              <w:t>.</w:t>
            </w:r>
          </w:p>
        </w:tc>
      </w:tr>
      <w:tr w14:paraId="27F34E76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30F878BD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Retina_L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1990" w:type="dxa"/>
          </w:tcPr>
          <w:p w:rsidR="009D6480" w:rsidRPr="00CF7D0E" w:rsidP="00D70046" w14:paraId="473CB091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350/50 (-125 til +225)</w:t>
            </w:r>
          </w:p>
        </w:tc>
        <w:tc>
          <w:tcPr>
            <w:tcW w:w="5244" w:type="dxa"/>
          </w:tcPr>
          <w:p w:rsidR="009D6480" w:rsidRPr="00CF7D0E" w:rsidP="00D70046" w14:paraId="7E4E9692" w14:textId="77777777">
            <w:pPr>
              <w:rPr>
                <w:sz w:val="16"/>
              </w:rPr>
            </w:pPr>
            <w:r>
              <w:rPr>
                <w:sz w:val="16"/>
              </w:rPr>
              <w:t>2(-3) mm tykk struktur som d</w:t>
            </w:r>
            <w:r w:rsidRPr="00CF7D0E">
              <w:rPr>
                <w:sz w:val="16"/>
              </w:rPr>
              <w:t>ekker 5/6 av øyeeplet og går ventralt over i Cornea. Grensen defineres som</w:t>
            </w:r>
            <w:r w:rsidRPr="00CF7D0E">
              <w:rPr>
                <w:sz w:val="16"/>
              </w:rPr>
              <w:t xml:space="preserve"> en rett linje langs bakre begrensning av linsen, i både aksial- og </w:t>
            </w:r>
            <w:r w:rsidRPr="00CF7D0E">
              <w:rPr>
                <w:sz w:val="16"/>
              </w:rPr>
              <w:t>sagittalplanet</w:t>
            </w:r>
            <w:r w:rsidRPr="00CF7D0E">
              <w:rPr>
                <w:sz w:val="16"/>
              </w:rPr>
              <w:t>.</w:t>
            </w:r>
          </w:p>
        </w:tc>
      </w:tr>
      <w:tr w14:paraId="36A6DFDD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3C15BC3D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>Skin</w:t>
            </w:r>
          </w:p>
        </w:tc>
        <w:tc>
          <w:tcPr>
            <w:tcW w:w="1990" w:type="dxa"/>
          </w:tcPr>
          <w:p w:rsidR="009D6480" w:rsidRPr="00CF7D0E" w:rsidP="00D70046" w14:paraId="28E352EB" w14:textId="77777777">
            <w:pPr>
              <w:rPr>
                <w:sz w:val="16"/>
              </w:rPr>
            </w:pPr>
          </w:p>
        </w:tc>
        <w:tc>
          <w:tcPr>
            <w:tcW w:w="5244" w:type="dxa"/>
          </w:tcPr>
          <w:p w:rsidR="009D6480" w:rsidRPr="00CF7D0E" w:rsidP="00D70046" w14:paraId="33F0C448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>Ytterste 5 mm innenfor Body.</w:t>
            </w:r>
          </w:p>
        </w:tc>
      </w:tr>
      <w:tr w14:paraId="7ECA949F" w14:textId="77777777" w:rsidTr="000F44D2">
        <w:tblPrEx>
          <w:tblW w:w="9067" w:type="dxa"/>
          <w:tblLook w:val="04A0"/>
        </w:tblPrEx>
        <w:tc>
          <w:tcPr>
            <w:tcW w:w="1833" w:type="dxa"/>
          </w:tcPr>
          <w:p w:rsidR="009D6480" w:rsidRPr="00CF7D0E" w:rsidP="00D70046" w14:paraId="3AE6F5BB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SpinalCord</w:t>
            </w:r>
          </w:p>
        </w:tc>
        <w:tc>
          <w:tcPr>
            <w:tcW w:w="1990" w:type="dxa"/>
          </w:tcPr>
          <w:p w:rsidR="009D6480" w:rsidRPr="00CF7D0E" w:rsidP="00D70046" w14:paraId="496DD59C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120/40 (-20 til +100)</w:t>
            </w:r>
          </w:p>
        </w:tc>
        <w:tc>
          <w:tcPr>
            <w:tcW w:w="5244" w:type="dxa"/>
          </w:tcPr>
          <w:p w:rsidR="009D6480" w:rsidRPr="00CF7D0E" w:rsidP="00D70046" w14:paraId="15A890E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Øverste snitt skal være lik nederste snitt av </w:t>
            </w:r>
            <w:r w:rsidRPr="00CF7D0E">
              <w:rPr>
                <w:sz w:val="16"/>
              </w:rPr>
              <w:t>Brainstem</w:t>
            </w:r>
            <w:r w:rsidRPr="00CF7D0E">
              <w:rPr>
                <w:sz w:val="16"/>
              </w:rPr>
              <w:t>. Bør helst tegnes på CT ettersom nakkefleksjon</w:t>
            </w:r>
            <w:r w:rsidRPr="00CF7D0E">
              <w:rPr>
                <w:sz w:val="16"/>
              </w:rPr>
              <w:t xml:space="preserve"> kan variere mellom fiksering CT og MR.</w:t>
            </w:r>
          </w:p>
        </w:tc>
      </w:tr>
    </w:tbl>
    <w:p w:rsidR="009D6480" w:rsidRPr="00CF7D0E" w:rsidP="009D6480" w14:paraId="3CB4A141" w14:textId="77777777"/>
    <w:p w:rsidR="009D6480" w:rsidRPr="00CF7D0E" w:rsidP="009D6480" w14:paraId="789B2070" w14:textId="77777777">
      <w:pPr>
        <w:pStyle w:val="Heading2"/>
      </w:pPr>
      <w:bookmarkStart w:id="8" w:name="_Toc256000005"/>
      <w:r w:rsidRPr="00CF7D0E">
        <w:t>Målvolum</w:t>
      </w:r>
      <w:bookmarkEnd w:id="8"/>
    </w:p>
    <w:p w:rsidR="009D6480" w:rsidP="009D6480" w14:paraId="7238631E" w14:textId="77777777">
      <w:pPr>
        <w:rPr>
          <w:rFonts w:ascii="Calibri" w:hAnsi="Calibri" w:cs="Calibri"/>
        </w:rPr>
      </w:pPr>
      <w:r w:rsidRPr="00F76586">
        <w:t>Retningslinj</w:t>
      </w:r>
      <w:r>
        <w:t>ene for inntegning av målvolum</w:t>
      </w:r>
      <w:r w:rsidRPr="00F76586">
        <w:t xml:space="preserve"> baserer seg på anbefalinger fra</w:t>
      </w:r>
      <w:r>
        <w:rPr>
          <w:color w:val="FF0000"/>
        </w:rPr>
        <w:t xml:space="preserve"> </w:t>
      </w:r>
      <w:hyperlink r:id="rId6" w:history="1">
        <w:r>
          <w:rPr>
            <w:rStyle w:val="Hyperlink"/>
            <w:rFonts w:ascii="Calibri" w:hAnsi="Calibri" w:cs="Calibri"/>
          </w:rPr>
          <w:t>Helsedirektoratet 2023</w:t>
        </w:r>
      </w:hyperlink>
      <w:r>
        <w:rPr>
          <w:rStyle w:val="Hyperlink"/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ldData xml:space="preserve">PEVuZE5vdGU+PENpdGU+PEF1dGhvcj5IZWxzZWRpcmVrdG9yYXRldDwvQXV0aG9yPjxZZWFyPjIw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</w:fldData>
        </w:fldChar>
      </w:r>
      <w:r>
        <w:rPr>
          <w:rFonts w:ascii="Calibri" w:hAnsi="Calibri" w:cs="Calibri"/>
        </w:rPr>
        <w:instrText xml:space="preserve"> ADDIN EN.CITE </w:instrText>
      </w:r>
      <w:r>
        <w:rPr>
          <w:rFonts w:ascii="Calibri" w:hAnsi="Calibri" w:cs="Calibri"/>
        </w:rPr>
        <w:fldChar w:fldCharType="begin">
          <w:fldData xml:space="preserve">PEVuZE5vdGU+PENpdGU+PEF1dGhvcj5IZWxzZWRpcmVrdG9yYXRldDwvQXV0aG9yPjxZZWFyPjIw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</w:fldData>
        </w:fldChar>
      </w:r>
      <w:r>
        <w:rPr>
          <w:rFonts w:ascii="Calibri" w:hAnsi="Calibri" w:cs="Calibri"/>
        </w:rPr>
        <w:instrText xml:space="preserve"> ADDIN EN.CITE.DATA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[</w:t>
      </w:r>
      <w:hyperlink w:anchor="_ENREF_1" w:tooltip="Helsedirektoratet, 2020 #1481" w:history="1">
        <w:r>
          <w:rPr>
            <w:rFonts w:ascii="Calibri" w:hAnsi="Calibri" w:cs="Calibri"/>
            <w:noProof/>
          </w:rPr>
          <w:t>1-4</w:t>
        </w:r>
      </w:hyperlink>
      <w:r>
        <w:rPr>
          <w:rFonts w:ascii="Calibri" w:hAnsi="Calibri" w:cs="Calibri"/>
          <w:noProof/>
        </w:rPr>
        <w:t>]</w:t>
      </w:r>
      <w:r>
        <w:rPr>
          <w:rFonts w:ascii="Calibri" w:hAnsi="Calibri" w:cs="Calibri"/>
        </w:rPr>
        <w:fldChar w:fldCharType="end"/>
      </w:r>
      <w:r w:rsidRPr="00CF7D0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Påse alltid at de siste oppdaterte retningslinjene fra Helsedirektoratet følges da tabellen under viser anbefalingene som gjaldt ved siste revisjon av dette do</w:t>
      </w:r>
      <w:r>
        <w:rPr>
          <w:rFonts w:ascii="Calibri" w:hAnsi="Calibri" w:cs="Calibri"/>
        </w:rPr>
        <w:t>kumentet.</w:t>
      </w:r>
    </w:p>
    <w:p w:rsidR="00A8428D" w:rsidRPr="000712D0" w:rsidP="009D6480" w14:paraId="0A3CEC26" w14:textId="77777777">
      <w:pPr>
        <w:rPr>
          <w:rFonts w:ascii="Calibri" w:hAnsi="Calibri" w:cs="Calibri"/>
        </w:rPr>
      </w:pPr>
    </w:p>
    <w:p w:rsidR="009D6480" w:rsidRPr="00CF7D0E" w:rsidP="009D6480" w14:paraId="783F6E9B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4"/>
        </w:rPr>
      </w:pPr>
      <w:r w:rsidRPr="00CF7D0E">
        <w:rPr>
          <w:rFonts w:ascii="Calibri" w:hAnsi="Calibri" w:cs="Calibri"/>
          <w:b/>
          <w:szCs w:val="24"/>
        </w:rPr>
        <w:t>Meningeomer</w:t>
      </w:r>
    </w:p>
    <w:tbl>
      <w:tblPr>
        <w:tblStyle w:val="GridTable4Accent1"/>
        <w:tblW w:w="0" w:type="auto"/>
        <w:tblLook w:val="04A0"/>
      </w:tblPr>
      <w:tblGrid>
        <w:gridCol w:w="1299"/>
        <w:gridCol w:w="6464"/>
        <w:gridCol w:w="1276"/>
      </w:tblGrid>
      <w:tr w14:paraId="6FA6C91E" w14:textId="77777777" w:rsidTr="000F44D2">
        <w:tblPrEx>
          <w:tblW w:w="0" w:type="auto"/>
          <w:tblLook w:val="04A0"/>
        </w:tblPrEx>
        <w:tc>
          <w:tcPr>
            <w:tcW w:w="1299" w:type="dxa"/>
          </w:tcPr>
          <w:p w:rsidR="009D6480" w:rsidRPr="00CF7D0E" w:rsidP="00D70046" w14:paraId="3483222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Struktur</w:t>
            </w:r>
          </w:p>
        </w:tc>
        <w:tc>
          <w:tcPr>
            <w:tcW w:w="6464" w:type="dxa"/>
          </w:tcPr>
          <w:p w:rsidR="009D6480" w:rsidRPr="00CF7D0E" w:rsidP="00D70046" w14:paraId="25C0FC2B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Beskrivelse</w:t>
            </w:r>
          </w:p>
        </w:tc>
        <w:tc>
          <w:tcPr>
            <w:tcW w:w="1276" w:type="dxa"/>
          </w:tcPr>
          <w:p w:rsidR="009D6480" w:rsidRPr="00CF7D0E" w:rsidP="00D70046" w14:paraId="7796CF97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Marginer</w:t>
            </w:r>
          </w:p>
        </w:tc>
      </w:tr>
      <w:tr w14:paraId="02143E0A" w14:textId="77777777" w:rsidTr="000F44D2">
        <w:tblPrEx>
          <w:tblW w:w="0" w:type="auto"/>
          <w:tblLook w:val="04A0"/>
        </w:tblPrEx>
        <w:tc>
          <w:tcPr>
            <w:tcW w:w="1299" w:type="dxa"/>
          </w:tcPr>
          <w:p w:rsidR="009D6480" w:rsidRPr="00CF7D0E" w:rsidP="00D70046" w14:paraId="6C7E681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GTV</w:t>
            </w:r>
          </w:p>
        </w:tc>
        <w:tc>
          <w:tcPr>
            <w:tcW w:w="6464" w:type="dxa"/>
          </w:tcPr>
          <w:p w:rsidR="009D6480" w:rsidRPr="00CF7D0E" w:rsidP="00D70046" w14:paraId="486B9B8F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GTV består av makroskopisk tumorvolum og/eller eventuell reseksjonskavitet og defineres på individuelt grunnlag ut fra volumserie MR (oftest T1-serie med kontrast) </w:t>
            </w:r>
            <w:r w:rsidRPr="00CF7D0E">
              <w:rPr>
                <w:sz w:val="16"/>
              </w:rPr>
              <w:t>ko</w:t>
            </w:r>
            <w:r w:rsidRPr="00CF7D0E">
              <w:rPr>
                <w:sz w:val="16"/>
              </w:rPr>
              <w:t>-registrert med CT for doseplanlegging. Patologisk oppladning i dura, «</w:t>
            </w:r>
            <w:r w:rsidRPr="00CF7D0E">
              <w:rPr>
                <w:sz w:val="16"/>
              </w:rPr>
              <w:t>dural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sz w:val="16"/>
              </w:rPr>
              <w:t>tails</w:t>
            </w:r>
            <w:r w:rsidRPr="00CF7D0E">
              <w:rPr>
                <w:sz w:val="16"/>
              </w:rPr>
              <w:t>», og om</w:t>
            </w:r>
            <w:r w:rsidRPr="00CF7D0E">
              <w:rPr>
                <w:sz w:val="16"/>
              </w:rPr>
              <w:t xml:space="preserve">råder for beninfiltrasjon inkluderes etter individuell vurdering i GTV. Etter kirurgi bør områder hvor tumor var </w:t>
            </w:r>
            <w:r w:rsidRPr="00CF7D0E">
              <w:rPr>
                <w:sz w:val="16"/>
              </w:rPr>
              <w:t>tilheftet</w:t>
            </w:r>
            <w:r w:rsidRPr="00CF7D0E">
              <w:rPr>
                <w:sz w:val="16"/>
              </w:rPr>
              <w:t xml:space="preserve"> dura inkluderes. Målvolum kan med fordel tegnes i samarbeid med radiolog og eventuelt kirurg.</w:t>
            </w:r>
          </w:p>
        </w:tc>
        <w:tc>
          <w:tcPr>
            <w:tcW w:w="1276" w:type="dxa"/>
          </w:tcPr>
          <w:p w:rsidR="009D6480" w:rsidRPr="00CF7D0E" w:rsidP="00D70046" w14:paraId="633BA42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Ingen</w:t>
            </w:r>
          </w:p>
        </w:tc>
      </w:tr>
      <w:tr w14:paraId="45C64C8A" w14:textId="77777777" w:rsidTr="000F44D2">
        <w:tblPrEx>
          <w:tblW w:w="0" w:type="auto"/>
          <w:tblLook w:val="04A0"/>
        </w:tblPrEx>
        <w:tc>
          <w:tcPr>
            <w:tcW w:w="1299" w:type="dxa"/>
          </w:tcPr>
          <w:p w:rsidR="009D6480" w:rsidRPr="00CF7D0E" w:rsidP="00D70046" w14:paraId="5D9CB40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CTV</w:t>
            </w:r>
          </w:p>
        </w:tc>
        <w:tc>
          <w:tcPr>
            <w:tcW w:w="6464" w:type="dxa"/>
          </w:tcPr>
          <w:p w:rsidR="009D6480" w:rsidRPr="00CF7D0E" w:rsidP="00D70046" w14:paraId="5FB2C1A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CTV omfatter GTV og området </w:t>
            </w:r>
            <w:r w:rsidRPr="00CF7D0E">
              <w:rPr>
                <w:sz w:val="16"/>
              </w:rPr>
              <w:t xml:space="preserve">for mistenkt (subklinisk) sykdom og genereres som </w:t>
            </w:r>
            <w:r w:rsidRPr="00CF7D0E">
              <w:rPr>
                <w:sz w:val="16"/>
              </w:rPr>
              <w:t>isotropisk</w:t>
            </w:r>
            <w:r w:rsidRPr="00CF7D0E">
              <w:rPr>
                <w:sz w:val="16"/>
              </w:rPr>
              <w:t xml:space="preserve"> margin til GTV. Marginen fra GTV til CTV må vurderes individuelt. For velavgrensede meningeomer WHO grad 1 kan det være forsvarlig å bruke 2-5 mm margin, mens man ved WHO grad 2 og 3 meningeomer </w:t>
            </w:r>
            <w:r w:rsidRPr="00CF7D0E">
              <w:rPr>
                <w:sz w:val="16"/>
              </w:rPr>
              <w:t>bør vurdere større margin på 5–10 mm. Ved WHO grad 3 meningeomer kan enda større marginer være</w:t>
            </w:r>
            <w:r>
              <w:rPr>
                <w:sz w:val="16"/>
              </w:rPr>
              <w:t xml:space="preserve"> </w:t>
            </w:r>
            <w:r w:rsidRPr="00CF7D0E">
              <w:rPr>
                <w:sz w:val="16"/>
              </w:rPr>
              <w:t xml:space="preserve">nødvendig, særlig om det er mistanke om </w:t>
            </w:r>
            <w:r w:rsidRPr="00CF7D0E">
              <w:rPr>
                <w:sz w:val="16"/>
              </w:rPr>
              <w:t>infiltrativ</w:t>
            </w:r>
            <w:r w:rsidRPr="00CF7D0E">
              <w:rPr>
                <w:sz w:val="16"/>
              </w:rPr>
              <w:t xml:space="preserve"> vekst.</w:t>
            </w:r>
          </w:p>
          <w:p w:rsidR="009D6480" w:rsidRPr="00CF7D0E" w:rsidP="00D70046" w14:paraId="67BB864B" w14:textId="77777777">
            <w:pPr>
              <w:rPr>
                <w:sz w:val="16"/>
              </w:rPr>
            </w:pPr>
          </w:p>
          <w:p w:rsidR="009D6480" w:rsidRPr="00CF7D0E" w:rsidP="00D70046" w14:paraId="201BE3A8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CTV bør vurderes utvidet i områder hvor større mikroskopisk infiltrasjon mistenkes, for eksempel lang</w:t>
            </w:r>
            <w:r w:rsidRPr="00CF7D0E">
              <w:rPr>
                <w:sz w:val="16"/>
              </w:rPr>
              <w:t xml:space="preserve">s meninger. Videre bør CTV beskjæres for naturlige anatomiske barrierer som skjelett, ventrikler og hjernestamme – med mindre </w:t>
            </w:r>
            <w:r w:rsidRPr="00CF7D0E">
              <w:rPr>
                <w:sz w:val="16"/>
              </w:rPr>
              <w:t>infiltrativ</w:t>
            </w:r>
            <w:r w:rsidRPr="00CF7D0E">
              <w:rPr>
                <w:sz w:val="16"/>
              </w:rPr>
              <w:t xml:space="preserve"> vekst mistenkes. CTV bør ikke strekke seg lenger enn 2-5 mm inn i makroskopisk uaffisert hjernevev (individuell vurder</w:t>
            </w:r>
            <w:r w:rsidRPr="00CF7D0E">
              <w:rPr>
                <w:sz w:val="16"/>
              </w:rPr>
              <w:t>ing).</w:t>
            </w:r>
          </w:p>
        </w:tc>
        <w:tc>
          <w:tcPr>
            <w:tcW w:w="1276" w:type="dxa"/>
          </w:tcPr>
          <w:p w:rsidR="009D6480" w:rsidRPr="00CF7D0E" w:rsidP="00D70046" w14:paraId="68F979E6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Individuell vurdering. Fortrinnsvis 2-10 mm isotrop margin fra GTV.</w:t>
            </w:r>
          </w:p>
        </w:tc>
      </w:tr>
    </w:tbl>
    <w:p w:rsidR="009D6480" w:rsidRPr="00CF7D0E" w:rsidP="009D6480" w14:paraId="637317C2" w14:textId="77777777">
      <w:pPr>
        <w:rPr>
          <w:color w:val="FF0000"/>
        </w:rPr>
      </w:pPr>
    </w:p>
    <w:p w:rsidR="009D6480" w:rsidRPr="00CF7D0E" w:rsidP="009D6480" w14:paraId="51634E35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4"/>
        </w:rPr>
      </w:pPr>
      <w:r w:rsidRPr="00CF7D0E">
        <w:rPr>
          <w:rFonts w:ascii="Calibri" w:hAnsi="Calibri" w:cs="Calibri"/>
          <w:b/>
          <w:szCs w:val="24"/>
        </w:rPr>
        <w:t>Hypofyseadenomer</w:t>
      </w:r>
    </w:p>
    <w:tbl>
      <w:tblPr>
        <w:tblStyle w:val="GridTable4Accent1"/>
        <w:tblW w:w="0" w:type="auto"/>
        <w:tblLook w:val="04A0"/>
      </w:tblPr>
      <w:tblGrid>
        <w:gridCol w:w="1299"/>
        <w:gridCol w:w="6464"/>
        <w:gridCol w:w="1276"/>
      </w:tblGrid>
      <w:tr w14:paraId="108084C7" w14:textId="77777777" w:rsidTr="000F44D2">
        <w:tblPrEx>
          <w:tblW w:w="0" w:type="auto"/>
          <w:tblLook w:val="04A0"/>
        </w:tblPrEx>
        <w:tc>
          <w:tcPr>
            <w:tcW w:w="1299" w:type="dxa"/>
          </w:tcPr>
          <w:p w:rsidR="009D6480" w:rsidRPr="00CF7D0E" w:rsidP="00D70046" w14:paraId="69BC343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Struktur</w:t>
            </w:r>
          </w:p>
        </w:tc>
        <w:tc>
          <w:tcPr>
            <w:tcW w:w="6464" w:type="dxa"/>
          </w:tcPr>
          <w:p w:rsidR="009D6480" w:rsidRPr="00CF7D0E" w:rsidP="00D70046" w14:paraId="742B6669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Beskrivelse</w:t>
            </w:r>
          </w:p>
        </w:tc>
        <w:tc>
          <w:tcPr>
            <w:tcW w:w="1276" w:type="dxa"/>
          </w:tcPr>
          <w:p w:rsidR="009D6480" w:rsidRPr="00CF7D0E" w:rsidP="00D70046" w14:paraId="4004BAD6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Marginer</w:t>
            </w:r>
          </w:p>
        </w:tc>
      </w:tr>
      <w:tr w14:paraId="5728BAF7" w14:textId="77777777" w:rsidTr="000F44D2">
        <w:tblPrEx>
          <w:tblW w:w="0" w:type="auto"/>
          <w:tblLook w:val="04A0"/>
        </w:tblPrEx>
        <w:tc>
          <w:tcPr>
            <w:tcW w:w="1299" w:type="dxa"/>
          </w:tcPr>
          <w:p w:rsidR="009D6480" w:rsidRPr="00CF7D0E" w:rsidP="00D70046" w14:paraId="2D72826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GTV</w:t>
            </w:r>
          </w:p>
        </w:tc>
        <w:tc>
          <w:tcPr>
            <w:tcW w:w="6464" w:type="dxa"/>
          </w:tcPr>
          <w:p w:rsidR="009D6480" w:rsidRPr="00CF7D0E" w:rsidP="00D70046" w14:paraId="1D00DD5E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GTV består av makroskopisk tumorvolum og/eller eventuell reseksjonskavitet og defineres på</w:t>
            </w:r>
          </w:p>
          <w:p w:rsidR="009D6480" w:rsidRPr="00CF7D0E" w:rsidP="00D70046" w14:paraId="45392AFA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individuelt grunnlag ut fra </w:t>
            </w:r>
            <w:r w:rsidRPr="00CF7D0E">
              <w:rPr>
                <w:sz w:val="16"/>
              </w:rPr>
              <w:t xml:space="preserve">volumserie MR (oftest T1-serie med kontrast) </w:t>
            </w:r>
            <w:r w:rsidRPr="00CF7D0E">
              <w:rPr>
                <w:sz w:val="16"/>
              </w:rPr>
              <w:t>ko</w:t>
            </w:r>
            <w:r w:rsidRPr="00CF7D0E">
              <w:rPr>
                <w:sz w:val="16"/>
              </w:rPr>
              <w:t>-registrert med CT for doseplanlegging. Målvolum kan med fordel tegnes i samarbeid med radiolog og eventuelt kirurg.</w:t>
            </w:r>
          </w:p>
        </w:tc>
        <w:tc>
          <w:tcPr>
            <w:tcW w:w="1276" w:type="dxa"/>
          </w:tcPr>
          <w:p w:rsidR="009D6480" w:rsidRPr="00CF7D0E" w:rsidP="00D70046" w14:paraId="3D328BC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Ingen</w:t>
            </w:r>
          </w:p>
        </w:tc>
      </w:tr>
      <w:tr w14:paraId="5F63C796" w14:textId="77777777" w:rsidTr="000F44D2">
        <w:tblPrEx>
          <w:tblW w:w="0" w:type="auto"/>
          <w:tblLook w:val="04A0"/>
        </w:tblPrEx>
        <w:tc>
          <w:tcPr>
            <w:tcW w:w="1299" w:type="dxa"/>
          </w:tcPr>
          <w:p w:rsidR="009D6480" w:rsidRPr="00CF7D0E" w:rsidP="00D70046" w14:paraId="50996AA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CTV</w:t>
            </w:r>
          </w:p>
        </w:tc>
        <w:tc>
          <w:tcPr>
            <w:tcW w:w="6464" w:type="dxa"/>
          </w:tcPr>
          <w:p w:rsidR="009D6480" w:rsidRPr="00CF7D0E" w:rsidP="00D70046" w14:paraId="289C4E4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CTV omfatter GTV og området for mistenkt (subklinisk) sykdom og genereres som </w:t>
            </w:r>
            <w:r w:rsidRPr="00CF7D0E">
              <w:rPr>
                <w:sz w:val="16"/>
              </w:rPr>
              <w:t>iso</w:t>
            </w:r>
            <w:r w:rsidRPr="00CF7D0E">
              <w:rPr>
                <w:sz w:val="16"/>
              </w:rPr>
              <w:t>tropisk</w:t>
            </w:r>
            <w:r w:rsidRPr="00CF7D0E">
              <w:rPr>
                <w:sz w:val="16"/>
              </w:rPr>
              <w:t xml:space="preserve"> margin til GTV. Marginen fra GTV til CTV må vurderes individuelt, avhengig av hvor velavgrenset</w:t>
            </w:r>
          </w:p>
          <w:p w:rsidR="009D6480" w:rsidRPr="00CF7D0E" w:rsidP="00D70046" w14:paraId="0F72A3BA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tumor er og hvor lett tumor og eventuell reseksjonskavitet lar seg definere. Hypofyseadenomer</w:t>
            </w:r>
          </w:p>
          <w:p w:rsidR="009D6480" w:rsidRPr="00CF7D0E" w:rsidP="00D70046" w14:paraId="3BFFCC1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vokser oftest ekspansivt og bare sjelden infiltrerende og </w:t>
            </w:r>
            <w:r w:rsidRPr="00CF7D0E">
              <w:rPr>
                <w:sz w:val="16"/>
              </w:rPr>
              <w:t>en margin på 2–5 mm vil oftest være tilstrekkelig.</w:t>
            </w:r>
          </w:p>
          <w:p w:rsidR="009D6480" w:rsidRPr="00CF7D0E" w:rsidP="00D70046" w14:paraId="5F449C8A" w14:textId="77777777">
            <w:pPr>
              <w:rPr>
                <w:sz w:val="16"/>
              </w:rPr>
            </w:pPr>
          </w:p>
          <w:p w:rsidR="009D6480" w:rsidRPr="00CF7D0E" w:rsidP="00D70046" w14:paraId="66363757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CTV bør vurderes utvidet i områder hvor større mikroskopisk infiltrasjon mistenkes. Videre bør CTV beskjæres for naturlige anatomiske barrierer som skjelett, ventrikler, hjernestamme og hjernehinner – med</w:t>
            </w:r>
            <w:r w:rsidRPr="00CF7D0E">
              <w:rPr>
                <w:sz w:val="16"/>
              </w:rPr>
              <w:t xml:space="preserve"> mindre </w:t>
            </w:r>
            <w:r w:rsidRPr="00CF7D0E">
              <w:rPr>
                <w:sz w:val="16"/>
              </w:rPr>
              <w:t>infiltrativ</w:t>
            </w:r>
            <w:r w:rsidRPr="00CF7D0E">
              <w:rPr>
                <w:sz w:val="16"/>
              </w:rPr>
              <w:t xml:space="preserve"> vekst mistenkes. CTV bør ikke strekke seg lenger enn 2 mm inn i makroskopisk uaffisert hjernevev.</w:t>
            </w:r>
          </w:p>
        </w:tc>
        <w:tc>
          <w:tcPr>
            <w:tcW w:w="1276" w:type="dxa"/>
          </w:tcPr>
          <w:p w:rsidR="009D6480" w:rsidRPr="00CF7D0E" w:rsidP="00D70046" w14:paraId="48F6034F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Individuell vurdering. </w:t>
            </w:r>
          </w:p>
          <w:p w:rsidR="009D6480" w:rsidRPr="00CF7D0E" w:rsidP="00D70046" w14:paraId="20E9CD76" w14:textId="77777777">
            <w:pPr>
              <w:rPr>
                <w:sz w:val="16"/>
              </w:rPr>
            </w:pPr>
          </w:p>
          <w:p w:rsidR="009D6480" w:rsidRPr="00CF7D0E" w:rsidP="00D70046" w14:paraId="447BE097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Fortrinnsvis 2-5 mm isotrop margin fra GTV. Ev. utvidet ved større mikroskopisk infiltrasjon.</w:t>
            </w:r>
          </w:p>
        </w:tc>
      </w:tr>
    </w:tbl>
    <w:p w:rsidR="009D6480" w:rsidRPr="00CF7D0E" w:rsidP="009D6480" w14:paraId="11ECB151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/>
      </w:r>
      <w:r w:rsidRPr="00CF7D0E">
        <w:rPr>
          <w:rFonts w:ascii="Calibri" w:hAnsi="Calibri" w:cs="Calibri"/>
          <w:b/>
          <w:szCs w:val="24"/>
        </w:rPr>
        <w:t>Gliomer</w:t>
      </w:r>
    </w:p>
    <w:tbl>
      <w:tblPr>
        <w:tblStyle w:val="GridTable4Accent1"/>
        <w:tblW w:w="0" w:type="auto"/>
        <w:tblLook w:val="04A0"/>
      </w:tblPr>
      <w:tblGrid>
        <w:gridCol w:w="1299"/>
        <w:gridCol w:w="6464"/>
        <w:gridCol w:w="1276"/>
      </w:tblGrid>
      <w:tr w14:paraId="3A877EA7" w14:textId="77777777" w:rsidTr="000F44D2">
        <w:tblPrEx>
          <w:tblW w:w="0" w:type="auto"/>
          <w:tblLook w:val="04A0"/>
        </w:tblPrEx>
        <w:tc>
          <w:tcPr>
            <w:tcW w:w="1299" w:type="dxa"/>
          </w:tcPr>
          <w:p w:rsidR="009D6480" w:rsidRPr="00CF7D0E" w:rsidP="00D70046" w14:paraId="405B328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Struktur</w:t>
            </w:r>
          </w:p>
        </w:tc>
        <w:tc>
          <w:tcPr>
            <w:tcW w:w="6464" w:type="dxa"/>
          </w:tcPr>
          <w:p w:rsidR="009D6480" w:rsidRPr="00CF7D0E" w:rsidP="00D70046" w14:paraId="05ADAD6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Beskrivelse</w:t>
            </w:r>
          </w:p>
        </w:tc>
        <w:tc>
          <w:tcPr>
            <w:tcW w:w="1276" w:type="dxa"/>
          </w:tcPr>
          <w:p w:rsidR="009D6480" w:rsidRPr="00CF7D0E" w:rsidP="00D70046" w14:paraId="72E0F0EC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Marginer</w:t>
            </w:r>
          </w:p>
        </w:tc>
      </w:tr>
      <w:tr w14:paraId="7DEB3CBE" w14:textId="77777777" w:rsidTr="000F44D2">
        <w:tblPrEx>
          <w:tblW w:w="0" w:type="auto"/>
          <w:tblLook w:val="04A0"/>
        </w:tblPrEx>
        <w:tc>
          <w:tcPr>
            <w:tcW w:w="1299" w:type="dxa"/>
          </w:tcPr>
          <w:p w:rsidR="009D6480" w:rsidRPr="00CF7D0E" w:rsidP="00D70046" w14:paraId="7B129C5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GTV</w:t>
            </w:r>
          </w:p>
        </w:tc>
        <w:tc>
          <w:tcPr>
            <w:tcW w:w="6464" w:type="dxa"/>
          </w:tcPr>
          <w:p w:rsidR="009D6480" w:rsidRPr="00CF7D0E" w:rsidP="00D70046" w14:paraId="1403AC7D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Inntegning av GTV gjøres på bakgrunn av CT for doseplanlegging, med støtte i relevante</w:t>
            </w:r>
          </w:p>
          <w:p w:rsidR="009D6480" w:rsidRPr="00CF7D0E" w:rsidP="00D70046" w14:paraId="6BFD01F6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MR-sekvenser (det</w:t>
            </w:r>
            <w:r>
              <w:rPr>
                <w:sz w:val="16"/>
              </w:rPr>
              <w:t xml:space="preserve"> er</w:t>
            </w:r>
            <w:r w:rsidRPr="00CF7D0E">
              <w:rPr>
                <w:sz w:val="16"/>
              </w:rPr>
              <w:t xml:space="preserve"> viktig å sjekke at </w:t>
            </w:r>
            <w:r w:rsidRPr="00CF7D0E">
              <w:rPr>
                <w:sz w:val="16"/>
              </w:rPr>
              <w:t>ko</w:t>
            </w:r>
            <w:r w:rsidRPr="00CF7D0E">
              <w:rPr>
                <w:sz w:val="16"/>
              </w:rPr>
              <w:t>-registreringen er bra).</w:t>
            </w:r>
          </w:p>
          <w:p w:rsidR="009D6480" w:rsidRPr="00CF7D0E" w:rsidP="00D70046" w14:paraId="6441304D" w14:textId="77777777">
            <w:pPr>
              <w:rPr>
                <w:sz w:val="16"/>
              </w:rPr>
            </w:pPr>
          </w:p>
          <w:p w:rsidR="009D6480" w:rsidRPr="00CF7D0E" w:rsidP="00D70046" w14:paraId="33E6F69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GTV består av reseksjonskavitet inkludert eventuell </w:t>
            </w:r>
            <w:r w:rsidRPr="00CF7D0E">
              <w:rPr>
                <w:sz w:val="16"/>
              </w:rPr>
              <w:t>gjenstående tumor. Både kontrastladende</w:t>
            </w:r>
          </w:p>
          <w:p w:rsidR="009D6480" w:rsidRPr="00CF7D0E" w:rsidP="00D70046" w14:paraId="3E8E683A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(fremstilt</w:t>
            </w:r>
            <w:r>
              <w:rPr>
                <w:sz w:val="16"/>
              </w:rPr>
              <w:t xml:space="preserve"> </w:t>
            </w:r>
            <w:r w:rsidRPr="00CF7D0E">
              <w:rPr>
                <w:sz w:val="16"/>
              </w:rPr>
              <w:t xml:space="preserve">på T1-vektede MR-bilder med kontrast) og ikke-kontrastladende tumorsuspekte komponenter (fremstilt på T2-vektede bilder inkludert FLAIR) skal inkluderes i GTV, mens </w:t>
            </w:r>
            <w:r w:rsidRPr="00CF7D0E">
              <w:rPr>
                <w:sz w:val="16"/>
              </w:rPr>
              <w:t>peritumoralt</w:t>
            </w:r>
            <w:r w:rsidRPr="00CF7D0E">
              <w:rPr>
                <w:sz w:val="16"/>
              </w:rPr>
              <w:t xml:space="preserve"> ødem ikke skal inkluderes. </w:t>
            </w:r>
            <w:r w:rsidRPr="00CF7D0E">
              <w:rPr>
                <w:sz w:val="16"/>
              </w:rPr>
              <w:t xml:space="preserve">Det er ofte vanskelig å skille ikke-kontrastladende tumorkomponenter fra </w:t>
            </w:r>
            <w:r w:rsidRPr="00CF7D0E">
              <w:rPr>
                <w:sz w:val="16"/>
              </w:rPr>
              <w:t>peritumoralt</w:t>
            </w:r>
            <w:r w:rsidRPr="00CF7D0E">
              <w:rPr>
                <w:sz w:val="16"/>
              </w:rPr>
              <w:t xml:space="preserve"> ødem, og i tvilstilfeller bør man konsultere </w:t>
            </w:r>
            <w:r w:rsidRPr="00CF7D0E">
              <w:rPr>
                <w:sz w:val="16"/>
              </w:rPr>
              <w:t>nevroradiolog</w:t>
            </w:r>
            <w:r w:rsidRPr="00CF7D0E">
              <w:rPr>
                <w:sz w:val="16"/>
              </w:rPr>
              <w:t>). Hvor mye av FLAIR-forandringene som inkluderes i GTV vil ha betydning for størrelse på CTV-margin.</w:t>
            </w:r>
          </w:p>
        </w:tc>
        <w:tc>
          <w:tcPr>
            <w:tcW w:w="1276" w:type="dxa"/>
          </w:tcPr>
          <w:p w:rsidR="009D6480" w:rsidRPr="00CF7D0E" w:rsidP="00D70046" w14:paraId="7841587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Ingen</w:t>
            </w:r>
          </w:p>
        </w:tc>
      </w:tr>
      <w:tr w14:paraId="70777AD3" w14:textId="77777777" w:rsidTr="000F44D2">
        <w:tblPrEx>
          <w:tblW w:w="0" w:type="auto"/>
          <w:tblLook w:val="04A0"/>
        </w:tblPrEx>
        <w:tc>
          <w:tcPr>
            <w:tcW w:w="1299" w:type="dxa"/>
          </w:tcPr>
          <w:p w:rsidR="009D6480" w:rsidRPr="00CF7D0E" w:rsidP="00D70046" w14:paraId="448646B9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CTV</w:t>
            </w:r>
          </w:p>
        </w:tc>
        <w:tc>
          <w:tcPr>
            <w:tcW w:w="6464" w:type="dxa"/>
          </w:tcPr>
          <w:p w:rsidR="009D6480" w:rsidRPr="00CF7D0E" w:rsidP="00D70046" w14:paraId="6E54113A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CTV omfatter GTV og område med høyest sannsynlighet for mikroskopisk tumorinfiltrasjon.</w:t>
            </w:r>
          </w:p>
          <w:p w:rsidR="009D6480" w:rsidRPr="00CF7D0E" w:rsidP="00D70046" w14:paraId="2A25DF19" w14:textId="77777777">
            <w:pPr>
              <w:rPr>
                <w:sz w:val="16"/>
              </w:rPr>
            </w:pPr>
          </w:p>
          <w:p w:rsidR="009D6480" w:rsidRPr="00CF7D0E" w:rsidP="00D70046" w14:paraId="09EC93D5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 xml:space="preserve">Man genererer CTV som </w:t>
            </w:r>
            <w:r w:rsidRPr="00CF7D0E">
              <w:rPr>
                <w:sz w:val="16"/>
              </w:rPr>
              <w:t>isotropisk</w:t>
            </w:r>
            <w:r w:rsidRPr="00CF7D0E">
              <w:rPr>
                <w:sz w:val="16"/>
              </w:rPr>
              <w:t xml:space="preserve"> margin til GTV, som så beskjæres mot naturlige barrierer som skjelett, </w:t>
            </w:r>
            <w:r w:rsidRPr="00CF7D0E">
              <w:rPr>
                <w:sz w:val="16"/>
              </w:rPr>
              <w:t>falx</w:t>
            </w:r>
            <w:r w:rsidRPr="00CF7D0E">
              <w:rPr>
                <w:sz w:val="16"/>
              </w:rPr>
              <w:t xml:space="preserve">, </w:t>
            </w:r>
            <w:r w:rsidRPr="00CF7D0E">
              <w:rPr>
                <w:sz w:val="16"/>
              </w:rPr>
              <w:t>tentorium</w:t>
            </w:r>
            <w:r w:rsidRPr="00CF7D0E">
              <w:rPr>
                <w:sz w:val="16"/>
              </w:rPr>
              <w:t xml:space="preserve">, </w:t>
            </w:r>
            <w:r w:rsidRPr="00CF7D0E">
              <w:rPr>
                <w:sz w:val="16"/>
              </w:rPr>
              <w:t>nervus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sz w:val="16"/>
              </w:rPr>
              <w:t>opticus</w:t>
            </w:r>
            <w:r w:rsidRPr="00CF7D0E">
              <w:rPr>
                <w:sz w:val="16"/>
              </w:rPr>
              <w:t xml:space="preserve"> og </w:t>
            </w:r>
            <w:r w:rsidRPr="00CF7D0E">
              <w:rPr>
                <w:sz w:val="16"/>
              </w:rPr>
              <w:t>chiasma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sz w:val="16"/>
              </w:rPr>
              <w:t>opticum</w:t>
            </w:r>
            <w:r w:rsidRPr="00CF7D0E">
              <w:rPr>
                <w:sz w:val="16"/>
              </w:rPr>
              <w:t xml:space="preserve"> (0 mm), hje</w:t>
            </w:r>
            <w:r w:rsidRPr="00CF7D0E">
              <w:rPr>
                <w:sz w:val="16"/>
              </w:rPr>
              <w:t xml:space="preserve">rnestamme (individuell beskjæring på 0-5 mm), og eventuelt ventrikler (0-5 mm). Beskjæring forutsetter at tumor ikke følger nervebaner som går inn i disse strukturene, og at en ikke mistenker infiltrasjon i noen av barrierene. Ved </w:t>
            </w:r>
            <w:r w:rsidRPr="00CF7D0E">
              <w:rPr>
                <w:sz w:val="16"/>
              </w:rPr>
              <w:t>gliosarkom</w:t>
            </w:r>
            <w:r w:rsidRPr="00CF7D0E">
              <w:rPr>
                <w:sz w:val="16"/>
              </w:rPr>
              <w:t xml:space="preserve"> skal man være </w:t>
            </w:r>
            <w:r w:rsidRPr="00CF7D0E">
              <w:rPr>
                <w:sz w:val="16"/>
              </w:rPr>
              <w:t xml:space="preserve">spesielt oppmerksom på muligheten for </w:t>
            </w:r>
            <w:r w:rsidRPr="00CF7D0E">
              <w:rPr>
                <w:sz w:val="16"/>
              </w:rPr>
              <w:t>innvekst</w:t>
            </w:r>
            <w:r w:rsidRPr="00CF7D0E">
              <w:rPr>
                <w:sz w:val="16"/>
              </w:rPr>
              <w:t xml:space="preserve"> i skjelett og hjernehinner.</w:t>
            </w:r>
          </w:p>
          <w:p w:rsidR="009D6480" w:rsidRPr="00CF7D0E" w:rsidP="00D70046" w14:paraId="53F00C5F" w14:textId="77777777">
            <w:pPr>
              <w:rPr>
                <w:sz w:val="16"/>
              </w:rPr>
            </w:pPr>
          </w:p>
          <w:p w:rsidR="009D6480" w:rsidRPr="00CF7D0E" w:rsidP="00D70046" w14:paraId="3B1788FB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Marginstørrelse må vurderes individuelt avhengig av histologi/</w:t>
            </w:r>
            <w:r w:rsidRPr="00CF7D0E">
              <w:rPr>
                <w:sz w:val="16"/>
              </w:rPr>
              <w:t>malignitetsgrad</w:t>
            </w:r>
            <w:r w:rsidRPr="00CF7D0E">
              <w:rPr>
                <w:sz w:val="16"/>
              </w:rPr>
              <w:t xml:space="preserve">, grad av patologisk kontrastopptak på MR, utbredelse av patologiske høysignalforandringer på T2/FLAIR </w:t>
            </w:r>
            <w:r w:rsidRPr="00CF7D0E">
              <w:rPr>
                <w:sz w:val="16"/>
              </w:rPr>
              <w:t>og hva som er inkludert i GTV (se over). Ved diffuse gliomer kommer de aller fleste residiver (80–90 %) i eller nær tumor/reseksjonskavitet. Det vil si at hele ødemsonen ikke nødvendigvis må inkluderes i CTV, og en bør derfor av toksisitetshensyn unngå uri</w:t>
            </w:r>
            <w:r w:rsidRPr="00CF7D0E">
              <w:rPr>
                <w:sz w:val="16"/>
              </w:rPr>
              <w:t>melig stor CTV-margin.</w:t>
            </w:r>
          </w:p>
          <w:p w:rsidR="009D6480" w:rsidRPr="00CF7D0E" w:rsidP="00D70046" w14:paraId="10EED150" w14:textId="77777777">
            <w:pPr>
              <w:rPr>
                <w:sz w:val="16"/>
              </w:rPr>
            </w:pPr>
          </w:p>
          <w:p w:rsidR="009D6480" w:rsidRPr="00F163C9" w:rsidP="00D70046" w14:paraId="34E0B28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  <w:lang w:val="en-US"/>
              </w:rPr>
            </w:pP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Diffust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astrocytom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WHO grad 3</w:t>
            </w:r>
          </w:p>
          <w:p w:rsidR="009D6480" w:rsidP="00D70046" w14:paraId="2B2D649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  <w:lang w:val="en-US"/>
              </w:rPr>
            </w:pP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Oligodendrogliom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WHO grad 3</w:t>
            </w:r>
          </w:p>
          <w:p w:rsidR="009D6480" w:rsidRPr="00164E38" w:rsidP="00D70046" w14:paraId="0778F19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  <w:lang w:val="en-US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Oligodendrogliom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 WHO grad 2</w:t>
            </w:r>
            <w:r>
              <w:rPr>
                <w:rFonts w:ascii="Calibri" w:hAnsi="Calibri" w:cs="Calibri"/>
                <w:sz w:val="16"/>
                <w:szCs w:val="24"/>
              </w:rPr>
              <w:t xml:space="preserve"> og 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Diffust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>astrocytom</w:t>
            </w:r>
            <w:r w:rsidRPr="00F163C9">
              <w:rPr>
                <w:rFonts w:ascii="Calibri" w:hAnsi="Calibri" w:cs="Calibri"/>
                <w:sz w:val="16"/>
                <w:szCs w:val="24"/>
                <w:lang w:val="en-US"/>
              </w:rPr>
              <w:t xml:space="preserve"> WHO grad 2</w:t>
            </w:r>
          </w:p>
        </w:tc>
        <w:tc>
          <w:tcPr>
            <w:tcW w:w="1276" w:type="dxa"/>
          </w:tcPr>
          <w:p w:rsidR="009D6480" w:rsidRPr="00CF7D0E" w:rsidP="00D70046" w14:paraId="45D9D812" w14:textId="77777777">
            <w:pPr>
              <w:rPr>
                <w:sz w:val="16"/>
              </w:rPr>
            </w:pPr>
          </w:p>
          <w:p w:rsidR="009D6480" w:rsidRPr="00CF7D0E" w:rsidP="00D70046" w14:paraId="514301AE" w14:textId="77777777">
            <w:pPr>
              <w:rPr>
                <w:sz w:val="16"/>
              </w:rPr>
            </w:pPr>
          </w:p>
          <w:p w:rsidR="009D6480" w:rsidRPr="00CF7D0E" w:rsidP="00D70046" w14:paraId="12A45392" w14:textId="77777777">
            <w:pPr>
              <w:rPr>
                <w:sz w:val="16"/>
              </w:rPr>
            </w:pPr>
          </w:p>
          <w:p w:rsidR="009D6480" w:rsidRPr="00CF7D0E" w:rsidP="00D70046" w14:paraId="4526B5F8" w14:textId="77777777">
            <w:pPr>
              <w:rPr>
                <w:sz w:val="16"/>
              </w:rPr>
            </w:pPr>
          </w:p>
          <w:p w:rsidR="009D6480" w:rsidRPr="00CF7D0E" w:rsidP="00D70046" w14:paraId="791FD231" w14:textId="77777777">
            <w:pPr>
              <w:rPr>
                <w:sz w:val="16"/>
              </w:rPr>
            </w:pPr>
          </w:p>
          <w:p w:rsidR="009D6480" w:rsidRPr="00CF7D0E" w:rsidP="00D70046" w14:paraId="54CF9F9B" w14:textId="77777777">
            <w:pPr>
              <w:rPr>
                <w:sz w:val="16"/>
              </w:rPr>
            </w:pPr>
          </w:p>
          <w:p w:rsidR="009D6480" w:rsidRPr="00CF7D0E" w:rsidP="00D70046" w14:paraId="3C2AD640" w14:textId="77777777">
            <w:pPr>
              <w:rPr>
                <w:sz w:val="16"/>
              </w:rPr>
            </w:pPr>
          </w:p>
          <w:p w:rsidR="009D6480" w:rsidRPr="00CF7D0E" w:rsidP="00D70046" w14:paraId="526A2007" w14:textId="77777777">
            <w:pPr>
              <w:rPr>
                <w:sz w:val="16"/>
              </w:rPr>
            </w:pPr>
          </w:p>
          <w:p w:rsidR="009D6480" w:rsidRPr="00CF7D0E" w:rsidP="00D70046" w14:paraId="4C5B9105" w14:textId="77777777">
            <w:pPr>
              <w:rPr>
                <w:sz w:val="16"/>
              </w:rPr>
            </w:pPr>
          </w:p>
          <w:p w:rsidR="009D6480" w:rsidRPr="00CF7D0E" w:rsidP="00D70046" w14:paraId="6FD75CE8" w14:textId="77777777">
            <w:pPr>
              <w:rPr>
                <w:sz w:val="16"/>
              </w:rPr>
            </w:pPr>
          </w:p>
          <w:p w:rsidR="009D6480" w:rsidRPr="00CF7D0E" w:rsidP="00D70046" w14:paraId="3414264B" w14:textId="77777777">
            <w:pPr>
              <w:rPr>
                <w:sz w:val="16"/>
              </w:rPr>
            </w:pPr>
          </w:p>
          <w:p w:rsidR="009D6480" w:rsidRPr="00CF7D0E" w:rsidP="00D70046" w14:paraId="040DE863" w14:textId="77777777">
            <w:pPr>
              <w:rPr>
                <w:sz w:val="16"/>
              </w:rPr>
            </w:pPr>
          </w:p>
          <w:p w:rsidR="009D6480" w:rsidRPr="00CF7D0E" w:rsidP="00D70046" w14:paraId="2498C8FA" w14:textId="77777777">
            <w:pPr>
              <w:rPr>
                <w:sz w:val="16"/>
              </w:rPr>
            </w:pPr>
          </w:p>
          <w:p w:rsidR="009D6480" w:rsidRPr="00CF7D0E" w:rsidP="00D70046" w14:paraId="1462DC57" w14:textId="77777777">
            <w:pPr>
              <w:rPr>
                <w:sz w:val="16"/>
              </w:rPr>
            </w:pPr>
          </w:p>
          <w:p w:rsidR="009D6480" w:rsidRPr="00CF7D0E" w:rsidP="00D70046" w14:paraId="2FABADF4" w14:textId="77777777">
            <w:pPr>
              <w:rPr>
                <w:sz w:val="16"/>
              </w:rPr>
            </w:pPr>
          </w:p>
          <w:p w:rsidR="009D6480" w:rsidRPr="00CF7D0E" w:rsidP="00D70046" w14:paraId="683D33E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15 mm</w:t>
            </w:r>
          </w:p>
          <w:p w:rsidR="009D6480" w:rsidRPr="00CF7D0E" w:rsidP="00D70046" w14:paraId="0EFCB24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(10-) 15 mm</w:t>
            </w:r>
          </w:p>
          <w:p w:rsidR="009D6480" w:rsidRPr="00CF7D0E" w:rsidP="00D70046" w14:paraId="0F4F4E3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10 (-15) mm</w:t>
            </w:r>
          </w:p>
        </w:tc>
      </w:tr>
    </w:tbl>
    <w:p w:rsidR="00DF7BA8" w:rsidRPr="00DF7BA8" w:rsidP="00066A58" w14:paraId="3C74329B" w14:textId="77777777">
      <w:pPr>
        <w:spacing w:line="259" w:lineRule="auto"/>
        <w:rPr>
          <w:rFonts w:cstheme="minorHAnsi"/>
        </w:rPr>
      </w:pPr>
    </w:p>
    <w:p w:rsidR="00EB12D2" w:rsidP="00EB12D2" w14:paraId="72567446" w14:textId="77777777">
      <w:pPr>
        <w:pStyle w:val="Heading1"/>
      </w:pPr>
      <w:bookmarkStart w:id="9" w:name="_Toc256000006"/>
      <w:r>
        <w:t>Protonplanlegging</w:t>
      </w:r>
      <w:bookmarkEnd w:id="9"/>
    </w:p>
    <w:p w:rsidR="009D6480" w:rsidP="009D6480" w14:paraId="3DE6BD81" w14:textId="77777777">
      <w:pPr>
        <w:pStyle w:val="Heading2"/>
      </w:pPr>
      <w:bookmarkStart w:id="10" w:name="_Toc256000007"/>
      <w:r>
        <w:t>Forberedelser</w:t>
      </w:r>
      <w:bookmarkEnd w:id="10"/>
    </w:p>
    <w:p w:rsidR="00A8428D" w:rsidRPr="00A8428D" w:rsidP="00A8428D" w14:paraId="44541323" w14:textId="77777777"/>
    <w:p w:rsidR="009D6480" w:rsidP="009D6480" w14:paraId="5800CAAA" w14:textId="77777777">
      <w:pPr>
        <w:pStyle w:val="Heading3"/>
      </w:pPr>
      <w:bookmarkStart w:id="11" w:name="_Toc256000008"/>
      <w:r>
        <w:t xml:space="preserve">Valg av </w:t>
      </w:r>
      <w:r>
        <w:t>planleggings-CT</w:t>
      </w:r>
      <w:bookmarkEnd w:id="11"/>
    </w:p>
    <w:p w:rsidR="009D6480" w:rsidP="009D6480" w14:paraId="316BBC91" w14:textId="77777777">
      <w:r>
        <w:t xml:space="preserve">Det skal alltid planlegges på en CT-serie </w:t>
      </w:r>
      <w:r>
        <w:rPr>
          <w:u w:val="single"/>
        </w:rPr>
        <w:t>uten</w:t>
      </w:r>
      <w:r>
        <w:t xml:space="preserve"> kontrast. Eventuelle CT-serier med kontrast er til støtte for inntegning. Ved metallartefakter i CT-serien skal det planlegges på CT-serien hvor MAR er tatt i bruk. Påse ellers at all relevant fiksering er tatt med i CT-serien.</w:t>
      </w:r>
    </w:p>
    <w:p w:rsidR="009D6480" w:rsidP="009D6480" w14:paraId="78FCB1C0" w14:textId="77777777"/>
    <w:p w:rsidR="009D6480" w:rsidP="009D6480" w14:paraId="0D2DD43B" w14:textId="77777777">
      <w:pPr>
        <w:pStyle w:val="Heading3"/>
      </w:pPr>
      <w:bookmarkStart w:id="12" w:name="_Toc256000009"/>
      <w:r>
        <w:t>Materialoverstyring</w:t>
      </w:r>
      <w:bookmarkEnd w:id="12"/>
    </w:p>
    <w:p w:rsidR="009D6480" w:rsidP="009D6480" w14:paraId="32338ED6" w14:textId="1581D9F5">
      <w:r>
        <w:t>Materi</w:t>
      </w:r>
      <w:r>
        <w:t xml:space="preserve">aler i doseplansystemet skal inntegnes og overstyres hvor det er hensiktsmessig ved for eksempel artefakter og/eller implantater som shunt, </w:t>
      </w:r>
      <w:r>
        <w:t>clips</w:t>
      </w:r>
      <w:r>
        <w:t xml:space="preserve">, </w:t>
      </w:r>
      <w:r>
        <w:t>craniofix</w:t>
      </w:r>
      <w:r>
        <w:t xml:space="preserve">, titan </w:t>
      </w:r>
      <w:r>
        <w:t>mesh</w:t>
      </w:r>
      <w:r>
        <w:t xml:space="preserve"> og annet. Ved overstyring er det viktig at størrelse og materialkomposisjon er nøyaktig</w:t>
      </w:r>
      <w:r>
        <w:t xml:space="preserve"> spesifisert slik at usikkerheter i inntegning og valg av materiale i doseplansystemet minimeres. Se </w:t>
      </w:r>
      <w:hyperlink r:id="rId9" w:tooltip="XDF78847" w:history="1">
        <w:r w:rsidRPr="009D6480">
          <w:rPr>
            <w:rStyle w:val="Hyperlink"/>
          </w:rPr>
          <w:fldChar w:fldCharType="begin" w:fldLock="1"/>
        </w:r>
        <w:r w:rsidRPr="009D6480">
          <w:rPr>
            <w:rStyle w:val="Hyperlink"/>
          </w:rPr>
          <w:instrText xml:space="preserve"> DOCPROPERTY XDT78847 *charformat * MERGEFORMAT </w:instrText>
        </w:r>
        <w:r w:rsidRPr="009D6480">
          <w:rPr>
            <w:rStyle w:val="Hyperlink"/>
          </w:rPr>
          <w:fldChar w:fldCharType="separate"/>
        </w:r>
        <w:r w:rsidRPr="009D6480">
          <w:rPr>
            <w:rStyle w:val="Hyperlink"/>
          </w:rPr>
          <w:t>Håndtering av implantat og artefakter ved protonbehandling</w:t>
        </w:r>
        <w:r w:rsidRPr="009D6480">
          <w:rPr>
            <w:rStyle w:val="Hyperlink"/>
          </w:rPr>
          <w:fldChar w:fldCharType="end"/>
        </w:r>
      </w:hyperlink>
      <w:r>
        <w:t xml:space="preserve"> for detaljer.</w:t>
      </w:r>
    </w:p>
    <w:p w:rsidR="009D6480" w:rsidRPr="00F031AE" w:rsidP="009D6480" w14:paraId="46D88199" w14:textId="77777777"/>
    <w:p w:rsidR="009D6480" w:rsidP="009D6480" w14:paraId="7EFB7271" w14:textId="77777777">
      <w:pPr>
        <w:pStyle w:val="Heading3"/>
      </w:pPr>
      <w:bookmarkStart w:id="13" w:name="_Toc256000010"/>
      <w:r>
        <w:t>Kalibreringskurve</w:t>
      </w:r>
      <w:bookmarkEnd w:id="13"/>
    </w:p>
    <w:p w:rsidR="009D6480" w:rsidP="009D6480" w14:paraId="0F625CEE" w14:textId="77777777">
      <w:r w:rsidRPr="00CF7D0E">
        <w:t xml:space="preserve">Ved sammenliknende </w:t>
      </w:r>
      <w:r>
        <w:t>doseplanlegging mellom protoner og fotoner skal det tas en kopi av CT-serien som skal brukes til planlegging i doseplansystemet. CT-se</w:t>
      </w:r>
      <w:r>
        <w:t>riene er identiske, men den ene serien skal knyttes til kalibreringskurve for fotonbehandling, mens den andre serien skal knyttes til kalibreringskurve for protonbehandling. Tilse at korrekt CT-serie, med korrekt kalibreringskurve, blir brukt ved protonpla</w:t>
      </w:r>
      <w:r>
        <w:t>nleggingen. De to planleggings-CT-seriene skal navngis slik at de enkelt kan skilles fra hverandre.</w:t>
      </w:r>
    </w:p>
    <w:p w:rsidR="009D6480" w:rsidP="009D6480" w14:paraId="78DA64A5" w14:textId="77777777"/>
    <w:p w:rsidR="009D6480" w:rsidP="009D6480" w14:paraId="4B93BDF3" w14:textId="77777777">
      <w:pPr>
        <w:pStyle w:val="Heading2"/>
      </w:pPr>
      <w:bookmarkStart w:id="14" w:name="_Toc256000011"/>
      <w:r>
        <w:t>Strukturer</w:t>
      </w:r>
      <w:bookmarkEnd w:id="14"/>
    </w:p>
    <w:p w:rsidR="009D6480" w:rsidP="009D6480" w14:paraId="7DEAE28C" w14:textId="305AF5E6">
      <w:r>
        <w:t>External</w:t>
      </w:r>
      <w:r>
        <w:t xml:space="preserve"> defineres til å inkludere all relevant fiksering inklusive puter og bordtoppen. Ev. utvidelse med margin brukes hvis hensiktsmessig. Se</w:t>
      </w:r>
      <w:r>
        <w:t xml:space="preserve"> </w:t>
      </w:r>
      <w:hyperlink r:id="rId8" w:tooltip="XDF78855" w:history="1">
        <w:r w:rsidRPr="009D6480">
          <w:rPr>
            <w:rStyle w:val="Hyperlink"/>
          </w:rPr>
          <w:fldChar w:fldCharType="begin" w:fldLock="1"/>
        </w:r>
        <w:r w:rsidRPr="009D6480">
          <w:rPr>
            <w:rStyle w:val="Hyperlink"/>
          </w:rPr>
          <w:instrText xml:space="preserve"> DOCPROPERTY XDT78855 *charformat * MERGEFORMAT </w:instrText>
        </w:r>
        <w:r w:rsidRPr="009D6480">
          <w:rPr>
            <w:rStyle w:val="Hyperlink"/>
          </w:rPr>
          <w:fldChar w:fldCharType="separate"/>
        </w:r>
        <w:r w:rsidRPr="009D6480">
          <w:rPr>
            <w:rStyle w:val="Hyperlink"/>
          </w:rPr>
          <w:t>Protonfiksering - oversikt</w:t>
        </w:r>
        <w:r w:rsidRPr="009D6480">
          <w:rPr>
            <w:rStyle w:val="Hyperlink"/>
          </w:rPr>
          <w:fldChar w:fldCharType="end"/>
        </w:r>
      </w:hyperlink>
      <w:r>
        <w:t xml:space="preserve"> for detaljer.</w:t>
      </w:r>
    </w:p>
    <w:p w:rsidR="009D6480" w:rsidP="009D6480" w14:paraId="1E7CAF3A" w14:textId="77777777"/>
    <w:p w:rsidR="009D6480" w:rsidP="009D6480" w14:paraId="37021BCE" w14:textId="77777777">
      <w:r>
        <w:t>Ved sammenliknende doseplanlegging ved sykehu</w:t>
      </w:r>
      <w:r>
        <w:t xml:space="preserve">s uten protonbehandling, bør det vurderes om fotonfikseringsutstyret skal inkluderes i </w:t>
      </w:r>
      <w:r>
        <w:t>External</w:t>
      </w:r>
      <w:r>
        <w:t xml:space="preserve"> eller ikke.</w:t>
      </w:r>
    </w:p>
    <w:p w:rsidR="003521C7" w:rsidP="009D6480" w14:paraId="05861D52" w14:textId="77777777"/>
    <w:p w:rsidR="009D6480" w:rsidP="009D6480" w14:paraId="66F18CEB" w14:textId="77777777">
      <w:r>
        <w:t xml:space="preserve">Ved overlapp mellom målvolum og dosebegrensede serielle risikoorganer som </w:t>
      </w:r>
      <w:r>
        <w:t>OpticChiasm</w:t>
      </w:r>
      <w:r>
        <w:t xml:space="preserve">, </w:t>
      </w:r>
      <w:r>
        <w:t>OpticNerve</w:t>
      </w:r>
      <w:r>
        <w:t xml:space="preserve"> og </w:t>
      </w:r>
      <w:r>
        <w:t>Brainstem</w:t>
      </w:r>
      <w:r>
        <w:t xml:space="preserve"> kan det defineres en hjelpestruktur </w:t>
      </w:r>
      <w:r>
        <w:t>hvor disse er trukket fra CTV med margin. Margin bør vurderes individuelt.</w:t>
      </w:r>
    </w:p>
    <w:p w:rsidR="003521C7" w:rsidRPr="00D32FD7" w:rsidP="009D6480" w14:paraId="261848BF" w14:textId="77777777"/>
    <w:p w:rsidR="009D6480" w:rsidP="009D6480" w14:paraId="5BB80077" w14:textId="77777777">
      <w:pPr>
        <w:pStyle w:val="Heading2"/>
      </w:pPr>
      <w:bookmarkStart w:id="15" w:name="_Toc256000012"/>
      <w:r>
        <w:t>Planoppsett</w:t>
      </w:r>
      <w:bookmarkEnd w:id="15"/>
    </w:p>
    <w:p w:rsidR="009D6480" w:rsidP="009D6480" w14:paraId="3CF6C10E" w14:textId="77777777">
      <w:pPr>
        <w:rPr>
          <w:color w:val="000000" w:themeColor="text1"/>
        </w:rPr>
      </w:pPr>
      <w:r>
        <w:rPr>
          <w:color w:val="000000" w:themeColor="text1"/>
        </w:rPr>
        <w:t xml:space="preserve">Isosenter plasseres hensiktsmessig, fortrinnsvis sentralt i feltet som generelt sett tilsvarer i senter av CTV. Ved bruk av range </w:t>
      </w:r>
      <w:r>
        <w:rPr>
          <w:color w:val="000000" w:themeColor="text1"/>
        </w:rPr>
        <w:t>shifter</w:t>
      </w:r>
      <w:r>
        <w:rPr>
          <w:color w:val="000000" w:themeColor="text1"/>
        </w:rPr>
        <w:t xml:space="preserve"> skal det vurderes om </w:t>
      </w:r>
      <w:r>
        <w:rPr>
          <w:color w:val="000000" w:themeColor="text1"/>
        </w:rPr>
        <w:t>isosenter bør flyttes kranialt for å lettere unngå kollisjon med skuldre.</w:t>
      </w:r>
    </w:p>
    <w:p w:rsidR="003521C7" w:rsidP="009D6480" w14:paraId="2D5276E5" w14:textId="77777777">
      <w:pPr>
        <w:rPr>
          <w:color w:val="000000" w:themeColor="text1"/>
        </w:rPr>
      </w:pPr>
    </w:p>
    <w:p w:rsidR="009D6480" w:rsidP="009D6480" w14:paraId="6158F82C" w14:textId="77777777">
      <w:pPr>
        <w:rPr>
          <w:iCs/>
          <w:color w:val="000000" w:themeColor="text1"/>
        </w:rPr>
      </w:pPr>
      <w:r>
        <w:rPr>
          <w:i/>
          <w:iCs/>
          <w:color w:val="000000" w:themeColor="text1"/>
        </w:rPr>
        <w:t>M</w:t>
      </w:r>
      <w:r w:rsidRPr="00442148">
        <w:rPr>
          <w:i/>
          <w:iCs/>
          <w:color w:val="000000" w:themeColor="text1"/>
        </w:rPr>
        <w:t>ulti</w:t>
      </w:r>
      <w:r w:rsidRPr="00442148">
        <w:rPr>
          <w:i/>
          <w:iCs/>
          <w:color w:val="000000" w:themeColor="text1"/>
        </w:rPr>
        <w:t xml:space="preserve"> field </w:t>
      </w:r>
      <w:r w:rsidRPr="00442148">
        <w:rPr>
          <w:i/>
          <w:iCs/>
          <w:color w:val="000000" w:themeColor="text1"/>
        </w:rPr>
        <w:t>optimization</w:t>
      </w:r>
      <w:r>
        <w:rPr>
          <w:color w:val="000000" w:themeColor="text1"/>
        </w:rPr>
        <w:t xml:space="preserve"> med robust optimering bør fortrinnsvis </w:t>
      </w:r>
      <w:r w:rsidRPr="00442148">
        <w:rPr>
          <w:color w:val="000000" w:themeColor="text1"/>
        </w:rPr>
        <w:t>brukes</w:t>
      </w:r>
      <w:r>
        <w:rPr>
          <w:color w:val="000000" w:themeColor="text1"/>
        </w:rPr>
        <w:t xml:space="preserve">, spesielt hvor målvolumet ligger tett opp mot </w:t>
      </w:r>
      <w:r w:rsidRPr="00442148">
        <w:rPr>
          <w:color w:val="000000" w:themeColor="text1"/>
        </w:rPr>
        <w:t xml:space="preserve">kritiske risikoorganer eller </w:t>
      </w:r>
      <w:r>
        <w:rPr>
          <w:color w:val="000000" w:themeColor="text1"/>
        </w:rPr>
        <w:t xml:space="preserve">nært </w:t>
      </w:r>
      <w:r w:rsidRPr="00442148">
        <w:rPr>
          <w:color w:val="000000" w:themeColor="text1"/>
        </w:rPr>
        <w:t>inhomogene områder</w:t>
      </w:r>
      <w:r>
        <w:rPr>
          <w:color w:val="000000" w:themeColor="text1"/>
        </w:rPr>
        <w:t xml:space="preserve">. </w:t>
      </w:r>
      <w:r w:rsidRPr="00A96168">
        <w:rPr>
          <w:i/>
          <w:color w:val="000000" w:themeColor="text1"/>
        </w:rPr>
        <w:t>S</w:t>
      </w:r>
      <w:r w:rsidRPr="00A96168">
        <w:rPr>
          <w:i/>
          <w:iCs/>
          <w:color w:val="000000" w:themeColor="text1"/>
        </w:rPr>
        <w:t>ingle</w:t>
      </w:r>
      <w:r w:rsidRPr="00442148">
        <w:rPr>
          <w:i/>
          <w:iCs/>
          <w:color w:val="000000" w:themeColor="text1"/>
        </w:rPr>
        <w:t xml:space="preserve"> field </w:t>
      </w:r>
      <w:r w:rsidRPr="00442148">
        <w:rPr>
          <w:i/>
          <w:iCs/>
          <w:color w:val="000000" w:themeColor="text1"/>
        </w:rPr>
        <w:t>optimization</w:t>
      </w:r>
      <w:r>
        <w:rPr>
          <w:iCs/>
          <w:color w:val="000000" w:themeColor="text1"/>
        </w:rPr>
        <w:t xml:space="preserve"> kan vurderes brukt ved enkle feltoppsett i homogene områder med god avstand mellom målvolum og kritiske risikoorganer.</w:t>
      </w:r>
    </w:p>
    <w:p w:rsidR="003521C7" w:rsidRPr="00A96168" w:rsidP="009D6480" w14:paraId="77EE9D6F" w14:textId="77777777">
      <w:pPr>
        <w:rPr>
          <w:color w:val="000000" w:themeColor="text1"/>
        </w:rPr>
      </w:pPr>
    </w:p>
    <w:p w:rsidR="009D6480" w:rsidP="009D6480" w14:paraId="2D3591C4" w14:textId="77777777">
      <w:r>
        <w:t xml:space="preserve">Endelig doseberegning skal gjøres med 1 mm </w:t>
      </w:r>
      <w:r>
        <w:t>vokselstørrelse</w:t>
      </w:r>
      <w:r>
        <w:t xml:space="preserve">. Optimering kan om ønskelig gjøres på større </w:t>
      </w:r>
      <w:r>
        <w:t>voksler</w:t>
      </w:r>
      <w:r>
        <w:t>.</w:t>
      </w:r>
    </w:p>
    <w:p w:rsidR="003521C7" w:rsidRPr="00680CF5" w:rsidP="009D6480" w14:paraId="52920772" w14:textId="77777777"/>
    <w:p w:rsidR="009D6480" w:rsidP="009D6480" w14:paraId="7B25E79D" w14:textId="77777777">
      <w:pPr>
        <w:pStyle w:val="Heading2"/>
      </w:pPr>
      <w:bookmarkStart w:id="16" w:name="_Toc256000013"/>
      <w:r w:rsidRPr="00CF7D0E">
        <w:t>Fe</w:t>
      </w:r>
      <w:r w:rsidRPr="00CF7D0E">
        <w:t>ltoppsett</w:t>
      </w:r>
      <w:bookmarkEnd w:id="16"/>
    </w:p>
    <w:p w:rsidR="009D6480" w:rsidP="009D6480" w14:paraId="783362F3" w14:textId="77777777">
      <w:r>
        <w:t xml:space="preserve">Feltoppsett som innebærer </w:t>
      </w:r>
      <w:r>
        <w:t>gantryvinkler</w:t>
      </w:r>
      <w:r>
        <w:t xml:space="preserve">, bordrotasjoner, antall felt og ev. bruk av range </w:t>
      </w:r>
      <w:r>
        <w:t>shifter</w:t>
      </w:r>
      <w:r>
        <w:t xml:space="preserve"> bestemmes individuelt for hver pasient da oppsettet kan variere i stor grad basert på tumorlokasjon, tumorstørrelse, rekvirert dose, nærhet til risi</w:t>
      </w:r>
      <w:r>
        <w:t xml:space="preserve">koorganer, inhomogeniteter </w:t>
      </w:r>
      <w:r>
        <w:t>osv. Pasientspesifikke hensyn trumfer de generelle anbefalingene under. Om det er vanskeligheter med å velge gode feltvinkler bør fysiker involveres.</w:t>
      </w:r>
    </w:p>
    <w:p w:rsidR="003521C7" w:rsidP="009D6480" w14:paraId="45CF63EE" w14:textId="77777777"/>
    <w:p w:rsidR="00A8428D" w:rsidP="009D6480" w14:paraId="06CFEAEF" w14:textId="77777777"/>
    <w:p w:rsidR="00A8428D" w:rsidRPr="00D54194" w:rsidP="009D6480" w14:paraId="35DB98AC" w14:textId="77777777"/>
    <w:p w:rsidR="009D6480" w:rsidRPr="00CF7D0E" w:rsidP="009D6480" w14:paraId="6667FA4A" w14:textId="77777777">
      <w:pPr>
        <w:pStyle w:val="Heading3"/>
      </w:pPr>
      <w:bookmarkStart w:id="17" w:name="_Toc256000014"/>
      <w:r w:rsidRPr="00CF7D0E">
        <w:t>Generelle hensyn ved valg av feltvinkler</w:t>
      </w:r>
      <w:bookmarkEnd w:id="17"/>
    </w:p>
    <w:p w:rsidR="009D6480" w:rsidP="009D6480" w14:paraId="3DF9C605" w14:textId="77777777">
      <w:r w:rsidRPr="00CF7D0E">
        <w:t>Det følgende er generelle anbefalin</w:t>
      </w:r>
      <w:r w:rsidRPr="00CF7D0E">
        <w:t xml:space="preserve">ger </w:t>
      </w:r>
      <w:r>
        <w:t>for</w:t>
      </w:r>
      <w:r w:rsidRPr="00CF7D0E">
        <w:t xml:space="preserve"> felt</w:t>
      </w:r>
      <w:r>
        <w:t>arrangement</w:t>
      </w:r>
      <w:r w:rsidRPr="00CF7D0E">
        <w:t>.</w:t>
      </w:r>
      <w:r>
        <w:t xml:space="preserve"> Rekkefølgen i listen sier ingenting om prioriteringer.</w:t>
      </w:r>
    </w:p>
    <w:p w:rsidR="008B568A" w:rsidRPr="00CF7D0E" w:rsidP="009D6480" w14:paraId="16657DE5" w14:textId="77777777"/>
    <w:p w:rsidR="009D6480" w:rsidRPr="00CF7D0E" w:rsidP="009D6480" w14:paraId="322E7F31" w14:textId="77777777">
      <w:pPr>
        <w:pStyle w:val="ListParagraph"/>
        <w:numPr>
          <w:ilvl w:val="0"/>
          <w:numId w:val="20"/>
        </w:numPr>
        <w:spacing w:after="200" w:line="276" w:lineRule="auto"/>
      </w:pPr>
      <w:r w:rsidRPr="00CF7D0E">
        <w:t>Man bør bruke minst 2-3 felt adskilt med minimum 30° vinkel.</w:t>
      </w:r>
    </w:p>
    <w:p w:rsidR="009D6480" w:rsidRPr="00CF7D0E" w:rsidP="009D6480" w14:paraId="3CD23851" w14:textId="77777777">
      <w:pPr>
        <w:pStyle w:val="ListParagraph"/>
        <w:numPr>
          <w:ilvl w:val="0"/>
          <w:numId w:val="20"/>
        </w:numPr>
        <w:spacing w:after="200" w:line="276" w:lineRule="auto"/>
      </w:pPr>
      <w:r>
        <w:t xml:space="preserve">Feltvinkler som fører til kortest veibane inn mot målvolum er ønskelig for å </w:t>
      </w:r>
      <w:r w:rsidRPr="00CF7D0E">
        <w:t>redusere dose til frisk hjerne.</w:t>
      </w:r>
    </w:p>
    <w:p w:rsidR="009D6480" w:rsidRPr="00CF7D0E" w:rsidP="009D6480" w14:paraId="67C75A22" w14:textId="77777777">
      <w:pPr>
        <w:pStyle w:val="ListParagraph"/>
        <w:numPr>
          <w:ilvl w:val="0"/>
          <w:numId w:val="20"/>
        </w:numPr>
        <w:spacing w:after="200" w:line="276" w:lineRule="auto"/>
      </w:pPr>
      <w:r>
        <w:t>Det e</w:t>
      </w:r>
      <w:r>
        <w:t>r ønskelig å unngå</w:t>
      </w:r>
      <w:r w:rsidRPr="00CF7D0E">
        <w:t xml:space="preserve"> </w:t>
      </w:r>
      <w:r>
        <w:t xml:space="preserve">felt </w:t>
      </w:r>
      <w:r w:rsidRPr="00CF7D0E">
        <w:t>som går parallelt med inhomogene områder som f.eks. skallebasis.</w:t>
      </w:r>
    </w:p>
    <w:p w:rsidR="009D6480" w:rsidRPr="00CF7D0E" w:rsidP="009D6480" w14:paraId="65D9BAF8" w14:textId="77777777">
      <w:pPr>
        <w:pStyle w:val="ListParagraph"/>
        <w:numPr>
          <w:ilvl w:val="0"/>
          <w:numId w:val="20"/>
        </w:numPr>
        <w:spacing w:after="200" w:line="276" w:lineRule="auto"/>
      </w:pPr>
      <w:r>
        <w:t>Man bør om mulig unngå å bestråle</w:t>
      </w:r>
      <w:r w:rsidRPr="00CF7D0E">
        <w:t xml:space="preserve"> gjennom øre og andre </w:t>
      </w:r>
      <w:r w:rsidRPr="00CF7D0E">
        <w:t>luft</w:t>
      </w:r>
      <w:r>
        <w:t>fylte</w:t>
      </w:r>
      <w:r>
        <w:t xml:space="preserve"> </w:t>
      </w:r>
      <w:r w:rsidRPr="00CF7D0E">
        <w:t>kaviteter.</w:t>
      </w:r>
    </w:p>
    <w:p w:rsidR="009D6480" w:rsidRPr="00CF7D0E" w:rsidP="009D6480" w14:paraId="6CE69628" w14:textId="77777777">
      <w:pPr>
        <w:pStyle w:val="ListParagraph"/>
        <w:numPr>
          <w:ilvl w:val="0"/>
          <w:numId w:val="20"/>
        </w:numPr>
        <w:spacing w:after="200" w:line="276" w:lineRule="auto"/>
      </w:pPr>
      <w:r>
        <w:t>Man bør om mulig u</w:t>
      </w:r>
      <w:r w:rsidRPr="00CF7D0E">
        <w:t xml:space="preserve">nngå felt gjennom </w:t>
      </w:r>
      <w:r w:rsidRPr="00CF7D0E">
        <w:t>cochlea</w:t>
      </w:r>
      <w:r>
        <w:t>e</w:t>
      </w:r>
      <w:r w:rsidRPr="00CF7D0E">
        <w:t xml:space="preserve">, </w:t>
      </w:r>
      <w:r w:rsidRPr="00CF7D0E">
        <w:t>hippocampi</w:t>
      </w:r>
      <w:r w:rsidRPr="00CF7D0E">
        <w:t xml:space="preserve"> og øyne.</w:t>
      </w:r>
    </w:p>
    <w:p w:rsidR="009D6480" w:rsidRPr="00CF7D0E" w:rsidP="009D6480" w14:paraId="651B631B" w14:textId="77777777">
      <w:pPr>
        <w:pStyle w:val="ListParagraph"/>
        <w:numPr>
          <w:ilvl w:val="0"/>
          <w:numId w:val="20"/>
        </w:numPr>
        <w:spacing w:after="200" w:line="276" w:lineRule="auto"/>
      </w:pPr>
      <w:r w:rsidRPr="00CF7D0E">
        <w:t xml:space="preserve">Det er ønskelig med felt </w:t>
      </w:r>
      <w:r w:rsidRPr="00CF7D0E">
        <w:t xml:space="preserve">som er mest mulig </w:t>
      </w:r>
      <w:r>
        <w:t xml:space="preserve">vinkelrett </w:t>
      </w:r>
      <w:r w:rsidRPr="00CF7D0E">
        <w:t>på ytterkontur.</w:t>
      </w:r>
    </w:p>
    <w:p w:rsidR="009D6480" w:rsidRPr="00CF7D0E" w:rsidP="009D6480" w14:paraId="66B5F645" w14:textId="2C8FBE82">
      <w:pPr>
        <w:pStyle w:val="ListParagraph"/>
        <w:numPr>
          <w:ilvl w:val="0"/>
          <w:numId w:val="20"/>
        </w:numPr>
        <w:spacing w:after="200" w:line="276" w:lineRule="auto"/>
      </w:pPr>
      <w:r>
        <w:t>Felt som går gjennom</w:t>
      </w:r>
      <w:r w:rsidRPr="00CF7D0E">
        <w:t xml:space="preserve"> </w:t>
      </w:r>
      <w:r>
        <w:t>områder med høy tetthet</w:t>
      </w:r>
      <w:r w:rsidRPr="00CF7D0E">
        <w:t xml:space="preserve"> som metall og hardplast</w:t>
      </w:r>
      <w:r>
        <w:t xml:space="preserve"> bør om mulig unngås</w:t>
      </w:r>
      <w:r w:rsidRPr="00CF7D0E">
        <w:t xml:space="preserve">. Se ellers dokumentet </w:t>
      </w:r>
      <w:hyperlink r:id="rId9" w:tooltip="XDF78847" w:history="1">
        <w:r w:rsidRPr="003521C7" w:rsidR="003521C7">
          <w:rPr>
            <w:rStyle w:val="Hyperlink"/>
          </w:rPr>
          <w:fldChar w:fldCharType="begin" w:fldLock="1"/>
        </w:r>
        <w:r w:rsidRPr="003521C7" w:rsidR="003521C7">
          <w:rPr>
            <w:rStyle w:val="Hyperlink"/>
          </w:rPr>
          <w:instrText xml:space="preserve"> DOCPROPERTY XDT78847 *charformat * MERGEFORMAT </w:instrText>
        </w:r>
        <w:r w:rsidRPr="003521C7" w:rsidR="003521C7">
          <w:rPr>
            <w:rStyle w:val="Hyperlink"/>
          </w:rPr>
          <w:fldChar w:fldCharType="separate"/>
        </w:r>
        <w:r w:rsidRPr="003521C7" w:rsidR="003521C7">
          <w:rPr>
            <w:rStyle w:val="Hyperlink"/>
          </w:rPr>
          <w:t>Håndtering av implantat og artefakter ved protonbehandling</w:t>
        </w:r>
        <w:r w:rsidRPr="003521C7" w:rsidR="003521C7">
          <w:rPr>
            <w:rStyle w:val="Hyperlink"/>
          </w:rPr>
          <w:fldChar w:fldCharType="end"/>
        </w:r>
      </w:hyperlink>
      <w:r w:rsidR="003521C7">
        <w:t>.</w:t>
      </w:r>
    </w:p>
    <w:p w:rsidR="009D6480" w:rsidP="009D6480" w14:paraId="6DB5B1BF" w14:textId="77777777">
      <w:r w:rsidRPr="00CF7D0E">
        <w:t>I tillegg må man også vurdere feltvinkler opp mot forhøyet LET distalt for protonstrålen samt generelle usikkerheter i re</w:t>
      </w:r>
      <w:r>
        <w:t>kkevidde. Derfor skal man så langt det lar seg gjøre unngå m</w:t>
      </w:r>
      <w:r w:rsidRPr="00CF7D0E">
        <w:t>er enn ett felt som stopper i</w:t>
      </w:r>
      <w:r>
        <w:t xml:space="preserve">, </w:t>
      </w:r>
      <w:r w:rsidRPr="00CF7D0E">
        <w:t>eller p</w:t>
      </w:r>
      <w:r w:rsidRPr="00CF7D0E">
        <w:t>roksimalt for</w:t>
      </w:r>
      <w:r>
        <w:t>,</w:t>
      </w:r>
      <w:r w:rsidRPr="00CF7D0E">
        <w:t xml:space="preserve"> risikoorgan, spesielt hvis dosen i ris</w:t>
      </w:r>
      <w:r>
        <w:t>i</w:t>
      </w:r>
      <w:r w:rsidRPr="00CF7D0E">
        <w:t>koorganet er nær toleransedosen.</w:t>
      </w:r>
      <w:r>
        <w:t xml:space="preserve"> Hvis man er bekymret for valg av feltoppsett og LET, bør en eksplisitt LET-evaluering gjøres </w:t>
      </w:r>
      <w:r w:rsidRPr="00CF7D0E">
        <w:t>[</w:t>
      </w:r>
      <w:r w:rsidRPr="00CF7D0E">
        <w:rPr>
          <w:color w:val="0000FF"/>
        </w:rPr>
        <w:t>REF!</w:t>
      </w:r>
      <w:r>
        <w:rPr>
          <w:color w:val="0000FF"/>
        </w:rPr>
        <w:t xml:space="preserve"> &lt;LET-evaluering&gt; under arbeid</w:t>
      </w:r>
      <w:r w:rsidRPr="00CF7D0E">
        <w:t>]</w:t>
      </w:r>
      <w:r>
        <w:t>.</w:t>
      </w:r>
    </w:p>
    <w:p w:rsidR="003521C7" w:rsidP="009D6480" w14:paraId="1DA8CE37" w14:textId="77777777"/>
    <w:p w:rsidR="009D6480" w:rsidP="009D6480" w14:paraId="6E70CFD0" w14:textId="77777777">
      <w:pPr>
        <w:pStyle w:val="Heading3"/>
      </w:pPr>
      <w:bookmarkStart w:id="18" w:name="_Toc256000015"/>
      <w:r>
        <w:t>Generelle hensyn ved bordrotasjon</w:t>
      </w:r>
      <w:bookmarkEnd w:id="18"/>
    </w:p>
    <w:p w:rsidR="009D6480" w:rsidP="009D6480" w14:paraId="78E16043" w14:textId="78B0923B">
      <w:r>
        <w:t xml:space="preserve">Rotasjon av behandlingsbordet kan gi enda mer gunstige feltvinkler. Samtidig kan det forårsake at pasienten beveger seg under rotasjonen. Man må derfor verifisere pasientposisjonen etter bordrotasjon med nye </w:t>
      </w:r>
      <w:r>
        <w:t>setup</w:t>
      </w:r>
      <w:r>
        <w:t xml:space="preserve">-felt, se </w:t>
      </w:r>
      <w:hyperlink r:id="rId14" w:tooltip="XDF78857" w:history="1">
        <w:r w:rsidRPr="003521C7" w:rsidR="003521C7">
          <w:rPr>
            <w:rStyle w:val="Hyperlink"/>
          </w:rPr>
          <w:fldChar w:fldCharType="begin" w:fldLock="1"/>
        </w:r>
        <w:r w:rsidRPr="003521C7" w:rsidR="003521C7">
          <w:rPr>
            <w:rStyle w:val="Hyperlink"/>
          </w:rPr>
          <w:instrText xml:space="preserve"> DOCPROPERTY XDT78857 *charformat * MERGEFORMAT </w:instrText>
        </w:r>
        <w:r w:rsidRPr="003521C7" w:rsidR="003521C7">
          <w:rPr>
            <w:rStyle w:val="Hyperlink"/>
          </w:rPr>
          <w:fldChar w:fldCharType="separate"/>
        </w:r>
        <w:r w:rsidRPr="003521C7" w:rsidR="003521C7">
          <w:rPr>
            <w:rStyle w:val="Hyperlink"/>
          </w:rPr>
          <w:t>Protonbehandling - prosedyre for gjennomføring</w:t>
        </w:r>
        <w:r w:rsidRPr="003521C7" w:rsidR="003521C7">
          <w:rPr>
            <w:rStyle w:val="Hyperlink"/>
          </w:rPr>
          <w:fldChar w:fldCharType="end"/>
        </w:r>
      </w:hyperlink>
      <w:r>
        <w:t xml:space="preserve">. Derfor er det ønskelig at man tilstreber å lage planer uten bordrotasjon </w:t>
      </w:r>
      <w:r>
        <w:t>så fremt det ikke fører til en klinisk dårligere plan. Om man velger å bruke bordrotasjon bør man bruke færrest mulig rotasjoner.</w:t>
      </w:r>
    </w:p>
    <w:p w:rsidR="003521C7" w:rsidRPr="00F163C9" w:rsidP="009D6480" w14:paraId="3C739BA6" w14:textId="77777777"/>
    <w:p w:rsidR="009D6480" w:rsidRPr="00CF7D0E" w:rsidP="009D6480" w14:paraId="7936D45C" w14:textId="77777777">
      <w:pPr>
        <w:pStyle w:val="Heading3"/>
      </w:pPr>
      <w:bookmarkStart w:id="19" w:name="_Toc256000016"/>
      <w:r>
        <w:t xml:space="preserve">Range </w:t>
      </w:r>
      <w:r>
        <w:t>shifter</w:t>
      </w:r>
      <w:r>
        <w:t xml:space="preserve"> og</w:t>
      </w:r>
      <w:r w:rsidRPr="00CF7D0E">
        <w:t xml:space="preserve"> </w:t>
      </w:r>
      <w:r>
        <w:t>a</w:t>
      </w:r>
      <w:r w:rsidRPr="00CF7D0E">
        <w:t>ir gap</w:t>
      </w:r>
      <w:bookmarkEnd w:id="19"/>
    </w:p>
    <w:p w:rsidR="009D6480" w:rsidP="009D6480" w14:paraId="477DCE86" w14:textId="77777777">
      <w:r>
        <w:t xml:space="preserve">Dersom målvolumet ligger ved nærhet til pasientoverflaten </w:t>
      </w:r>
      <w:r w:rsidRPr="00CF7D0E">
        <w:t xml:space="preserve">skal det vurderes om man må bruke range </w:t>
      </w:r>
      <w:r w:rsidRPr="00CF7D0E">
        <w:t>sh</w:t>
      </w:r>
      <w:r w:rsidRPr="00CF7D0E">
        <w:t>ifter</w:t>
      </w:r>
      <w:r w:rsidRPr="00CF7D0E">
        <w:t xml:space="preserve">, </w:t>
      </w:r>
      <w:r>
        <w:t xml:space="preserve">med </w:t>
      </w:r>
      <w:r w:rsidRPr="00CF7D0E">
        <w:t>enten 2 cm, 3 cm eller 5 cm</w:t>
      </w:r>
      <w:r>
        <w:t xml:space="preserve"> tykkelse</w:t>
      </w:r>
      <w:r w:rsidRPr="00CF7D0E">
        <w:t xml:space="preserve">. Det er ønskelig å bruke så tynn range </w:t>
      </w:r>
      <w:r w:rsidRPr="00CF7D0E">
        <w:t>shifter</w:t>
      </w:r>
      <w:r w:rsidRPr="00CF7D0E">
        <w:t xml:space="preserve"> som mulig. Siden range </w:t>
      </w:r>
      <w:r w:rsidRPr="00CF7D0E">
        <w:t>shiftere</w:t>
      </w:r>
      <w:r w:rsidRPr="00CF7D0E">
        <w:t xml:space="preserve"> må manuelt legges i </w:t>
      </w:r>
      <w:r w:rsidRPr="00CF7D0E">
        <w:t>snouten</w:t>
      </w:r>
      <w:r w:rsidRPr="00CF7D0E">
        <w:t xml:space="preserve"> skal det ikke brukes range </w:t>
      </w:r>
      <w:r w:rsidRPr="00CF7D0E">
        <w:t>shiftere</w:t>
      </w:r>
      <w:r w:rsidRPr="00CF7D0E">
        <w:t xml:space="preserve"> med forskjellig tykkelse for samme behandlingsplan. Behandlingsfe</w:t>
      </w:r>
      <w:r w:rsidRPr="00CF7D0E">
        <w:t xml:space="preserve">lt med og uten range </w:t>
      </w:r>
      <w:r w:rsidRPr="00CF7D0E">
        <w:t>shifter</w:t>
      </w:r>
      <w:r w:rsidRPr="00CF7D0E">
        <w:t xml:space="preserve"> av samme tykkelse er akseptabelt</w:t>
      </w:r>
      <w:r>
        <w:t>, men det er ønskelig å unngå dette om mulig</w:t>
      </w:r>
      <w:r w:rsidRPr="00CF7D0E">
        <w:t>.</w:t>
      </w:r>
    </w:p>
    <w:p w:rsidR="003521C7" w:rsidRPr="00CF7D0E" w:rsidP="009D6480" w14:paraId="06C1C02D" w14:textId="77777777"/>
    <w:p w:rsidR="009D6480" w:rsidP="009D6480" w14:paraId="4068C352" w14:textId="77777777">
      <w:r>
        <w:t>Dersom man</w:t>
      </w:r>
      <w:r w:rsidRPr="00CF7D0E">
        <w:t xml:space="preserve"> bruker range </w:t>
      </w:r>
      <w:r w:rsidRPr="00CF7D0E">
        <w:t>shifter</w:t>
      </w:r>
      <w:r w:rsidRPr="00CF7D0E">
        <w:t xml:space="preserve"> bør air gap settes slik at range </w:t>
      </w:r>
      <w:r w:rsidRPr="00CF7D0E">
        <w:t>shifteren</w:t>
      </w:r>
      <w:r>
        <w:t xml:space="preserve"> kommer</w:t>
      </w:r>
      <w:r w:rsidRPr="00CF7D0E">
        <w:t xml:space="preserve"> så nært som mulig </w:t>
      </w:r>
      <w:r>
        <w:t xml:space="preserve">på </w:t>
      </w:r>
      <w:r w:rsidRPr="00CF7D0E">
        <w:t>pasienten. Man bør likevel være obs på</w:t>
      </w:r>
      <w:r>
        <w:t xml:space="preserve"> at p</w:t>
      </w:r>
      <w:r w:rsidRPr="00CF7D0E">
        <w:t>as</w:t>
      </w:r>
      <w:r w:rsidRPr="00CF7D0E">
        <w:t xml:space="preserve">ientens skuldre ikke alltid </w:t>
      </w:r>
      <w:r>
        <w:t xml:space="preserve">tas </w:t>
      </w:r>
      <w:r w:rsidRPr="00CF7D0E">
        <w:t>med på CT-bildet</w:t>
      </w:r>
      <w:r>
        <w:t xml:space="preserve"> og man bør derfor være oppmerksom på kollisjonsfare. Tenk også over om isosenter er hensiktsmessig plassert.</w:t>
      </w:r>
    </w:p>
    <w:p w:rsidR="00A8428D" w:rsidRPr="00CF7D0E" w:rsidP="009D6480" w14:paraId="2B31866D" w14:textId="77777777"/>
    <w:p w:rsidR="009D6480" w:rsidRPr="00CF7D0E" w:rsidP="009D6480" w14:paraId="0E19F610" w14:textId="77777777">
      <w:pPr>
        <w:pStyle w:val="Heading2"/>
      </w:pPr>
      <w:bookmarkStart w:id="20" w:name="_Toc256000017"/>
      <w:r w:rsidRPr="00CF7D0E">
        <w:t>Robust optimering</w:t>
      </w:r>
      <w:bookmarkEnd w:id="20"/>
    </w:p>
    <w:p w:rsidR="009D6480" w:rsidP="009D6480" w14:paraId="15016C0D" w14:textId="77777777">
      <w:r w:rsidRPr="00CF7D0E">
        <w:t xml:space="preserve">Planen bør </w:t>
      </w:r>
      <w:r w:rsidRPr="00CF7D0E">
        <w:t>robustoptimeres</w:t>
      </w:r>
      <w:r w:rsidRPr="00CF7D0E">
        <w:t xml:space="preserve"> med </w:t>
      </w:r>
      <w:r>
        <w:t>hovedsakelig</w:t>
      </w:r>
      <w:r w:rsidRPr="00CF7D0E">
        <w:t xml:space="preserve"> 3.5% i tetthetsusikkerhet og 2</w:t>
      </w:r>
      <w:r>
        <w:t xml:space="preserve"> </w:t>
      </w:r>
      <w:r w:rsidRPr="00CF7D0E">
        <w:t>mm i forskyvning. Om man ønsker en mer robust plan eller har vanskeligheter med å oppnå robusthet ved robust evaluering, kan verdiene over økes.</w:t>
      </w:r>
    </w:p>
    <w:p w:rsidR="003521C7" w:rsidP="009D6480" w14:paraId="385A8401" w14:textId="77777777"/>
    <w:p w:rsidR="009D6480" w:rsidP="009D6480" w14:paraId="729AF6F3" w14:textId="77777777">
      <w:r w:rsidRPr="00CF7D0E">
        <w:t xml:space="preserve">Det anbefales å velge robust optimering </w:t>
      </w:r>
      <w:r>
        <w:t xml:space="preserve">på CTV, ev. </w:t>
      </w:r>
      <w:r>
        <w:t>croppet</w:t>
      </w:r>
      <w:r>
        <w:t xml:space="preserve"> CTV </w:t>
      </w:r>
      <w:r w:rsidRPr="00957C43">
        <w:t>der dette er a</w:t>
      </w:r>
      <w:r w:rsidRPr="00957C43">
        <w:t>ktuelt volum</w:t>
      </w:r>
      <w:r>
        <w:t>.</w:t>
      </w:r>
    </w:p>
    <w:p w:rsidR="008B568A" w:rsidRPr="00CF7D0E" w:rsidP="009D6480" w14:paraId="6EE1576B" w14:textId="77777777"/>
    <w:p w:rsidR="009D6480" w:rsidRPr="00CF7D0E" w:rsidP="009D6480" w14:paraId="3E00CC60" w14:textId="60F784D9">
      <w:r w:rsidRPr="00CF7D0E">
        <w:t>Ved metallimplantater og artefakter som kan påvirke dosefordelingen</w:t>
      </w:r>
      <w:r>
        <w:t xml:space="preserve"> bør</w:t>
      </w:r>
      <w:r w:rsidRPr="00CF7D0E">
        <w:t xml:space="preserve"> dette tas hensyn til ved robusthet. Se dokumentet </w:t>
      </w:r>
      <w:hyperlink r:id="rId9" w:tooltip="XDF78847" w:history="1">
        <w:r w:rsidRPr="003521C7" w:rsidR="003521C7">
          <w:rPr>
            <w:rStyle w:val="Hyperlink"/>
          </w:rPr>
          <w:fldChar w:fldCharType="begin" w:fldLock="1"/>
        </w:r>
        <w:r w:rsidRPr="003521C7" w:rsidR="003521C7">
          <w:rPr>
            <w:rStyle w:val="Hyperlink"/>
          </w:rPr>
          <w:instrText xml:space="preserve"> DOCPROPERTY XDT78847 *charformat * MERGEFORMAT </w:instrText>
        </w:r>
        <w:r w:rsidRPr="003521C7" w:rsidR="003521C7">
          <w:rPr>
            <w:rStyle w:val="Hyperlink"/>
          </w:rPr>
          <w:fldChar w:fldCharType="separate"/>
        </w:r>
        <w:r w:rsidRPr="003521C7" w:rsidR="003521C7">
          <w:rPr>
            <w:rStyle w:val="Hyperlink"/>
          </w:rPr>
          <w:t>Håndtering av implantat og artefakter ved protonbehandling</w:t>
        </w:r>
        <w:r w:rsidRPr="003521C7" w:rsidR="003521C7">
          <w:rPr>
            <w:rStyle w:val="Hyperlink"/>
          </w:rPr>
          <w:fldChar w:fldCharType="end"/>
        </w:r>
      </w:hyperlink>
      <w:r w:rsidRPr="00CF7D0E">
        <w:t>.</w:t>
      </w:r>
    </w:p>
    <w:p w:rsidR="00EB12D2" w:rsidRPr="00EB12D2" w:rsidP="00EB12D2" w14:paraId="64CA7823" w14:textId="77777777"/>
    <w:p w:rsidR="00510BDF" w:rsidP="00EB12D2" w14:paraId="3C74329C" w14:textId="73399996">
      <w:pPr>
        <w:pStyle w:val="Heading1"/>
      </w:pPr>
      <w:bookmarkStart w:id="21" w:name="_Toc256000018"/>
      <w:r>
        <w:t>Planevaluering</w:t>
      </w:r>
      <w:bookmarkEnd w:id="21"/>
      <w:r w:rsidR="00A67055">
        <w:t xml:space="preserve"> </w:t>
      </w:r>
    </w:p>
    <w:p w:rsidR="008B568A" w:rsidP="008B568A" w14:paraId="5AB24E58" w14:textId="77777777">
      <w:r>
        <w:t>Planen skal evalueres både nominelt og robust. I tillegg til å vurdere dosefordeling for hele planen bør også feltdosene vurderes in</w:t>
      </w:r>
      <w:r>
        <w:t>dividuelt - gjerne sammen med spotplassering og spotvekt. Man bør unngå høyt vektede spotter og høy dose fra enkeltfelt i serielle risikoorganer. Ved svært høyt eller svært lavt dosebidrag fra enkeltfelt bør feltvinkler og eventuelt optimeringsobjektiver r</w:t>
      </w:r>
      <w:r>
        <w:t>evurderes ved å for eksempel begrense dose fra det aktuelle feltet. </w:t>
      </w:r>
    </w:p>
    <w:p w:rsidR="008B568A" w:rsidRPr="00F76DBE" w:rsidP="008B568A" w14:paraId="3987EC79" w14:textId="77777777"/>
    <w:p w:rsidR="008B568A" w:rsidRPr="00CF7D0E" w:rsidP="008B568A" w14:paraId="05746189" w14:textId="77777777">
      <w:pPr>
        <w:pStyle w:val="Heading2"/>
      </w:pPr>
      <w:bookmarkStart w:id="22" w:name="_Toc256000019"/>
      <w:r w:rsidRPr="00CF7D0E">
        <w:t>Doser til målvolum</w:t>
      </w:r>
      <w:bookmarkEnd w:id="22"/>
    </w:p>
    <w:p w:rsidR="008B568A" w:rsidP="008B568A" w14:paraId="5CCE76E5" w14:textId="77777777">
      <w:r w:rsidRPr="00CF7D0E">
        <w:t>Alle doser er oppgitt i Gy (RBE), hvor RBE = 1.1.</w:t>
      </w:r>
    </w:p>
    <w:p w:rsidR="008B568A" w:rsidRPr="00CF7D0E" w:rsidP="008B568A" w14:paraId="23EB6997" w14:textId="77777777"/>
    <w:p w:rsidR="008B568A" w:rsidP="008B568A" w14:paraId="77B41CE2" w14:textId="77777777">
      <w:r>
        <w:t>Plandosen rekvireres til median (D</w:t>
      </w:r>
      <w:r w:rsidRPr="4F8C4DF7">
        <w:rPr>
          <w:vertAlign w:val="subscript"/>
        </w:rPr>
        <w:t>50%</w:t>
      </w:r>
      <w:r>
        <w:t xml:space="preserve">) i CTV, alternativt i </w:t>
      </w:r>
      <w:r>
        <w:t>croppet</w:t>
      </w:r>
      <w:r>
        <w:t xml:space="preserve"> CTV. Ved forskjellige dosenivå til flere CTV-er </w:t>
      </w:r>
      <w:r>
        <w:t xml:space="preserve">bør median dose for hvert CTV være innenfor </w:t>
      </w:r>
      <w:r w:rsidRPr="4F8C4DF7">
        <w:t>±</w:t>
      </w:r>
      <w:r>
        <w:t xml:space="preserve">2% av respektive måldoser. </w:t>
      </w:r>
    </w:p>
    <w:p w:rsidR="008B568A" w:rsidRPr="00CF7D0E" w:rsidP="008B568A" w14:paraId="0FE37F79" w14:textId="77777777">
      <w:pPr>
        <w:rPr>
          <w:color w:val="FF0000"/>
        </w:rPr>
      </w:pPr>
    </w:p>
    <w:p w:rsidR="008B568A" w:rsidRPr="00CF7D0E" w:rsidP="008B568A" w14:paraId="53C5074E" w14:textId="77777777">
      <w:pPr>
        <w:pStyle w:val="Caption"/>
        <w:keepNext/>
      </w:pPr>
      <w:r w:rsidRPr="00CF7D0E"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4</w:t>
      </w:r>
      <w:r>
        <w:rPr>
          <w:noProof/>
        </w:rPr>
        <w:fldChar w:fldCharType="end"/>
      </w:r>
      <w:r w:rsidRPr="00CF7D0E">
        <w:t xml:space="preserve">: </w:t>
      </w:r>
      <w:r>
        <w:t>Nominelle d</w:t>
      </w:r>
      <w:r w:rsidRPr="00CF7D0E">
        <w:t>ekningskrav til CTV og GTV</w:t>
      </w:r>
      <w:r>
        <w:t>.</w:t>
      </w:r>
    </w:p>
    <w:tbl>
      <w:tblPr>
        <w:tblStyle w:val="GridTable4Accent1"/>
        <w:tblW w:w="0" w:type="auto"/>
        <w:tblLook w:val="04A0"/>
      </w:tblPr>
      <w:tblGrid>
        <w:gridCol w:w="1101"/>
        <w:gridCol w:w="1417"/>
        <w:gridCol w:w="1276"/>
      </w:tblGrid>
      <w:tr w14:paraId="0641C3D3" w14:textId="77777777" w:rsidTr="000F44D2">
        <w:tblPrEx>
          <w:tblW w:w="0" w:type="auto"/>
          <w:tblLook w:val="04A0"/>
        </w:tblPrEx>
        <w:tc>
          <w:tcPr>
            <w:tcW w:w="1101" w:type="dxa"/>
          </w:tcPr>
          <w:p w:rsidR="008B568A" w:rsidRPr="00CF7D0E" w:rsidP="00D70046" w14:paraId="48B6294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Målvolum</w:t>
            </w:r>
          </w:p>
        </w:tc>
        <w:tc>
          <w:tcPr>
            <w:tcW w:w="1417" w:type="dxa"/>
          </w:tcPr>
          <w:p w:rsidR="008B568A" w:rsidRPr="00CF7D0E" w:rsidP="00D70046" w14:paraId="0F598E5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Nominelt dekningskrav</w:t>
            </w:r>
          </w:p>
        </w:tc>
        <w:tc>
          <w:tcPr>
            <w:tcW w:w="1276" w:type="dxa"/>
          </w:tcPr>
          <w:p w:rsidR="008B568A" w:rsidRPr="00CF7D0E" w:rsidP="00D70046" w14:paraId="79B740E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Maks</w:t>
            </w:r>
            <w:r>
              <w:rPr>
                <w:rFonts w:ascii="Calibri" w:hAnsi="Calibri" w:cs="Calibri"/>
                <w:sz w:val="16"/>
                <w:szCs w:val="24"/>
              </w:rPr>
              <w:t>imum</w:t>
            </w:r>
          </w:p>
        </w:tc>
      </w:tr>
      <w:tr w14:paraId="6151D47D" w14:textId="77777777" w:rsidTr="000F44D2">
        <w:tblPrEx>
          <w:tblW w:w="0" w:type="auto"/>
          <w:tblLook w:val="04A0"/>
        </w:tblPrEx>
        <w:tc>
          <w:tcPr>
            <w:tcW w:w="1101" w:type="dxa"/>
          </w:tcPr>
          <w:p w:rsidR="008B568A" w:rsidRPr="00CF7D0E" w:rsidP="00D70046" w14:paraId="24022A5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CF7D0E">
              <w:rPr>
                <w:rFonts w:ascii="Calibri" w:hAnsi="Calibri" w:cs="Calibri"/>
                <w:sz w:val="16"/>
                <w:szCs w:val="16"/>
              </w:rPr>
              <w:t>GTV</w:t>
            </w:r>
          </w:p>
        </w:tc>
        <w:tc>
          <w:tcPr>
            <w:tcW w:w="1417" w:type="dxa"/>
          </w:tcPr>
          <w:p w:rsidR="008B568A" w:rsidRPr="00CF7D0E" w:rsidP="00D70046" w14:paraId="021EA69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D</w:t>
            </w:r>
            <w:r w:rsidRPr="00CF7D0E">
              <w:rPr>
                <w:rFonts w:ascii="Calibri" w:hAnsi="Calibri" w:cs="Calibri"/>
                <w:sz w:val="16"/>
                <w:szCs w:val="24"/>
                <w:vertAlign w:val="subscript"/>
              </w:rPr>
              <w:t>99.9%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 ≥ 95%</w:t>
            </w:r>
          </w:p>
        </w:tc>
        <w:tc>
          <w:tcPr>
            <w:tcW w:w="1276" w:type="dxa"/>
          </w:tcPr>
          <w:p w:rsidR="008B568A" w:rsidRPr="00CF7D0E" w:rsidP="00D70046" w14:paraId="6CE9D30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107%</w:t>
            </w:r>
          </w:p>
        </w:tc>
      </w:tr>
      <w:tr w14:paraId="7B1A0955" w14:textId="77777777" w:rsidTr="000F44D2">
        <w:tblPrEx>
          <w:tblW w:w="0" w:type="auto"/>
          <w:tblLook w:val="04A0"/>
        </w:tblPrEx>
        <w:tc>
          <w:tcPr>
            <w:tcW w:w="1101" w:type="dxa"/>
          </w:tcPr>
          <w:p w:rsidR="008B568A" w:rsidRPr="00CF7D0E" w:rsidP="00D70046" w14:paraId="1B51B6A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CTV</w:t>
            </w:r>
            <w:r>
              <w:rPr>
                <w:rFonts w:ascii="Calibri" w:hAnsi="Calibri" w:cs="Calibri"/>
                <w:sz w:val="16"/>
                <w:szCs w:val="24"/>
              </w:rPr>
              <w:t>*</w:t>
            </w:r>
          </w:p>
        </w:tc>
        <w:tc>
          <w:tcPr>
            <w:tcW w:w="1417" w:type="dxa"/>
          </w:tcPr>
          <w:p w:rsidR="008B568A" w:rsidRPr="00CF7D0E" w:rsidP="00D70046" w14:paraId="28D7CB3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CF7D0E">
              <w:rPr>
                <w:rFonts w:ascii="Calibri" w:hAnsi="Calibri" w:cs="Calibri"/>
                <w:sz w:val="16"/>
                <w:szCs w:val="24"/>
              </w:rPr>
              <w:t>D</w:t>
            </w:r>
            <w:r w:rsidRPr="00CF7D0E">
              <w:rPr>
                <w:rFonts w:ascii="Calibri" w:hAnsi="Calibri" w:cs="Calibri"/>
                <w:sz w:val="16"/>
                <w:szCs w:val="24"/>
                <w:vertAlign w:val="subscript"/>
              </w:rPr>
              <w:t>99%</w:t>
            </w:r>
            <w:r w:rsidRPr="00CF7D0E">
              <w:rPr>
                <w:rFonts w:ascii="Calibri" w:hAnsi="Calibri" w:cs="Calibri"/>
                <w:sz w:val="16"/>
                <w:szCs w:val="24"/>
              </w:rPr>
              <w:t xml:space="preserve"> ≥ 95%</w:t>
            </w:r>
          </w:p>
        </w:tc>
        <w:tc>
          <w:tcPr>
            <w:tcW w:w="1276" w:type="dxa"/>
          </w:tcPr>
          <w:p w:rsidR="008B568A" w:rsidRPr="00CF7D0E" w:rsidP="00D70046" w14:paraId="799C454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107%</w:t>
            </w:r>
          </w:p>
        </w:tc>
      </w:tr>
    </w:tbl>
    <w:p w:rsidR="008B568A" w:rsidP="008B568A" w14:paraId="30E4F498" w14:textId="77777777">
      <w:pPr>
        <w:rPr>
          <w:sz w:val="16"/>
          <w:szCs w:val="16"/>
        </w:rPr>
      </w:pPr>
      <w:r w:rsidRPr="00DF3584">
        <w:rPr>
          <w:sz w:val="16"/>
          <w:szCs w:val="16"/>
        </w:rPr>
        <w:t xml:space="preserve">* Gjelder </w:t>
      </w:r>
      <w:r w:rsidRPr="00DF3584">
        <w:rPr>
          <w:sz w:val="16"/>
          <w:szCs w:val="16"/>
        </w:rPr>
        <w:t>croppet</w:t>
      </w:r>
      <w:r w:rsidRPr="00DF3584">
        <w:rPr>
          <w:sz w:val="16"/>
          <w:szCs w:val="16"/>
        </w:rPr>
        <w:t xml:space="preserve"> CTV der dette er aktuelt volum.</w:t>
      </w:r>
    </w:p>
    <w:p w:rsidR="008B568A" w:rsidRPr="00A8428D" w:rsidP="008B568A" w14:paraId="386A6AD5" w14:textId="77777777">
      <w:pPr>
        <w:rPr>
          <w:szCs w:val="24"/>
        </w:rPr>
      </w:pPr>
    </w:p>
    <w:p w:rsidR="008B568A" w:rsidRPr="00CF7D0E" w:rsidP="008B568A" w14:paraId="5A8848A7" w14:textId="77777777">
      <w:pPr>
        <w:pStyle w:val="Heading2"/>
      </w:pPr>
      <w:bookmarkStart w:id="23" w:name="_Toc256000020"/>
      <w:r w:rsidRPr="00CF7D0E">
        <w:t>Doser til risikoorgan</w:t>
      </w:r>
      <w:bookmarkEnd w:id="23"/>
    </w:p>
    <w:p w:rsidR="008B568A" w:rsidP="008B568A" w14:paraId="39581BEA" w14:textId="78F5AE6A">
      <w:pPr>
        <w:rPr>
          <w:iCs/>
        </w:rPr>
      </w:pPr>
      <w:r w:rsidRPr="00CF7D0E">
        <w:t>Nominelle dosegrenser til risikoorgan følger</w:t>
      </w:r>
      <w:r>
        <w:t xml:space="preserve"> med noen unntak</w:t>
      </w:r>
      <w:r w:rsidRPr="00CF7D0E">
        <w:t xml:space="preserve"> anbefalinger fra DSA-publikasjonen </w:t>
      </w:r>
      <w:hyperlink r:id="rId15" w:history="1">
        <w:r w:rsidRPr="009C4F7A">
          <w:rPr>
            <w:rStyle w:val="Hyperlink"/>
          </w:rPr>
          <w:t>Toleransedoser og anbefalte dosegrenser til risikoorganer ved strålebehandling av sentralnervesystemet (CNS)</w:t>
        </w:r>
      </w:hyperlink>
      <w:r w:rsidRPr="009C4F7A">
        <w:t xml:space="preserve">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ADDIN EN.CITE &lt;EndNote&gt;&lt;Cite&gt;&lt;Author&gt;Brandal&lt;/Author&gt;&lt;Year&gt;2023&lt;/Year</w:instrText>
      </w:r>
      <w:r>
        <w:rPr>
          <w:i/>
          <w:iCs/>
        </w:rPr>
        <w:instrText>&gt;&lt;RecNum&gt;1499&lt;/RecNum&gt;&lt;DisplayText&gt;[7]&lt;/DisplayText&gt;&lt;record&gt;&lt;rec-number&gt;1499&lt;/rec-number&gt;&lt;foreign-keys&gt;&lt;key app="EN" db-id="ae555efdts2x04e2de7vpvvzf20spe20xswe" timestamp="1709200091"&gt;1499&lt;/key&gt;&lt;/foreign-keys&gt;&lt;ref-type name="Report"&gt;27&lt;/ref-type&gt;&lt;contribu</w:instrText>
      </w:r>
      <w:r>
        <w:rPr>
          <w:i/>
          <w:iCs/>
        </w:rPr>
        <w:instrText>tors&gt;&lt;authors&gt;&lt;author&gt;Brandal, P.&lt;/author&gt;&lt;author&gt;Marienhagen, K&lt;/author&gt;&lt;author&gt;Nyström, P&lt;/author&gt;&lt;author&gt;Danielsen, T&lt;/author&gt;&lt;/authors&gt;&lt;/contributors&gt;&lt;titles&gt;&lt;title&gt;Norwegian guidelines for dose constraints to organs at risk relevant for neuro-oncology</w:instrText>
      </w:r>
      <w:r>
        <w:rPr>
          <w:i/>
          <w:iCs/>
        </w:rPr>
        <w:instrText>. Techincal document no. 29&lt;/title&gt;&lt;/titles&gt;&lt;dates&gt;&lt;year&gt;2023&lt;/year&gt;&lt;/dates&gt;&lt;publisher&gt;Østerås: Norwegian Radiation and Nuclear Safety Authority&lt;/publisher&gt;&lt;urls&gt;&lt;related-urls&gt;&lt;url&gt;https://dsa.no/publikasjoner/_/attachment/inline/a5d17cc9-d8fa-4138-8ffc-c0</w:instrText>
      </w:r>
      <w:r>
        <w:rPr>
          <w:i/>
          <w:iCs/>
        </w:rPr>
        <w:instrText>91eb2d122e:db1b583d5d4b878b3311ab387f73b96ab89ccc3a/Teknisk%20dokument%2029%20Toleransedoser%20og%20anbefalte%20dosegrenser%20til%20risikoorganer%20ved%20str%C3%A5lebehandling%20av%20sentralnervesystemet%20.pdf&lt;/url&gt;&lt;/related-urls&gt;&lt;/urls&gt;&lt;/record&gt;&lt;/Cite&gt;&lt;/</w:instrText>
      </w:r>
      <w:r>
        <w:rPr>
          <w:i/>
          <w:iCs/>
        </w:rPr>
        <w:instrText>EndNote&gt;</w:instrText>
      </w:r>
      <w:r>
        <w:rPr>
          <w:i/>
          <w:iCs/>
        </w:rPr>
        <w:fldChar w:fldCharType="separate"/>
      </w:r>
      <w:r w:rsidRPr="001C68C1">
        <w:rPr>
          <w:iCs/>
          <w:noProof/>
        </w:rPr>
        <w:t>[</w:t>
      </w:r>
      <w:hyperlink w:anchor="_ENREF_7" w:tooltip="Brandal, 2023 #1499" w:history="1">
        <w:r w:rsidRPr="001C68C1">
          <w:rPr>
            <w:iCs/>
            <w:noProof/>
          </w:rPr>
          <w:t>7</w:t>
        </w:r>
      </w:hyperlink>
      <w:r w:rsidRPr="001C68C1">
        <w:rPr>
          <w:iCs/>
          <w:noProof/>
        </w:rPr>
        <w:t>]</w:t>
      </w:r>
      <w:r>
        <w:rPr>
          <w:i/>
          <w:iCs/>
        </w:rPr>
        <w:fldChar w:fldCharType="end"/>
      </w:r>
      <w:r>
        <w:rPr>
          <w:iCs/>
        </w:rPr>
        <w:t>.</w:t>
      </w:r>
    </w:p>
    <w:p w:rsidR="008B568A" w:rsidRPr="00CF7D0E" w:rsidP="008B568A" w14:paraId="11859F99" w14:textId="77777777">
      <w:pPr>
        <w:rPr>
          <w:iCs/>
        </w:rPr>
      </w:pPr>
    </w:p>
    <w:p w:rsidR="008B568A" w:rsidP="008B568A" w14:paraId="0433B368" w14:textId="77777777">
      <w:r w:rsidRPr="00CF7D0E">
        <w:t>Global maksimumsdose (D</w:t>
      </w:r>
      <w:r w:rsidRPr="00CF7D0E">
        <w:rPr>
          <w:vertAlign w:val="subscript"/>
        </w:rPr>
        <w:t>0.03cc</w:t>
      </w:r>
      <w:r w:rsidRPr="00CF7D0E">
        <w:t>) bør være under 107% av rekvirert dose</w:t>
      </w:r>
      <w:r>
        <w:t>. Påse at punktmaks ikke er urimelig høy.</w:t>
      </w:r>
    </w:p>
    <w:p w:rsidR="008B568A" w:rsidRPr="00CF7D0E" w:rsidP="008B568A" w14:paraId="4916D1ED" w14:textId="77777777"/>
    <w:p w:rsidR="008B568A" w:rsidP="008B568A" w14:paraId="4E7656A0" w14:textId="77777777">
      <w:r>
        <w:t xml:space="preserve">Man forholder seg til nominelle doser så </w:t>
      </w:r>
      <w:r>
        <w:t>langt det er mulig, hvor det kun unntaksvis skal regnes om til EQD2.</w:t>
      </w:r>
    </w:p>
    <w:p w:rsidR="008B568A" w:rsidP="008B568A" w14:paraId="519CE3D2" w14:textId="77777777"/>
    <w:p w:rsidR="008B568A" w:rsidP="008B568A" w14:paraId="2CE61AA8" w14:textId="6722DC3F">
      <w:r>
        <w:t xml:space="preserve">Ved serielle organer som nærmer seg dosegrensene i tabellen under skal det gjøres en eksplisitt vurdering av LET og variabel RBE, se </w:t>
      </w:r>
      <w:r w:rsidRPr="00CF7D0E">
        <w:t>[</w:t>
      </w:r>
      <w:r w:rsidRPr="00CF7D0E">
        <w:rPr>
          <w:color w:val="0000FF"/>
        </w:rPr>
        <w:t>REF!</w:t>
      </w:r>
      <w:r>
        <w:rPr>
          <w:color w:val="0000FF"/>
        </w:rPr>
        <w:t xml:space="preserve"> &lt;LET-evaluering&gt; under arbeid</w:t>
      </w:r>
      <w:r w:rsidRPr="00CF7D0E">
        <w:t>]</w:t>
      </w:r>
      <w:r>
        <w:t>.</w:t>
      </w:r>
    </w:p>
    <w:p w:rsidR="008B568A" w:rsidP="008B568A" w14:paraId="5181BB27" w14:textId="77777777"/>
    <w:p w:rsidR="008B568A" w:rsidRPr="00CF7D0E" w:rsidP="008B568A" w14:paraId="12997367" w14:textId="77777777">
      <w:pPr>
        <w:pStyle w:val="Caption"/>
        <w:keepNext/>
      </w:pPr>
      <w:r w:rsidRPr="00CF7D0E"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5</w:t>
      </w:r>
      <w:r>
        <w:rPr>
          <w:noProof/>
        </w:rPr>
        <w:fldChar w:fldCharType="end"/>
      </w:r>
      <w:r w:rsidRPr="00CF7D0E">
        <w:t xml:space="preserve"> Nominelle dosegrenser</w:t>
      </w:r>
      <w:r>
        <w:t xml:space="preserve"> til risikoorgan.</w:t>
      </w:r>
    </w:p>
    <w:tbl>
      <w:tblPr>
        <w:tblStyle w:val="GridTable4Accent1"/>
        <w:tblW w:w="9322" w:type="dxa"/>
        <w:tblLayout w:type="fixed"/>
        <w:tblLook w:val="04A0"/>
      </w:tblPr>
      <w:tblGrid>
        <w:gridCol w:w="1555"/>
        <w:gridCol w:w="992"/>
        <w:gridCol w:w="2410"/>
        <w:gridCol w:w="3805"/>
        <w:gridCol w:w="560"/>
      </w:tblGrid>
      <w:tr w14:paraId="15F53AC0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23ECFE2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Struktur</w:t>
            </w:r>
          </w:p>
        </w:tc>
        <w:tc>
          <w:tcPr>
            <w:tcW w:w="992" w:type="dxa"/>
          </w:tcPr>
          <w:p w:rsidR="008B568A" w:rsidRPr="00CF7D0E" w:rsidP="00D70046" w14:paraId="55DDE4F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Pr</w:t>
            </w:r>
            <w:r w:rsidRPr="00CF7D0E">
              <w:rPr>
                <w:sz w:val="16"/>
              </w:rPr>
              <w:t>ioritering</w:t>
            </w:r>
          </w:p>
        </w:tc>
        <w:tc>
          <w:tcPr>
            <w:tcW w:w="2410" w:type="dxa"/>
          </w:tcPr>
          <w:p w:rsidR="008B568A" w:rsidRPr="00CF7D0E" w:rsidP="00D70046" w14:paraId="3CA4F127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Nominell toleransedose (EQD2)</w:t>
            </w:r>
          </w:p>
        </w:tc>
        <w:tc>
          <w:tcPr>
            <w:tcW w:w="3805" w:type="dxa"/>
          </w:tcPr>
          <w:p w:rsidR="008B568A" w:rsidRPr="00CF7D0E" w:rsidP="00D70046" w14:paraId="1EC44BD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Kommentar/endepunkt</w:t>
            </w:r>
          </w:p>
        </w:tc>
        <w:tc>
          <w:tcPr>
            <w:tcW w:w="560" w:type="dxa"/>
          </w:tcPr>
          <w:p w:rsidR="008B568A" w:rsidRPr="00CF7D0E" w:rsidP="00D70046" w14:paraId="6B9D8B48" w14:textId="77777777">
            <w:pPr>
              <w:spacing w:after="100" w:afterAutospacing="1" w:line="288" w:lineRule="auto"/>
              <w:rPr>
                <w:sz w:val="16"/>
                <w:szCs w:val="16"/>
              </w:rPr>
            </w:pPr>
            <w:r w:rsidRPr="00CF7D0E">
              <w:rPr>
                <w:rFonts w:ascii="Courier New" w:hAnsi="Courier New" w:cs="Courier New"/>
                <w:sz w:val="16"/>
                <w:szCs w:val="16"/>
              </w:rPr>
              <w:t>α</w:t>
            </w:r>
            <w:r w:rsidRPr="00CF7D0E">
              <w:rPr>
                <w:sz w:val="16"/>
                <w:szCs w:val="16"/>
              </w:rPr>
              <w:t>/</w:t>
            </w:r>
            <w:r w:rsidRPr="00CF7D0E">
              <w:rPr>
                <w:rFonts w:ascii="Courier New" w:hAnsi="Courier New" w:cs="Courier New"/>
                <w:sz w:val="16"/>
                <w:szCs w:val="16"/>
              </w:rPr>
              <w:t>β</w:t>
            </w:r>
          </w:p>
        </w:tc>
      </w:tr>
      <w:tr w14:paraId="5A390285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7BDB994F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Brainstem</w:t>
            </w:r>
          </w:p>
        </w:tc>
        <w:tc>
          <w:tcPr>
            <w:tcW w:w="992" w:type="dxa"/>
          </w:tcPr>
          <w:p w:rsidR="008B568A" w:rsidRPr="00CF7D0E" w:rsidP="00D70046" w14:paraId="3295696E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1</w:t>
            </w:r>
          </w:p>
        </w:tc>
        <w:tc>
          <w:tcPr>
            <w:tcW w:w="2410" w:type="dxa"/>
          </w:tcPr>
          <w:p w:rsidR="008B568A" w:rsidRPr="00CF7D0E" w:rsidP="00D70046" w14:paraId="28FA730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54 Gy (RBE)</w:t>
            </w:r>
          </w:p>
        </w:tc>
        <w:tc>
          <w:tcPr>
            <w:tcW w:w="3805" w:type="dxa"/>
          </w:tcPr>
          <w:p w:rsidR="008B568A" w:rsidRPr="00CF7D0E" w:rsidP="00D70046" w14:paraId="2B1AE999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Nekrose.</w:t>
            </w:r>
          </w:p>
          <w:p w:rsidR="008B568A" w:rsidRPr="00CF7D0E" w:rsidP="00D70046" w14:paraId="42804C3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Permanent nevropati.</w:t>
            </w:r>
          </w:p>
          <w:p w:rsidR="008B568A" w:rsidRPr="00CF7D0E" w:rsidP="00D70046" w14:paraId="4EF83484" w14:textId="77777777">
            <w:pPr>
              <w:rPr>
                <w:sz w:val="16"/>
              </w:rPr>
            </w:pPr>
            <w:r w:rsidRPr="006411BB">
              <w:rPr>
                <w:sz w:val="16"/>
              </w:rPr>
              <w:t xml:space="preserve">Hvis man ikke definerer Surface og </w:t>
            </w:r>
            <w:r w:rsidRPr="006411BB">
              <w:rPr>
                <w:sz w:val="16"/>
              </w:rPr>
              <w:t>Core</w:t>
            </w:r>
            <w:r w:rsidRPr="006411BB">
              <w:rPr>
                <w:sz w:val="16"/>
              </w:rPr>
              <w:t>.</w:t>
            </w:r>
          </w:p>
        </w:tc>
        <w:tc>
          <w:tcPr>
            <w:tcW w:w="560" w:type="dxa"/>
          </w:tcPr>
          <w:p w:rsidR="008B568A" w:rsidRPr="00CF7D0E" w:rsidP="00D70046" w14:paraId="23038CB0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  <w:tr w14:paraId="461AC67E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5822863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BrainstemCore</w:t>
            </w:r>
          </w:p>
        </w:tc>
        <w:tc>
          <w:tcPr>
            <w:tcW w:w="992" w:type="dxa"/>
          </w:tcPr>
          <w:p w:rsidR="008B568A" w:rsidRPr="00CF7D0E" w:rsidP="00D70046" w14:paraId="3F834338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1</w:t>
            </w:r>
          </w:p>
        </w:tc>
        <w:tc>
          <w:tcPr>
            <w:tcW w:w="2410" w:type="dxa"/>
          </w:tcPr>
          <w:p w:rsidR="008B568A" w:rsidRPr="00CF7D0E" w:rsidP="00D70046" w14:paraId="29B69C61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54 Gy (RBE)</w:t>
            </w:r>
          </w:p>
        </w:tc>
        <w:tc>
          <w:tcPr>
            <w:tcW w:w="3805" w:type="dxa"/>
          </w:tcPr>
          <w:p w:rsidR="008B568A" w:rsidRPr="00CF7D0E" w:rsidP="00D70046" w14:paraId="5D99F15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Nekrose.</w:t>
            </w:r>
          </w:p>
          <w:p w:rsidR="008B568A" w:rsidRPr="00CF7D0E" w:rsidP="00D70046" w14:paraId="75CC1747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Permanent nevropati.</w:t>
            </w:r>
          </w:p>
        </w:tc>
        <w:tc>
          <w:tcPr>
            <w:tcW w:w="560" w:type="dxa"/>
          </w:tcPr>
          <w:p w:rsidR="008B568A" w:rsidRPr="00CF7D0E" w:rsidP="00D70046" w14:paraId="31A5F0FC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  <w:tr w14:paraId="72626E99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0C3DAC8A" w14:textId="77777777">
            <w:pPr>
              <w:rPr>
                <w:sz w:val="16"/>
                <w:szCs w:val="16"/>
              </w:rPr>
            </w:pPr>
            <w:r w:rsidRPr="00CF7D0E">
              <w:rPr>
                <w:sz w:val="16"/>
                <w:szCs w:val="16"/>
              </w:rPr>
              <w:t>BrainstemSurface</w:t>
            </w:r>
          </w:p>
        </w:tc>
        <w:tc>
          <w:tcPr>
            <w:tcW w:w="992" w:type="dxa"/>
          </w:tcPr>
          <w:p w:rsidR="008B568A" w:rsidRPr="00CF7D0E" w:rsidP="00D70046" w14:paraId="3510D8AA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1</w:t>
            </w:r>
          </w:p>
        </w:tc>
        <w:tc>
          <w:tcPr>
            <w:tcW w:w="2410" w:type="dxa"/>
          </w:tcPr>
          <w:p w:rsidR="008B568A" w:rsidRPr="00CF7D0E" w:rsidP="00D70046" w14:paraId="6254C3E1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60 Gy (RBE)</w:t>
            </w:r>
          </w:p>
        </w:tc>
        <w:tc>
          <w:tcPr>
            <w:tcW w:w="3805" w:type="dxa"/>
          </w:tcPr>
          <w:p w:rsidR="008B568A" w:rsidRPr="00CF7D0E" w:rsidP="00D70046" w14:paraId="68EB6B9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Nekrose.</w:t>
            </w:r>
          </w:p>
          <w:p w:rsidR="008B568A" w:rsidRPr="00CF7D0E" w:rsidP="00D70046" w14:paraId="2A8AC24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Permanent nevropati.</w:t>
            </w:r>
          </w:p>
        </w:tc>
        <w:tc>
          <w:tcPr>
            <w:tcW w:w="560" w:type="dxa"/>
          </w:tcPr>
          <w:p w:rsidR="008B568A" w:rsidRPr="00CF7D0E" w:rsidP="00D70046" w14:paraId="284B78B5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  <w:tr w14:paraId="317D0F54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4539E249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SpinalCord</w:t>
            </w:r>
          </w:p>
        </w:tc>
        <w:tc>
          <w:tcPr>
            <w:tcW w:w="992" w:type="dxa"/>
          </w:tcPr>
          <w:p w:rsidR="008B568A" w:rsidRPr="00CF7D0E" w:rsidP="00D70046" w14:paraId="58AAEA5A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1</w:t>
            </w:r>
          </w:p>
        </w:tc>
        <w:tc>
          <w:tcPr>
            <w:tcW w:w="2410" w:type="dxa"/>
          </w:tcPr>
          <w:p w:rsidR="008B568A" w:rsidRPr="00CF7D0E" w:rsidP="00D70046" w14:paraId="2FED64C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50 Gy (RBE)</w:t>
            </w:r>
          </w:p>
        </w:tc>
        <w:tc>
          <w:tcPr>
            <w:tcW w:w="3805" w:type="dxa"/>
          </w:tcPr>
          <w:p w:rsidR="008B568A" w:rsidRPr="00CF7D0E" w:rsidP="00D70046" w14:paraId="413EDC5D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Nekrose/</w:t>
            </w:r>
            <w:r w:rsidRPr="00CF7D0E">
              <w:rPr>
                <w:sz w:val="16"/>
              </w:rPr>
              <w:t>myelopati</w:t>
            </w:r>
            <w:r w:rsidRPr="00CF7D0E">
              <w:rPr>
                <w:sz w:val="16"/>
              </w:rPr>
              <w:t>.</w:t>
            </w:r>
          </w:p>
        </w:tc>
        <w:tc>
          <w:tcPr>
            <w:tcW w:w="560" w:type="dxa"/>
          </w:tcPr>
          <w:p w:rsidR="008B568A" w:rsidRPr="00CF7D0E" w:rsidP="00D70046" w14:paraId="2398A19F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  <w:tr w14:paraId="0C2A1911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25C1D6B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OpticChiasm</w:t>
            </w:r>
            <w:r>
              <w:rPr>
                <w:sz w:val="16"/>
              </w:rPr>
              <w:t>*</w:t>
            </w:r>
          </w:p>
        </w:tc>
        <w:tc>
          <w:tcPr>
            <w:tcW w:w="992" w:type="dxa"/>
          </w:tcPr>
          <w:p w:rsidR="008B568A" w:rsidRPr="00CF7D0E" w:rsidP="00D70046" w14:paraId="18562197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8B568A" w:rsidRPr="00CF7D0E" w:rsidP="00D70046" w14:paraId="3B5356CD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5</w:t>
            </w:r>
            <w:r>
              <w:rPr>
                <w:sz w:val="16"/>
              </w:rPr>
              <w:t>4</w:t>
            </w:r>
            <w:r w:rsidRPr="00CF7D0E">
              <w:rPr>
                <w:sz w:val="16"/>
              </w:rPr>
              <w:t xml:space="preserve"> Gy (RBE)</w:t>
            </w:r>
          </w:p>
        </w:tc>
        <w:tc>
          <w:tcPr>
            <w:tcW w:w="3805" w:type="dxa"/>
          </w:tcPr>
          <w:p w:rsidR="008B568A" w:rsidRPr="00CF7D0E" w:rsidP="00D70046" w14:paraId="0735D21D" w14:textId="77777777">
            <w:pPr>
              <w:rPr>
                <w:sz w:val="16"/>
              </w:rPr>
            </w:pPr>
            <w:r>
              <w:rPr>
                <w:sz w:val="16"/>
                <w:szCs w:val="16"/>
              </w:rPr>
              <w:t>Optikusnevropati</w:t>
            </w:r>
            <w:r w:rsidRPr="00CF7D0E">
              <w:rPr>
                <w:sz w:val="16"/>
                <w:szCs w:val="16"/>
              </w:rPr>
              <w:t xml:space="preserve"> med synstap.</w:t>
            </w:r>
          </w:p>
        </w:tc>
        <w:tc>
          <w:tcPr>
            <w:tcW w:w="560" w:type="dxa"/>
          </w:tcPr>
          <w:p w:rsidR="008B568A" w:rsidRPr="00CF7D0E" w:rsidP="00D70046" w14:paraId="36CA5BA2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  <w:tr w14:paraId="1FB8A5AB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46105207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OpticNerve_L</w:t>
            </w:r>
            <w:r w:rsidRPr="00CF7D0E">
              <w:rPr>
                <w:sz w:val="16"/>
              </w:rPr>
              <w:t>/R</w:t>
            </w:r>
            <w:r>
              <w:rPr>
                <w:sz w:val="16"/>
              </w:rPr>
              <w:t>*</w:t>
            </w:r>
          </w:p>
        </w:tc>
        <w:tc>
          <w:tcPr>
            <w:tcW w:w="992" w:type="dxa"/>
          </w:tcPr>
          <w:p w:rsidR="008B568A" w:rsidRPr="00CF7D0E" w:rsidP="00D70046" w14:paraId="7B27C0DD" w14:textId="777777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10" w:type="dxa"/>
          </w:tcPr>
          <w:p w:rsidR="008B568A" w:rsidRPr="00CF7D0E" w:rsidP="00D70046" w14:paraId="3F1ED4D2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>
              <w:rPr>
                <w:sz w:val="16"/>
              </w:rPr>
              <w:t xml:space="preserve"> 54</w:t>
            </w:r>
            <w:r w:rsidRPr="00CF7D0E">
              <w:rPr>
                <w:sz w:val="16"/>
              </w:rPr>
              <w:t xml:space="preserve"> Gy (RBE)</w:t>
            </w:r>
          </w:p>
        </w:tc>
        <w:tc>
          <w:tcPr>
            <w:tcW w:w="3805" w:type="dxa"/>
          </w:tcPr>
          <w:p w:rsidR="008B568A" w:rsidRPr="00CF7D0E" w:rsidP="00D70046" w14:paraId="1CD763EB" w14:textId="77777777">
            <w:pPr>
              <w:rPr>
                <w:sz w:val="16"/>
              </w:rPr>
            </w:pPr>
            <w:r>
              <w:rPr>
                <w:sz w:val="16"/>
                <w:szCs w:val="16"/>
              </w:rPr>
              <w:t>Optikusnevropati</w:t>
            </w:r>
            <w:r w:rsidRPr="00CF7D0E">
              <w:rPr>
                <w:sz w:val="16"/>
                <w:szCs w:val="16"/>
              </w:rPr>
              <w:t xml:space="preserve"> med synstap.</w:t>
            </w:r>
          </w:p>
        </w:tc>
        <w:tc>
          <w:tcPr>
            <w:tcW w:w="560" w:type="dxa"/>
          </w:tcPr>
          <w:p w:rsidR="008B568A" w:rsidRPr="00CF7D0E" w:rsidP="00D70046" w14:paraId="0E20E9DE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  <w:tr w14:paraId="37744A3B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09B8578F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Eye_L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992" w:type="dxa"/>
          </w:tcPr>
          <w:p w:rsidR="008B568A" w:rsidRPr="00CF7D0E" w:rsidP="00D70046" w14:paraId="0003B28A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  <w:tc>
          <w:tcPr>
            <w:tcW w:w="2410" w:type="dxa"/>
          </w:tcPr>
          <w:p w:rsidR="008B568A" w:rsidRPr="00CF7D0E" w:rsidP="00D70046" w14:paraId="28E50458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30 Gy (RBE)</w:t>
            </w:r>
          </w:p>
        </w:tc>
        <w:tc>
          <w:tcPr>
            <w:tcW w:w="3805" w:type="dxa"/>
          </w:tcPr>
          <w:p w:rsidR="008B568A" w:rsidRPr="00CF7D0E" w:rsidP="00D70046" w14:paraId="74E45DE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Hvis man ikke tegner substrukturer.</w:t>
            </w:r>
          </w:p>
        </w:tc>
        <w:tc>
          <w:tcPr>
            <w:tcW w:w="560" w:type="dxa"/>
          </w:tcPr>
          <w:p w:rsidR="008B568A" w:rsidRPr="00CF7D0E" w:rsidP="00D70046" w14:paraId="77F2C4C9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</w:tr>
      <w:tr w14:paraId="0E3528D6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035092FA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Cornea_L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992" w:type="dxa"/>
          </w:tcPr>
          <w:p w:rsidR="008B568A" w:rsidRPr="00CF7D0E" w:rsidP="00D70046" w14:paraId="4523369E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  <w:tc>
          <w:tcPr>
            <w:tcW w:w="2410" w:type="dxa"/>
          </w:tcPr>
          <w:p w:rsidR="008B568A" w:rsidRPr="00F163C9" w:rsidP="00D70046" w14:paraId="72F33546" w14:textId="77777777">
            <w:pPr>
              <w:rPr>
                <w:sz w:val="16"/>
                <w:lang w:val="en-US"/>
              </w:rPr>
            </w:pPr>
            <w:r w:rsidRPr="00F163C9">
              <w:rPr>
                <w:sz w:val="16"/>
                <w:lang w:val="en-US"/>
              </w:rPr>
              <w:t>D</w:t>
            </w:r>
            <w:r w:rsidRPr="00F163C9">
              <w:rPr>
                <w:sz w:val="16"/>
                <w:vertAlign w:val="subscript"/>
                <w:lang w:val="en-US"/>
              </w:rPr>
              <w:t>0.03cc</w:t>
            </w:r>
            <w:r w:rsidRPr="00F163C9">
              <w:rPr>
                <w:sz w:val="16"/>
                <w:lang w:val="en-US"/>
              </w:rPr>
              <w:t xml:space="preserve"> </w:t>
            </w:r>
            <w:r w:rsidRPr="00F163C9">
              <w:rPr>
                <w:rFonts w:cstheme="minorHAnsi"/>
                <w:sz w:val="16"/>
                <w:lang w:val="en-US"/>
              </w:rPr>
              <w:t>≤</w:t>
            </w:r>
            <w:r w:rsidRPr="00F163C9">
              <w:rPr>
                <w:sz w:val="16"/>
                <w:lang w:val="en-US"/>
              </w:rPr>
              <w:t xml:space="preserve"> 30 </w:t>
            </w:r>
            <w:r w:rsidRPr="00F163C9">
              <w:rPr>
                <w:sz w:val="16"/>
                <w:lang w:val="en-US"/>
              </w:rPr>
              <w:t>Gy</w:t>
            </w:r>
            <w:r w:rsidRPr="00F163C9">
              <w:rPr>
                <w:sz w:val="16"/>
                <w:lang w:val="en-US"/>
              </w:rPr>
              <w:t xml:space="preserve"> (RBE)</w:t>
            </w:r>
          </w:p>
          <w:p w:rsidR="008B568A" w:rsidRPr="00F163C9" w:rsidP="00D70046" w14:paraId="774FA228" w14:textId="77777777">
            <w:pPr>
              <w:rPr>
                <w:sz w:val="16"/>
                <w:lang w:val="en-US"/>
              </w:rPr>
            </w:pPr>
          </w:p>
          <w:p w:rsidR="008B568A" w:rsidRPr="00F163C9" w:rsidP="00D70046" w14:paraId="450CCFBE" w14:textId="77777777">
            <w:pPr>
              <w:rPr>
                <w:sz w:val="16"/>
                <w:lang w:val="en-US"/>
              </w:rPr>
            </w:pPr>
            <w:r w:rsidRPr="00F163C9">
              <w:rPr>
                <w:sz w:val="16"/>
                <w:lang w:val="en-US"/>
              </w:rPr>
              <w:t>D</w:t>
            </w:r>
            <w:r w:rsidRPr="00F163C9">
              <w:rPr>
                <w:sz w:val="16"/>
                <w:vertAlign w:val="subscript"/>
                <w:lang w:val="en-US"/>
              </w:rPr>
              <w:t>0.03cc</w:t>
            </w:r>
            <w:r w:rsidRPr="00F163C9">
              <w:rPr>
                <w:sz w:val="16"/>
                <w:lang w:val="en-US"/>
              </w:rPr>
              <w:t xml:space="preserve"> </w:t>
            </w:r>
            <w:r w:rsidRPr="00F163C9">
              <w:rPr>
                <w:rFonts w:cstheme="minorHAnsi"/>
                <w:sz w:val="16"/>
                <w:lang w:val="en-US"/>
              </w:rPr>
              <w:t>≤</w:t>
            </w:r>
            <w:r w:rsidRPr="00F163C9">
              <w:rPr>
                <w:sz w:val="16"/>
                <w:lang w:val="en-US"/>
              </w:rPr>
              <w:t xml:space="preserve"> 50 </w:t>
            </w:r>
            <w:r w:rsidRPr="00F163C9">
              <w:rPr>
                <w:sz w:val="16"/>
                <w:lang w:val="en-US"/>
              </w:rPr>
              <w:t>Gy</w:t>
            </w:r>
            <w:r w:rsidRPr="00F163C9">
              <w:rPr>
                <w:sz w:val="16"/>
                <w:lang w:val="en-US"/>
              </w:rPr>
              <w:t xml:space="preserve"> (RBE)</w:t>
            </w:r>
          </w:p>
        </w:tc>
        <w:tc>
          <w:tcPr>
            <w:tcW w:w="3805" w:type="dxa"/>
          </w:tcPr>
          <w:p w:rsidR="008B568A" w:rsidRPr="00CF7D0E" w:rsidP="00D70046" w14:paraId="178A8591" w14:textId="77777777">
            <w:pPr>
              <w:rPr>
                <w:sz w:val="16"/>
              </w:rPr>
            </w:pPr>
            <w:r w:rsidRPr="00CF7D0E">
              <w:rPr>
                <w:sz w:val="16"/>
                <w:szCs w:val="16"/>
              </w:rPr>
              <w:t xml:space="preserve">Keratitt (erosjon/ulcerasjon). Viktig også for å bevare øyet in </w:t>
            </w:r>
            <w:r w:rsidRPr="00CF7D0E">
              <w:rPr>
                <w:sz w:val="16"/>
                <w:szCs w:val="16"/>
              </w:rPr>
              <w:t>situ</w:t>
            </w:r>
            <w:r w:rsidRPr="00CF7D0E">
              <w:rPr>
                <w:sz w:val="16"/>
                <w:szCs w:val="16"/>
              </w:rPr>
              <w:t>.</w:t>
            </w:r>
            <w:r w:rsidRPr="00CF7D0E">
              <w:rPr>
                <w:sz w:val="16"/>
                <w:szCs w:val="16"/>
              </w:rPr>
              <w:br/>
            </w:r>
            <w:r w:rsidRPr="00CF7D0E">
              <w:rPr>
                <w:sz w:val="16"/>
                <w:szCs w:val="16"/>
              </w:rPr>
              <w:t>Erosjon/ulcerasjon.</w:t>
            </w:r>
          </w:p>
        </w:tc>
        <w:tc>
          <w:tcPr>
            <w:tcW w:w="560" w:type="dxa"/>
          </w:tcPr>
          <w:p w:rsidR="008B568A" w:rsidRPr="00CF7D0E" w:rsidP="00D70046" w14:paraId="3832C17A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</w:tr>
      <w:tr w14:paraId="087CD53A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286C401B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Retina_L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992" w:type="dxa"/>
          </w:tcPr>
          <w:p w:rsidR="008B568A" w:rsidRPr="00CF7D0E" w:rsidP="00D70046" w14:paraId="5BE425A5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  <w:tc>
          <w:tcPr>
            <w:tcW w:w="2410" w:type="dxa"/>
          </w:tcPr>
          <w:p w:rsidR="008B568A" w:rsidRPr="00CF7D0E" w:rsidP="00D70046" w14:paraId="5A8522FA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45 Gy (RBE)</w:t>
            </w:r>
          </w:p>
        </w:tc>
        <w:tc>
          <w:tcPr>
            <w:tcW w:w="3805" w:type="dxa"/>
          </w:tcPr>
          <w:p w:rsidR="008B568A" w:rsidRPr="00CF7D0E" w:rsidP="00D70046" w14:paraId="409BAA36" w14:textId="77777777">
            <w:pPr>
              <w:rPr>
                <w:sz w:val="16"/>
              </w:rPr>
            </w:pPr>
            <w:r w:rsidRPr="00CF7D0E">
              <w:rPr>
                <w:sz w:val="16"/>
                <w:szCs w:val="16"/>
              </w:rPr>
              <w:t>Retinopati med synstap/glaukom.</w:t>
            </w:r>
          </w:p>
        </w:tc>
        <w:tc>
          <w:tcPr>
            <w:tcW w:w="560" w:type="dxa"/>
          </w:tcPr>
          <w:p w:rsidR="008B568A" w:rsidRPr="00CF7D0E" w:rsidP="00D70046" w14:paraId="2EDDA7D8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</w:tr>
      <w:tr w14:paraId="579E9F1D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380CB7AF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Cochlea_L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992" w:type="dxa"/>
          </w:tcPr>
          <w:p w:rsidR="008B568A" w:rsidRPr="00CF7D0E" w:rsidP="00D70046" w14:paraId="5AEF9575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8B568A" w:rsidRPr="00F163C9" w:rsidP="00D70046" w14:paraId="34457E06" w14:textId="77777777">
            <w:pPr>
              <w:rPr>
                <w:sz w:val="16"/>
                <w:lang w:val="en-US"/>
              </w:rPr>
            </w:pPr>
            <w:r w:rsidRPr="00F163C9">
              <w:rPr>
                <w:sz w:val="16"/>
                <w:lang w:val="en-US"/>
              </w:rPr>
              <w:t>D</w:t>
            </w:r>
            <w:r w:rsidRPr="00F163C9">
              <w:rPr>
                <w:sz w:val="16"/>
                <w:vertAlign w:val="subscript"/>
                <w:lang w:val="en-US"/>
              </w:rPr>
              <w:t>mean</w:t>
            </w:r>
            <w:r w:rsidRPr="00F163C9">
              <w:rPr>
                <w:sz w:val="16"/>
                <w:lang w:val="en-US"/>
              </w:rPr>
              <w:t xml:space="preserve"> </w:t>
            </w:r>
            <w:r w:rsidRPr="00F163C9">
              <w:rPr>
                <w:rFonts w:cstheme="minorHAnsi"/>
                <w:sz w:val="16"/>
                <w:lang w:val="en-US"/>
              </w:rPr>
              <w:t>≤</w:t>
            </w:r>
            <w:r w:rsidRPr="00F163C9">
              <w:rPr>
                <w:sz w:val="16"/>
                <w:lang w:val="en-US"/>
              </w:rPr>
              <w:t xml:space="preserve"> 45 </w:t>
            </w:r>
            <w:r w:rsidRPr="00F163C9">
              <w:rPr>
                <w:sz w:val="16"/>
                <w:lang w:val="en-US"/>
              </w:rPr>
              <w:t>Gy</w:t>
            </w:r>
            <w:r w:rsidRPr="00F163C9">
              <w:rPr>
                <w:sz w:val="16"/>
                <w:lang w:val="en-US"/>
              </w:rPr>
              <w:t xml:space="preserve"> (RBE)</w:t>
            </w:r>
          </w:p>
          <w:p w:rsidR="008B568A" w:rsidRPr="00F163C9" w:rsidP="00D70046" w14:paraId="690081D2" w14:textId="77777777">
            <w:pPr>
              <w:rPr>
                <w:sz w:val="16"/>
                <w:lang w:val="en-US"/>
              </w:rPr>
            </w:pPr>
            <w:r w:rsidRPr="00F163C9">
              <w:rPr>
                <w:sz w:val="16"/>
                <w:lang w:val="en-US"/>
              </w:rPr>
              <w:t>D</w:t>
            </w:r>
            <w:r w:rsidRPr="00F163C9">
              <w:rPr>
                <w:sz w:val="16"/>
                <w:vertAlign w:val="subscript"/>
                <w:lang w:val="en-US"/>
              </w:rPr>
              <w:t>mean</w:t>
            </w:r>
            <w:r w:rsidRPr="00F163C9">
              <w:rPr>
                <w:sz w:val="16"/>
                <w:lang w:val="en-US"/>
              </w:rPr>
              <w:t xml:space="preserve"> </w:t>
            </w:r>
            <w:r w:rsidRPr="00F163C9">
              <w:rPr>
                <w:rFonts w:cstheme="minorHAnsi"/>
                <w:sz w:val="16"/>
                <w:lang w:val="en-US"/>
              </w:rPr>
              <w:t>≤</w:t>
            </w:r>
            <w:r w:rsidRPr="00F163C9">
              <w:rPr>
                <w:sz w:val="16"/>
                <w:lang w:val="en-US"/>
              </w:rPr>
              <w:t xml:space="preserve"> 32 </w:t>
            </w:r>
            <w:r w:rsidRPr="00F163C9">
              <w:rPr>
                <w:sz w:val="16"/>
                <w:lang w:val="en-US"/>
              </w:rPr>
              <w:t>Gy</w:t>
            </w:r>
            <w:r w:rsidRPr="00F163C9">
              <w:rPr>
                <w:sz w:val="16"/>
                <w:lang w:val="en-US"/>
              </w:rPr>
              <w:t xml:space="preserve"> (RBE)</w:t>
            </w:r>
          </w:p>
        </w:tc>
        <w:tc>
          <w:tcPr>
            <w:tcW w:w="3805" w:type="dxa"/>
          </w:tcPr>
          <w:p w:rsidR="008B568A" w:rsidRPr="00CF7D0E" w:rsidP="00D70046" w14:paraId="538146BB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Hørselstap.</w:t>
            </w:r>
          </w:p>
          <w:p w:rsidR="008B568A" w:rsidRPr="00CF7D0E" w:rsidP="00D70046" w14:paraId="21834DED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Tinnitus</w:t>
            </w:r>
            <w:r w:rsidRPr="00CF7D0E">
              <w:rPr>
                <w:sz w:val="16"/>
              </w:rPr>
              <w:t>.</w:t>
            </w:r>
          </w:p>
        </w:tc>
        <w:tc>
          <w:tcPr>
            <w:tcW w:w="560" w:type="dxa"/>
          </w:tcPr>
          <w:p w:rsidR="008B568A" w:rsidRPr="00CF7D0E" w:rsidP="00D70046" w14:paraId="45513658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</w:tr>
      <w:tr w14:paraId="0319D9C0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7B4B10DF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LacrimalGland_L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992" w:type="dxa"/>
          </w:tcPr>
          <w:p w:rsidR="008B568A" w:rsidRPr="00CF7D0E" w:rsidP="00D70046" w14:paraId="09D32616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8B568A" w:rsidRPr="00CF7D0E" w:rsidP="00D70046" w14:paraId="0468E33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mean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25 Gy (RBE)</w:t>
            </w:r>
          </w:p>
        </w:tc>
        <w:tc>
          <w:tcPr>
            <w:tcW w:w="3805" w:type="dxa"/>
          </w:tcPr>
          <w:p w:rsidR="008B568A" w:rsidRPr="00CF7D0E" w:rsidP="00D70046" w14:paraId="46E0E0C3" w14:textId="77777777">
            <w:pPr>
              <w:rPr>
                <w:sz w:val="16"/>
              </w:rPr>
            </w:pPr>
            <w:r w:rsidRPr="00CF7D0E">
              <w:rPr>
                <w:sz w:val="16"/>
                <w:szCs w:val="16"/>
              </w:rPr>
              <w:t>Keratoconjuctivitis</w:t>
            </w:r>
            <w:r w:rsidRPr="00CF7D0E">
              <w:rPr>
                <w:sz w:val="16"/>
                <w:szCs w:val="16"/>
              </w:rPr>
              <w:t xml:space="preserve"> </w:t>
            </w:r>
            <w:r w:rsidRPr="00CF7D0E">
              <w:rPr>
                <w:sz w:val="16"/>
                <w:szCs w:val="16"/>
              </w:rPr>
              <w:t>sicca</w:t>
            </w:r>
            <w:r w:rsidRPr="00CF7D0E">
              <w:rPr>
                <w:sz w:val="16"/>
                <w:szCs w:val="16"/>
              </w:rPr>
              <w:t xml:space="preserve"> (tørt </w:t>
            </w:r>
            <w:r w:rsidRPr="00CF7D0E">
              <w:rPr>
                <w:sz w:val="16"/>
                <w:szCs w:val="16"/>
              </w:rPr>
              <w:t>øye-syndrom) .</w:t>
            </w:r>
            <w:r w:rsidRPr="00CF7D0E">
              <w:rPr>
                <w:sz w:val="16"/>
                <w:szCs w:val="16"/>
              </w:rPr>
              <w:br/>
              <w:t xml:space="preserve">Viktig for å bevare øyet in </w:t>
            </w:r>
            <w:r w:rsidRPr="00CF7D0E">
              <w:rPr>
                <w:sz w:val="16"/>
                <w:szCs w:val="16"/>
              </w:rPr>
              <w:t>situ</w:t>
            </w:r>
            <w:r w:rsidRPr="00CF7D0E">
              <w:rPr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:rsidR="008B568A" w:rsidRPr="00CF7D0E" w:rsidP="00D70046" w14:paraId="3C1B6C63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</w:tr>
      <w:tr w14:paraId="48F3B863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11C34EAE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</w:t>
            </w:r>
          </w:p>
        </w:tc>
        <w:tc>
          <w:tcPr>
            <w:tcW w:w="992" w:type="dxa"/>
          </w:tcPr>
          <w:p w:rsidR="008B568A" w:rsidRPr="00CF7D0E" w:rsidP="00D70046" w14:paraId="0CAE17F9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8B568A" w:rsidRPr="00CF7D0E" w:rsidP="00D70046" w14:paraId="0DDA5CC3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ALARA</w:t>
            </w:r>
          </w:p>
        </w:tc>
        <w:tc>
          <w:tcPr>
            <w:tcW w:w="3805" w:type="dxa"/>
          </w:tcPr>
          <w:p w:rsidR="008B568A" w:rsidRPr="00CF7D0E" w:rsidP="00D70046" w14:paraId="0D256C40" w14:textId="77777777">
            <w:pPr>
              <w:spacing w:after="100" w:afterAutospacing="1" w:line="288" w:lineRule="auto"/>
              <w:rPr>
                <w:sz w:val="16"/>
              </w:rPr>
            </w:pPr>
            <w:r w:rsidRPr="00CF7D0E">
              <w:rPr>
                <w:sz w:val="16"/>
                <w:szCs w:val="16"/>
              </w:rPr>
              <w:t>Risiko for både akutte og sene bivirkninger/ødem. Symptomatisk nekrose.</w:t>
            </w:r>
          </w:p>
        </w:tc>
        <w:tc>
          <w:tcPr>
            <w:tcW w:w="560" w:type="dxa"/>
          </w:tcPr>
          <w:p w:rsidR="008B568A" w:rsidRPr="00CF7D0E" w:rsidP="00D70046" w14:paraId="6FB68AB2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  <w:tr w14:paraId="5121B07E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48F59331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Brain-CTV</w:t>
            </w:r>
          </w:p>
        </w:tc>
        <w:tc>
          <w:tcPr>
            <w:tcW w:w="992" w:type="dxa"/>
          </w:tcPr>
          <w:p w:rsidR="008B568A" w:rsidRPr="00CF7D0E" w:rsidP="00D70046" w14:paraId="101CA7DA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8B568A" w:rsidRPr="00CF7D0E" w:rsidP="00D70046" w14:paraId="366022FF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V</w:t>
            </w:r>
            <w:r w:rsidRPr="00CF7D0E">
              <w:rPr>
                <w:sz w:val="16"/>
                <w:vertAlign w:val="subscript"/>
              </w:rPr>
              <w:t>30Gy(RBE)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 50%</w:t>
            </w:r>
          </w:p>
        </w:tc>
        <w:tc>
          <w:tcPr>
            <w:tcW w:w="3805" w:type="dxa"/>
          </w:tcPr>
          <w:p w:rsidR="008B568A" w:rsidRPr="00CF7D0E" w:rsidP="00D70046" w14:paraId="212B7172" w14:textId="77777777">
            <w:pPr>
              <w:spacing w:after="100" w:afterAutospacing="1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Evalueres om ønskelig til Brain-CTV-</w:t>
            </w:r>
            <w:r>
              <w:rPr>
                <w:sz w:val="16"/>
                <w:szCs w:val="16"/>
              </w:rPr>
              <w:t>Brst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:rsidR="008B568A" w:rsidRPr="00CF7D0E" w:rsidP="00D70046" w14:paraId="1AABEFF8" w14:textId="77777777">
            <w:pPr>
              <w:jc w:val="center"/>
              <w:rPr>
                <w:sz w:val="16"/>
              </w:rPr>
            </w:pPr>
          </w:p>
        </w:tc>
      </w:tr>
      <w:tr w14:paraId="1059266D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147CC2D8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Lens_L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992" w:type="dxa"/>
          </w:tcPr>
          <w:p w:rsidR="008B568A" w:rsidRPr="00CF7D0E" w:rsidP="00D70046" w14:paraId="114B8F9F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8B568A" w:rsidRPr="00CF7D0E" w:rsidP="00D70046" w14:paraId="1AD16E40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0.03cc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10 Gy (RBE)</w:t>
            </w:r>
          </w:p>
        </w:tc>
        <w:tc>
          <w:tcPr>
            <w:tcW w:w="3805" w:type="dxa"/>
          </w:tcPr>
          <w:p w:rsidR="008B568A" w:rsidRPr="00CF7D0E" w:rsidP="00D70046" w14:paraId="6F7F5C86" w14:textId="77777777">
            <w:pPr>
              <w:rPr>
                <w:sz w:val="16"/>
              </w:rPr>
            </w:pPr>
            <w:r w:rsidRPr="00CF7D0E">
              <w:rPr>
                <w:sz w:val="16"/>
                <w:szCs w:val="16"/>
              </w:rPr>
              <w:t>Katarakt. Lav prioritet da linsen enkelt kan erstattes.</w:t>
            </w:r>
          </w:p>
        </w:tc>
        <w:tc>
          <w:tcPr>
            <w:tcW w:w="560" w:type="dxa"/>
          </w:tcPr>
          <w:p w:rsidR="008B568A" w:rsidRPr="00CF7D0E" w:rsidP="00D70046" w14:paraId="040D6144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1</w:t>
            </w:r>
          </w:p>
        </w:tc>
      </w:tr>
      <w:tr w14:paraId="2E7F2813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4723EA5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Pituitary</w:t>
            </w:r>
          </w:p>
        </w:tc>
        <w:tc>
          <w:tcPr>
            <w:tcW w:w="992" w:type="dxa"/>
          </w:tcPr>
          <w:p w:rsidR="008B568A" w:rsidRPr="00CF7D0E" w:rsidP="00D70046" w14:paraId="47E18456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8B568A" w:rsidRPr="00F163C9" w:rsidP="00D70046" w14:paraId="319EBFB2" w14:textId="77777777">
            <w:pPr>
              <w:rPr>
                <w:sz w:val="16"/>
                <w:lang w:val="en-US"/>
              </w:rPr>
            </w:pPr>
            <w:r w:rsidRPr="00F163C9">
              <w:rPr>
                <w:sz w:val="16"/>
                <w:lang w:val="en-US"/>
              </w:rPr>
              <w:t>D</w:t>
            </w:r>
            <w:r w:rsidRPr="00F163C9">
              <w:rPr>
                <w:sz w:val="16"/>
                <w:vertAlign w:val="subscript"/>
                <w:lang w:val="en-US"/>
              </w:rPr>
              <w:t>mean</w:t>
            </w:r>
            <w:r w:rsidRPr="00F163C9">
              <w:rPr>
                <w:sz w:val="16"/>
                <w:lang w:val="en-US"/>
              </w:rPr>
              <w:t xml:space="preserve"> </w:t>
            </w:r>
            <w:r w:rsidRPr="00F163C9">
              <w:rPr>
                <w:rFonts w:cstheme="minorHAnsi"/>
                <w:sz w:val="16"/>
                <w:lang w:val="en-US"/>
              </w:rPr>
              <w:t>≤</w:t>
            </w:r>
            <w:r w:rsidRPr="00F163C9">
              <w:rPr>
                <w:sz w:val="16"/>
                <w:lang w:val="en-US"/>
              </w:rPr>
              <w:t xml:space="preserve"> 45 </w:t>
            </w:r>
            <w:r w:rsidRPr="00F163C9">
              <w:rPr>
                <w:sz w:val="16"/>
                <w:lang w:val="en-US"/>
              </w:rPr>
              <w:t>Gy</w:t>
            </w:r>
            <w:r w:rsidRPr="00F163C9">
              <w:rPr>
                <w:sz w:val="16"/>
                <w:lang w:val="en-US"/>
              </w:rPr>
              <w:t xml:space="preserve"> (RBE)</w:t>
            </w:r>
          </w:p>
          <w:p w:rsidR="008B568A" w:rsidRPr="00F163C9" w:rsidP="00D70046" w14:paraId="322CCB15" w14:textId="77777777">
            <w:pPr>
              <w:rPr>
                <w:sz w:val="16"/>
                <w:lang w:val="en-US"/>
              </w:rPr>
            </w:pPr>
            <w:r w:rsidRPr="00F163C9">
              <w:rPr>
                <w:sz w:val="16"/>
                <w:lang w:val="en-US"/>
              </w:rPr>
              <w:t>D</w:t>
            </w:r>
            <w:r w:rsidRPr="00F163C9">
              <w:rPr>
                <w:sz w:val="16"/>
                <w:vertAlign w:val="subscript"/>
                <w:lang w:val="en-US"/>
              </w:rPr>
              <w:t>mean</w:t>
            </w:r>
            <w:r w:rsidRPr="00F163C9">
              <w:rPr>
                <w:sz w:val="16"/>
                <w:lang w:val="en-US"/>
              </w:rPr>
              <w:t xml:space="preserve"> </w:t>
            </w:r>
            <w:r w:rsidRPr="00F163C9">
              <w:rPr>
                <w:rFonts w:cstheme="minorHAnsi"/>
                <w:sz w:val="16"/>
                <w:lang w:val="en-US"/>
              </w:rPr>
              <w:t>≤</w:t>
            </w:r>
            <w:r w:rsidRPr="00F163C9">
              <w:rPr>
                <w:sz w:val="16"/>
                <w:lang w:val="en-US"/>
              </w:rPr>
              <w:t xml:space="preserve"> 20 </w:t>
            </w:r>
            <w:r w:rsidRPr="00F163C9">
              <w:rPr>
                <w:sz w:val="16"/>
                <w:lang w:val="en-US"/>
              </w:rPr>
              <w:t>Gy</w:t>
            </w:r>
            <w:r w:rsidRPr="00F163C9">
              <w:rPr>
                <w:sz w:val="16"/>
                <w:lang w:val="en-US"/>
              </w:rPr>
              <w:t xml:space="preserve"> (RBE)</w:t>
            </w:r>
          </w:p>
        </w:tc>
        <w:tc>
          <w:tcPr>
            <w:tcW w:w="3805" w:type="dxa"/>
          </w:tcPr>
          <w:p w:rsidR="008B568A" w:rsidRPr="00CF7D0E" w:rsidP="00D70046" w14:paraId="7B77C00A" w14:textId="77777777">
            <w:pPr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</w:pP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>Panhypopituitarisme</w:t>
            </w: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 xml:space="preserve"> (hypofysesvikt).</w:t>
            </w:r>
          </w:p>
          <w:p w:rsidR="008B568A" w:rsidRPr="00CF7D0E" w:rsidP="00D70046" w14:paraId="3C0F308D" w14:textId="77777777">
            <w:pPr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</w:pP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>Veksthormonmangel.</w:t>
            </w:r>
          </w:p>
        </w:tc>
        <w:tc>
          <w:tcPr>
            <w:tcW w:w="560" w:type="dxa"/>
          </w:tcPr>
          <w:p w:rsidR="008B568A" w:rsidRPr="00CF7D0E" w:rsidP="00D70046" w14:paraId="2DC660DF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  <w:tr w14:paraId="5CABD52F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5F312B4E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Hippocampus_L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992" w:type="dxa"/>
          </w:tcPr>
          <w:p w:rsidR="008B568A" w:rsidRPr="00CF7D0E" w:rsidP="00D70046" w14:paraId="7C573755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8B568A" w:rsidRPr="00CF7D0E" w:rsidP="00D70046" w14:paraId="38F2BC9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40%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7,3 Gy (RBE)</w:t>
            </w:r>
          </w:p>
        </w:tc>
        <w:tc>
          <w:tcPr>
            <w:tcW w:w="3805" w:type="dxa"/>
          </w:tcPr>
          <w:p w:rsidR="008B568A" w:rsidRPr="00CF7D0E" w:rsidP="00D70046" w14:paraId="5339479E" w14:textId="77777777">
            <w:pPr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</w:pP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 xml:space="preserve">Kognitiv </w:t>
            </w: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>svikt/hukommelsestap.</w:t>
            </w:r>
          </w:p>
          <w:p w:rsidR="008B568A" w:rsidRPr="00CF7D0E" w:rsidP="00D70046" w14:paraId="577D47AC" w14:textId="77777777">
            <w:pPr>
              <w:rPr>
                <w:sz w:val="16"/>
              </w:rPr>
            </w:pP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 xml:space="preserve">En bør prøve å spare kontralateral </w:t>
            </w: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>hippocampus</w:t>
            </w: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 xml:space="preserve"> best mulig.</w:t>
            </w:r>
          </w:p>
        </w:tc>
        <w:tc>
          <w:tcPr>
            <w:tcW w:w="560" w:type="dxa"/>
          </w:tcPr>
          <w:p w:rsidR="008B568A" w:rsidRPr="00CF7D0E" w:rsidP="00D70046" w14:paraId="7C337210" w14:textId="77777777">
            <w:pPr>
              <w:jc w:val="center"/>
              <w:rPr>
                <w:sz w:val="16"/>
              </w:rPr>
            </w:pPr>
          </w:p>
        </w:tc>
      </w:tr>
      <w:tr w14:paraId="5DBF65A1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471E5234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Hypothalamus_L</w:t>
            </w:r>
            <w:r w:rsidRPr="00CF7D0E">
              <w:rPr>
                <w:sz w:val="16"/>
              </w:rPr>
              <w:t>/R</w:t>
            </w:r>
          </w:p>
        </w:tc>
        <w:tc>
          <w:tcPr>
            <w:tcW w:w="992" w:type="dxa"/>
          </w:tcPr>
          <w:p w:rsidR="008B568A" w:rsidRPr="00CF7D0E" w:rsidP="00D70046" w14:paraId="71445E78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4</w:t>
            </w:r>
          </w:p>
        </w:tc>
        <w:tc>
          <w:tcPr>
            <w:tcW w:w="2410" w:type="dxa"/>
          </w:tcPr>
          <w:p w:rsidR="008B568A" w:rsidRPr="00CF7D0E" w:rsidP="00D70046" w14:paraId="66E909AB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ALARA</w:t>
            </w:r>
          </w:p>
          <w:p w:rsidR="008B568A" w:rsidRPr="00CF7D0E" w:rsidP="00D70046" w14:paraId="1524CA81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D</w:t>
            </w:r>
            <w:r w:rsidRPr="00CF7D0E">
              <w:rPr>
                <w:sz w:val="16"/>
                <w:vertAlign w:val="subscript"/>
              </w:rPr>
              <w:t>mean</w:t>
            </w:r>
            <w:r w:rsidRPr="00CF7D0E">
              <w:rPr>
                <w:sz w:val="16"/>
              </w:rPr>
              <w:t xml:space="preserve"> </w:t>
            </w:r>
            <w:r w:rsidRPr="00CF7D0E">
              <w:rPr>
                <w:rFonts w:cstheme="minorHAnsi"/>
                <w:sz w:val="16"/>
              </w:rPr>
              <w:t>≤</w:t>
            </w:r>
            <w:r w:rsidRPr="00CF7D0E">
              <w:rPr>
                <w:sz w:val="16"/>
              </w:rPr>
              <w:t xml:space="preserve"> 45 Gy (RBE)</w:t>
            </w:r>
          </w:p>
        </w:tc>
        <w:tc>
          <w:tcPr>
            <w:tcW w:w="3805" w:type="dxa"/>
          </w:tcPr>
          <w:p w:rsidR="008B568A" w:rsidRPr="00CF7D0E" w:rsidP="00D70046" w14:paraId="3F796120" w14:textId="77777777">
            <w:pPr>
              <w:rPr>
                <w:sz w:val="16"/>
              </w:rPr>
            </w:pP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>Hormonmangel.</w:t>
            </w:r>
          </w:p>
        </w:tc>
        <w:tc>
          <w:tcPr>
            <w:tcW w:w="560" w:type="dxa"/>
          </w:tcPr>
          <w:p w:rsidR="008B568A" w:rsidRPr="00CF7D0E" w:rsidP="00D70046" w14:paraId="2E8FCD30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  <w:tr w14:paraId="3AEF8A8D" w14:textId="77777777" w:rsidTr="000F44D2">
        <w:tblPrEx>
          <w:tblW w:w="9322" w:type="dxa"/>
          <w:tblLayout w:type="fixed"/>
          <w:tblLook w:val="04A0"/>
        </w:tblPrEx>
        <w:tc>
          <w:tcPr>
            <w:tcW w:w="1555" w:type="dxa"/>
          </w:tcPr>
          <w:p w:rsidR="008B568A" w:rsidRPr="00CF7D0E" w:rsidP="00D70046" w14:paraId="12AABE5D" w14:textId="77777777">
            <w:pPr>
              <w:rPr>
                <w:sz w:val="16"/>
              </w:rPr>
            </w:pPr>
            <w:r w:rsidRPr="00CF7D0E">
              <w:rPr>
                <w:sz w:val="16"/>
              </w:rPr>
              <w:t>Skin</w:t>
            </w:r>
          </w:p>
        </w:tc>
        <w:tc>
          <w:tcPr>
            <w:tcW w:w="992" w:type="dxa"/>
          </w:tcPr>
          <w:p w:rsidR="008B568A" w:rsidRPr="00CF7D0E" w:rsidP="00D70046" w14:paraId="3B55A657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4</w:t>
            </w:r>
          </w:p>
        </w:tc>
        <w:tc>
          <w:tcPr>
            <w:tcW w:w="2410" w:type="dxa"/>
          </w:tcPr>
          <w:p w:rsidR="008B568A" w:rsidRPr="00F163C9" w:rsidP="00D70046" w14:paraId="5FDB260E" w14:textId="77777777">
            <w:pPr>
              <w:rPr>
                <w:sz w:val="16"/>
                <w:lang w:val="en-US"/>
              </w:rPr>
            </w:pPr>
            <w:r w:rsidRPr="00F163C9">
              <w:rPr>
                <w:sz w:val="16"/>
                <w:lang w:val="en-US"/>
              </w:rPr>
              <w:t>D</w:t>
            </w:r>
            <w:r w:rsidRPr="00F163C9">
              <w:rPr>
                <w:sz w:val="16"/>
                <w:vertAlign w:val="subscript"/>
                <w:lang w:val="en-US"/>
              </w:rPr>
              <w:t>0.03cc</w:t>
            </w:r>
            <w:r w:rsidRPr="00F163C9">
              <w:rPr>
                <w:sz w:val="16"/>
                <w:lang w:val="en-US"/>
              </w:rPr>
              <w:t xml:space="preserve"> </w:t>
            </w:r>
            <w:r w:rsidRPr="00F163C9">
              <w:rPr>
                <w:rFonts w:cstheme="minorHAnsi"/>
                <w:sz w:val="16"/>
                <w:lang w:val="en-US"/>
              </w:rPr>
              <w:t>≤</w:t>
            </w:r>
            <w:r w:rsidRPr="00F163C9">
              <w:rPr>
                <w:sz w:val="16"/>
                <w:lang w:val="en-US"/>
              </w:rPr>
              <w:t xml:space="preserve"> 25 </w:t>
            </w:r>
            <w:r w:rsidRPr="00F163C9">
              <w:rPr>
                <w:sz w:val="16"/>
                <w:lang w:val="en-US"/>
              </w:rPr>
              <w:t>Gy</w:t>
            </w:r>
            <w:r w:rsidRPr="00F163C9">
              <w:rPr>
                <w:sz w:val="16"/>
                <w:lang w:val="en-US"/>
              </w:rPr>
              <w:t xml:space="preserve"> (RBE)</w:t>
            </w:r>
          </w:p>
          <w:p w:rsidR="008B568A" w:rsidRPr="00F163C9" w:rsidP="00D70046" w14:paraId="754FC7BE" w14:textId="77777777">
            <w:pPr>
              <w:rPr>
                <w:sz w:val="16"/>
                <w:lang w:val="en-US"/>
              </w:rPr>
            </w:pPr>
            <w:r w:rsidRPr="00F163C9">
              <w:rPr>
                <w:sz w:val="16"/>
                <w:lang w:val="en-US"/>
              </w:rPr>
              <w:t>ev</w:t>
            </w:r>
            <w:r w:rsidRPr="00F163C9">
              <w:rPr>
                <w:sz w:val="16"/>
                <w:lang w:val="en-US"/>
              </w:rPr>
              <w:t>. ALARA V</w:t>
            </w:r>
            <w:r w:rsidRPr="00F163C9">
              <w:rPr>
                <w:sz w:val="16"/>
                <w:vertAlign w:val="subscript"/>
                <w:lang w:val="en-US"/>
              </w:rPr>
              <w:t>25Gy(RBE)</w:t>
            </w:r>
          </w:p>
        </w:tc>
        <w:tc>
          <w:tcPr>
            <w:tcW w:w="3805" w:type="dxa"/>
          </w:tcPr>
          <w:p w:rsidR="008B568A" w:rsidRPr="00CF7D0E" w:rsidP="00D70046" w14:paraId="10AEAA01" w14:textId="77777777">
            <w:pPr>
              <w:rPr>
                <w:sz w:val="16"/>
              </w:rPr>
            </w:pPr>
            <w:r w:rsidRPr="00CF7D0E">
              <w:rPr>
                <w:rFonts w:eastAsia="Times New Roman" w:cs="Calibri"/>
                <w:color w:val="000000"/>
                <w:sz w:val="16"/>
                <w:szCs w:val="16"/>
                <w:lang w:eastAsia="sv-SE"/>
              </w:rPr>
              <w:t>Permanent alopesi.</w:t>
            </w:r>
          </w:p>
        </w:tc>
        <w:tc>
          <w:tcPr>
            <w:tcW w:w="560" w:type="dxa"/>
          </w:tcPr>
          <w:p w:rsidR="008B568A" w:rsidRPr="00CF7D0E" w:rsidP="00D70046" w14:paraId="17BCA415" w14:textId="77777777">
            <w:pPr>
              <w:jc w:val="center"/>
              <w:rPr>
                <w:sz w:val="16"/>
              </w:rPr>
            </w:pPr>
            <w:r w:rsidRPr="00CF7D0E">
              <w:rPr>
                <w:sz w:val="16"/>
              </w:rPr>
              <w:t>2</w:t>
            </w:r>
          </w:p>
        </w:tc>
      </w:tr>
    </w:tbl>
    <w:p w:rsidR="008B568A" w:rsidRPr="005F02A6" w:rsidP="008B568A" w14:paraId="12A323A9" w14:textId="771DCAD6">
      <w:pPr>
        <w:rPr>
          <w:sz w:val="16"/>
        </w:rPr>
      </w:pPr>
      <w:r w:rsidRPr="005F02A6">
        <w:rPr>
          <w:sz w:val="16"/>
        </w:rPr>
        <w:t xml:space="preserve">* </w:t>
      </w:r>
      <w:hyperlink r:id="rId15" w:history="1">
        <w:r w:rsidRPr="008B568A">
          <w:rPr>
            <w:rStyle w:val="Hyperlink"/>
            <w:i/>
            <w:sz w:val="16"/>
            <w:szCs w:val="16"/>
          </w:rPr>
          <w:t>Toleransedoser og anbefalte dosegrenser til risikoorganer ved strålebehandling av sentralnervesystemet (CNS)</w:t>
        </w:r>
      </w:hyperlink>
      <w:r>
        <w:rPr>
          <w:sz w:val="16"/>
        </w:rPr>
        <w:t xml:space="preserve"> [7] </w:t>
      </w:r>
      <w:r>
        <w:rPr>
          <w:iCs/>
          <w:sz w:val="16"/>
        </w:rPr>
        <w:t xml:space="preserve">anbefaler synsapparatet som prioritet 2 samt tillatt dose opp til </w:t>
      </w:r>
      <w:r>
        <w:rPr>
          <w:iCs/>
          <w:sz w:val="16"/>
        </w:rPr>
        <w:t>55 Gy (RBE). Basert på klinisk historikk i Norge er det valgt en noe mer konservativ tilnærming i anbefalingene i denne prosedyren.</w:t>
      </w:r>
    </w:p>
    <w:p w:rsidR="00EB12D2" w:rsidP="00EB12D2" w14:paraId="471CBA84" w14:textId="77777777"/>
    <w:p w:rsidR="008B568A" w:rsidRPr="00CF7D0E" w:rsidP="008B568A" w14:paraId="39BBC810" w14:textId="77777777">
      <w:pPr>
        <w:pStyle w:val="Heading2"/>
      </w:pPr>
      <w:bookmarkStart w:id="24" w:name="_Toc256000021"/>
      <w:r w:rsidRPr="00CF7D0E">
        <w:t>Robust evaluering</w:t>
      </w:r>
      <w:bookmarkEnd w:id="24"/>
    </w:p>
    <w:p w:rsidR="008B568A" w:rsidP="008B568A" w14:paraId="73F6D31E" w14:textId="34EAF2F8">
      <w:r w:rsidRPr="00CF7D0E">
        <w:t xml:space="preserve">Planen skal </w:t>
      </w:r>
      <w:r w:rsidRPr="00CF7D0E">
        <w:t>robustevalueres</w:t>
      </w:r>
      <w:r w:rsidRPr="00CF7D0E">
        <w:t xml:space="preserve"> ved å bruke en tetthetsusikkerhet på 3.5% samt forskyvning på</w:t>
      </w:r>
      <w:r w:rsidRPr="00CF7D0E">
        <w:rPr>
          <w:color w:val="FF0000"/>
        </w:rPr>
        <w:t xml:space="preserve"> </w:t>
      </w:r>
      <w:r w:rsidRPr="00CF7D0E">
        <w:t>minimum 2 mm la</w:t>
      </w:r>
      <w:r w:rsidRPr="00CF7D0E">
        <w:t>ngs kardinalaksene og diagonalene. 0 mm forskyvning skal også inngå. Dette resulterer i total</w:t>
      </w:r>
      <w:r>
        <w:t>t</w:t>
      </w:r>
      <w:r w:rsidRPr="00CF7D0E">
        <w:t xml:space="preserve"> 30 scenarioer som skal evalueres. Ved suboptimal fiksering må man vurder</w:t>
      </w:r>
      <w:r>
        <w:t>e</w:t>
      </w:r>
      <w:r w:rsidRPr="00CF7D0E">
        <w:t xml:space="preserve"> om man skal øke geometrisk margin.</w:t>
      </w:r>
      <w:r>
        <w:t xml:space="preserve"> Ved metaller og artefakter må man vurdere om man ska</w:t>
      </w:r>
      <w:r>
        <w:t xml:space="preserve">l øke tetthetsusikkerheten </w:t>
      </w:r>
      <w:hyperlink r:id="rId9" w:tooltip="XDF78847" w:history="1">
        <w:r w:rsidRPr="008B568A">
          <w:rPr>
            <w:rStyle w:val="Hyperlink"/>
          </w:rPr>
          <w:fldChar w:fldCharType="begin" w:fldLock="1"/>
        </w:r>
        <w:r w:rsidRPr="008B568A">
          <w:rPr>
            <w:rStyle w:val="Hyperlink"/>
          </w:rPr>
          <w:instrText xml:space="preserve"> DOCPROPERTY XDT78847 *charformat * MERGEFORMAT </w:instrText>
        </w:r>
        <w:r w:rsidRPr="008B568A">
          <w:rPr>
            <w:rStyle w:val="Hyperlink"/>
          </w:rPr>
          <w:fldChar w:fldCharType="separate"/>
        </w:r>
        <w:r w:rsidRPr="008B568A">
          <w:rPr>
            <w:rStyle w:val="Hyperlink"/>
          </w:rPr>
          <w:t>Håndtering av implantat og artefakter ved protonbehandling</w:t>
        </w:r>
        <w:r w:rsidRPr="008B568A">
          <w:rPr>
            <w:rStyle w:val="Hyperlink"/>
          </w:rPr>
          <w:fldChar w:fldCharType="end"/>
        </w:r>
      </w:hyperlink>
      <w:r>
        <w:t>.</w:t>
      </w:r>
    </w:p>
    <w:p w:rsidR="008B568A" w:rsidP="008B568A" w14:paraId="75AB2371" w14:textId="77777777"/>
    <w:p w:rsidR="008B568A" w:rsidRPr="008B568A" w:rsidP="008B568A" w14:paraId="3DECA12D" w14:textId="6687101E">
      <w:pPr>
        <w:pStyle w:val="Heading3"/>
      </w:pPr>
      <w:bookmarkStart w:id="25" w:name="_Toc256000022"/>
      <w:r>
        <w:t>Må</w:t>
      </w:r>
      <w:r>
        <w:t>lvolum</w:t>
      </w:r>
      <w:bookmarkEnd w:id="25"/>
    </w:p>
    <w:p w:rsidR="008B568A" w:rsidP="008B568A" w14:paraId="3CF263F4" w14:textId="668237CC">
      <w:pPr>
        <w:pStyle w:val="Caption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6</w:t>
      </w:r>
      <w:r>
        <w:rPr>
          <w:noProof/>
        </w:rPr>
        <w:fldChar w:fldCharType="end"/>
      </w:r>
      <w:r w:rsidRPr="00D22231">
        <w:t xml:space="preserve"> </w:t>
      </w:r>
      <w:r>
        <w:t xml:space="preserve"> </w:t>
      </w:r>
      <w:r w:rsidRPr="00CF7D0E">
        <w:t xml:space="preserve">Anbefalinger om robusthet til </w:t>
      </w:r>
      <w:r>
        <w:t>målvolum.</w:t>
      </w:r>
    </w:p>
    <w:tbl>
      <w:tblPr>
        <w:tblStyle w:val="GridTable4Accent1"/>
        <w:tblW w:w="0" w:type="auto"/>
        <w:tblLook w:val="04A0"/>
      </w:tblPr>
      <w:tblGrid>
        <w:gridCol w:w="1101"/>
        <w:gridCol w:w="1417"/>
        <w:gridCol w:w="4253"/>
      </w:tblGrid>
      <w:tr w14:paraId="4CB4AD3C" w14:textId="77777777" w:rsidTr="000F44D2">
        <w:tblPrEx>
          <w:tblW w:w="0" w:type="auto"/>
          <w:tblLook w:val="04A0"/>
        </w:tblPrEx>
        <w:tc>
          <w:tcPr>
            <w:tcW w:w="1101" w:type="dxa"/>
          </w:tcPr>
          <w:p w:rsidR="008B568A" w:rsidRPr="00814F19" w:rsidP="00D70046" w14:paraId="39F1624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  <w:szCs w:val="24"/>
              </w:rPr>
              <w:t>Målvolum</w:t>
            </w:r>
          </w:p>
        </w:tc>
        <w:tc>
          <w:tcPr>
            <w:tcW w:w="1417" w:type="dxa"/>
          </w:tcPr>
          <w:p w:rsidR="008B568A" w:rsidRPr="00814F19" w:rsidP="00D70046" w14:paraId="7C551BE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  <w:szCs w:val="24"/>
              </w:rPr>
              <w:t>Dekningskrav</w:t>
            </w:r>
          </w:p>
        </w:tc>
        <w:tc>
          <w:tcPr>
            <w:tcW w:w="4253" w:type="dxa"/>
          </w:tcPr>
          <w:p w:rsidR="008B568A" w:rsidRPr="00814F19" w:rsidP="00D70046" w14:paraId="681D723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  <w:szCs w:val="24"/>
              </w:rPr>
              <w:t>Robusthet</w:t>
            </w:r>
          </w:p>
        </w:tc>
      </w:tr>
      <w:tr w14:paraId="41FE8FA6" w14:textId="77777777" w:rsidTr="000F44D2">
        <w:tblPrEx>
          <w:tblW w:w="0" w:type="auto"/>
          <w:tblLook w:val="04A0"/>
        </w:tblPrEx>
        <w:tc>
          <w:tcPr>
            <w:tcW w:w="1101" w:type="dxa"/>
          </w:tcPr>
          <w:p w:rsidR="008B568A" w:rsidRPr="00814F19" w:rsidP="00D70046" w14:paraId="4A66A22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  <w:szCs w:val="24"/>
              </w:rPr>
              <w:t>GTV</w:t>
            </w:r>
          </w:p>
        </w:tc>
        <w:tc>
          <w:tcPr>
            <w:tcW w:w="1417" w:type="dxa"/>
          </w:tcPr>
          <w:p w:rsidR="008B568A" w:rsidRPr="00814F19" w:rsidP="00D70046" w14:paraId="5E6867D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6A906CE2">
              <w:rPr>
                <w:rFonts w:ascii="Calibri" w:hAnsi="Calibri" w:cs="Calibri"/>
                <w:sz w:val="16"/>
                <w:szCs w:val="16"/>
              </w:rPr>
              <w:t>D</w:t>
            </w:r>
            <w:r w:rsidRPr="6A906CE2">
              <w:rPr>
                <w:rFonts w:ascii="Calibri" w:hAnsi="Calibri" w:cs="Calibri"/>
                <w:sz w:val="16"/>
                <w:szCs w:val="16"/>
                <w:vertAlign w:val="subscript"/>
              </w:rPr>
              <w:t>9</w:t>
            </w:r>
            <w:r>
              <w:rPr>
                <w:rFonts w:ascii="Calibri" w:hAnsi="Calibri" w:cs="Calibri"/>
                <w:sz w:val="16"/>
                <w:szCs w:val="16"/>
                <w:vertAlign w:val="subscript"/>
              </w:rPr>
              <w:t>9</w:t>
            </w:r>
            <w:r w:rsidRPr="6A906CE2">
              <w:rPr>
                <w:rFonts w:ascii="Calibri" w:hAnsi="Calibri" w:cs="Calibri"/>
                <w:sz w:val="16"/>
                <w:szCs w:val="16"/>
                <w:vertAlign w:val="subscript"/>
              </w:rPr>
              <w:t>%</w:t>
            </w:r>
            <w:r w:rsidRPr="6A906CE2">
              <w:rPr>
                <w:rFonts w:ascii="Calibri" w:hAnsi="Calibri" w:cs="Calibri"/>
                <w:sz w:val="16"/>
                <w:szCs w:val="16"/>
              </w:rPr>
              <w:t xml:space="preserve"> &gt; 95%</w:t>
            </w:r>
          </w:p>
        </w:tc>
        <w:tc>
          <w:tcPr>
            <w:tcW w:w="4253" w:type="dxa"/>
          </w:tcPr>
          <w:p w:rsidR="008B568A" w:rsidRPr="00EF1E17" w:rsidP="00D70046" w14:paraId="6664BEF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>
              <w:rPr>
                <w:sz w:val="16"/>
              </w:rPr>
              <w:t xml:space="preserve">Ønskelig med dekning i </w:t>
            </w:r>
            <w:r>
              <w:rPr>
                <w:sz w:val="16"/>
              </w:rPr>
              <w:t>worst</w:t>
            </w:r>
            <w:r>
              <w:rPr>
                <w:sz w:val="16"/>
              </w:rPr>
              <w:t xml:space="preserve"> case scenario.</w:t>
            </w:r>
          </w:p>
        </w:tc>
      </w:tr>
      <w:tr w14:paraId="7A8D999D" w14:textId="77777777" w:rsidTr="000F44D2">
        <w:tblPrEx>
          <w:tblW w:w="0" w:type="auto"/>
          <w:tblLook w:val="04A0"/>
        </w:tblPrEx>
        <w:tc>
          <w:tcPr>
            <w:tcW w:w="1101" w:type="dxa"/>
          </w:tcPr>
          <w:p w:rsidR="008B568A" w:rsidRPr="00814F19" w:rsidP="00D70046" w14:paraId="5DD9BA8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  <w:szCs w:val="24"/>
              </w:rPr>
              <w:t>CTV*</w:t>
            </w:r>
          </w:p>
        </w:tc>
        <w:tc>
          <w:tcPr>
            <w:tcW w:w="1417" w:type="dxa"/>
          </w:tcPr>
          <w:p w:rsidR="008B568A" w:rsidRPr="00814F19" w:rsidP="00D70046" w14:paraId="04D6BEF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 w:rsidRPr="00EF1E17">
              <w:rPr>
                <w:rFonts w:ascii="Calibri" w:hAnsi="Calibri" w:cs="Calibri"/>
                <w:sz w:val="16"/>
                <w:szCs w:val="24"/>
              </w:rPr>
              <w:t>D</w:t>
            </w:r>
            <w:r>
              <w:rPr>
                <w:rFonts w:ascii="Calibri" w:hAnsi="Calibri" w:cs="Calibri"/>
                <w:sz w:val="16"/>
                <w:szCs w:val="24"/>
                <w:vertAlign w:val="subscript"/>
              </w:rPr>
              <w:t>98</w:t>
            </w:r>
            <w:r w:rsidRPr="00EF1E17">
              <w:rPr>
                <w:rFonts w:ascii="Calibri" w:hAnsi="Calibri" w:cs="Calibri"/>
                <w:sz w:val="16"/>
                <w:szCs w:val="24"/>
                <w:vertAlign w:val="subscript"/>
              </w:rPr>
              <w:t>%</w:t>
            </w:r>
            <w:r w:rsidRPr="00EF1E17">
              <w:rPr>
                <w:rFonts w:ascii="Calibri" w:hAnsi="Calibri" w:cs="Calibri"/>
                <w:sz w:val="16"/>
                <w:szCs w:val="24"/>
              </w:rPr>
              <w:t xml:space="preserve"> &gt; 95%</w:t>
            </w:r>
          </w:p>
        </w:tc>
        <w:tc>
          <w:tcPr>
            <w:tcW w:w="4253" w:type="dxa"/>
          </w:tcPr>
          <w:p w:rsidR="008B568A" w:rsidRPr="00814F19" w:rsidP="00D70046" w14:paraId="3D68DA5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24"/>
              </w:rPr>
            </w:pPr>
            <w:r>
              <w:rPr>
                <w:sz w:val="16"/>
              </w:rPr>
              <w:t xml:space="preserve">Skal være dekning i </w:t>
            </w:r>
            <w:r>
              <w:rPr>
                <w:sz w:val="16"/>
              </w:rPr>
              <w:t>worst</w:t>
            </w:r>
            <w:r>
              <w:rPr>
                <w:sz w:val="16"/>
              </w:rPr>
              <w:t xml:space="preserve"> case scenario om ikke risikoorganer skal prioriteres.</w:t>
            </w:r>
          </w:p>
        </w:tc>
      </w:tr>
    </w:tbl>
    <w:p w:rsidR="008B568A" w:rsidP="008B568A" w14:paraId="254B23F5" w14:textId="77777777">
      <w:pPr>
        <w:rPr>
          <w:sz w:val="16"/>
          <w:szCs w:val="16"/>
        </w:rPr>
      </w:pPr>
      <w:r w:rsidRPr="00DF3584">
        <w:rPr>
          <w:sz w:val="16"/>
          <w:szCs w:val="16"/>
        </w:rPr>
        <w:t xml:space="preserve">* Gjelder </w:t>
      </w:r>
      <w:r w:rsidRPr="00DF3584">
        <w:rPr>
          <w:sz w:val="16"/>
          <w:szCs w:val="16"/>
        </w:rPr>
        <w:t>croppet</w:t>
      </w:r>
      <w:r w:rsidRPr="00DF3584">
        <w:rPr>
          <w:sz w:val="16"/>
          <w:szCs w:val="16"/>
        </w:rPr>
        <w:t xml:space="preserve"> CTV </w:t>
      </w:r>
      <w:r>
        <w:rPr>
          <w:sz w:val="16"/>
          <w:szCs w:val="16"/>
        </w:rPr>
        <w:t>der dette er aktuelt volum.</w:t>
      </w:r>
    </w:p>
    <w:p w:rsidR="008B568A" w:rsidRPr="008B568A" w:rsidP="008B568A" w14:paraId="0D3DA80D" w14:textId="77777777">
      <w:pPr>
        <w:rPr>
          <w:szCs w:val="24"/>
        </w:rPr>
      </w:pPr>
    </w:p>
    <w:p w:rsidR="008B568A" w:rsidP="008B568A" w14:paraId="4EAF34A9" w14:textId="77777777">
      <w:pPr>
        <w:pStyle w:val="Heading3"/>
      </w:pPr>
      <w:bookmarkStart w:id="26" w:name="_Toc256000023"/>
      <w:r>
        <w:t>Risikoorganer</w:t>
      </w:r>
      <w:bookmarkEnd w:id="26"/>
    </w:p>
    <w:p w:rsidR="008B568A" w:rsidP="008B568A" w14:paraId="32841C40" w14:textId="77777777">
      <w:r>
        <w:t>Robusthet til risikoorganer bør evalueres tverrfaglig mellom leger, doseplanleggere og fysikere. Det er ikke mulig å konkretisere en spesifikk robusthet som gjelder for alle pasienter, men robustheten må bestemmes individuelt for hver pasient.</w:t>
      </w:r>
    </w:p>
    <w:p w:rsidR="008B568A" w:rsidRPr="00EA1893" w:rsidP="008B568A" w14:paraId="5F87002C" w14:textId="77777777"/>
    <w:p w:rsidR="008B568A" w:rsidP="008B568A" w14:paraId="7FFE9D73" w14:textId="77777777">
      <w:r>
        <w:t>Generelt se</w:t>
      </w:r>
      <w:r>
        <w:t>tt er det</w:t>
      </w:r>
      <w:r w:rsidRPr="00CF7D0E">
        <w:t xml:space="preserve"> ønskelig at </w:t>
      </w:r>
      <w:r>
        <w:t>serielle</w:t>
      </w:r>
      <w:r w:rsidRPr="00CF7D0E">
        <w:t xml:space="preserve"> risikoorganer er unde</w:t>
      </w:r>
      <w:r>
        <w:t>r nominelle krav ved robust eva</w:t>
      </w:r>
      <w:r w:rsidRPr="00CF7D0E">
        <w:t>l</w:t>
      </w:r>
      <w:r>
        <w:t>u</w:t>
      </w:r>
      <w:r w:rsidRPr="00CF7D0E">
        <w:t>ering</w:t>
      </w:r>
      <w:r>
        <w:t xml:space="preserve"> i </w:t>
      </w:r>
      <w:r>
        <w:t>worst</w:t>
      </w:r>
      <w:r>
        <w:t xml:space="preserve"> case</w:t>
      </w:r>
      <w:r w:rsidRPr="00CF7D0E">
        <w:t xml:space="preserve">. </w:t>
      </w:r>
      <w:r>
        <w:t>Dette vil ofte ikke være mulig og heller ikke nødvendigvis hensiktsmessig. Det er likevel ønskelig at det tilstrebes å minimere doser til risikoorganer</w:t>
      </w:r>
      <w:r>
        <w:t xml:space="preserve"> i robusthetsscenarioene, med høyest prioritet på scenarioer med systematiske usikkerheter (tetthetsusikkerheter). Det må også ilegges skjønn i robustevalueringen hvor antall scenarioer med overskridende dosegrenser sees opp mot dosenivå, lokasjon og syste</w:t>
      </w:r>
      <w:r>
        <w:t>matikk.</w:t>
      </w:r>
    </w:p>
    <w:p w:rsidR="008B568A" w:rsidP="008B568A" w14:paraId="113C8976" w14:textId="591E71BF">
      <w:r>
        <w:t xml:space="preserve"> </w:t>
      </w:r>
    </w:p>
    <w:p w:rsidR="008B568A" w:rsidP="008B568A" w14:paraId="5A722EE9" w14:textId="77777777">
      <w:r>
        <w:t xml:space="preserve">Ved ikke oppnådd robusthet til risikoorganer kan det vurderes å bruke robust optimering på disse, spesielt med fokus på serielle organer som </w:t>
      </w:r>
      <w:r w:rsidRPr="00CF7D0E">
        <w:t>Brainstem</w:t>
      </w:r>
      <w:r w:rsidRPr="00CF7D0E">
        <w:t xml:space="preserve">, </w:t>
      </w:r>
      <w:r w:rsidRPr="00CF7D0E">
        <w:t>OpticNerve</w:t>
      </w:r>
      <w:r w:rsidRPr="00CF7D0E">
        <w:t xml:space="preserve">, </w:t>
      </w:r>
      <w:r w:rsidRPr="00CF7D0E">
        <w:t>OpticChiasm</w:t>
      </w:r>
      <w:r>
        <w:t xml:space="preserve"> og ev. små organer. </w:t>
      </w:r>
    </w:p>
    <w:p w:rsidR="008B568A" w:rsidRPr="00EB12D2" w:rsidP="00EB12D2" w14:paraId="1221E786" w14:textId="77777777"/>
    <w:p w:rsidR="00510BDF" w:rsidP="00EB12D2" w14:paraId="3C74329D" w14:textId="24C6EB7C">
      <w:pPr>
        <w:pStyle w:val="Heading1"/>
      </w:pPr>
      <w:bookmarkStart w:id="27" w:name="_Toc256000024"/>
      <w:r>
        <w:t xml:space="preserve">Image </w:t>
      </w:r>
      <w:r>
        <w:t>guidance</w:t>
      </w:r>
      <w:bookmarkEnd w:id="27"/>
    </w:p>
    <w:p w:rsidR="00EB12D2" w:rsidP="00EB12D2" w14:paraId="2C45C10F" w14:textId="7BC6A8EE">
      <w:pPr>
        <w:rPr>
          <w:rFonts w:eastAsia="SimSun" w:cstheme="minorBidi"/>
          <w:sz w:val="22"/>
          <w:szCs w:val="22"/>
        </w:rPr>
      </w:pPr>
      <w:r w:rsidRPr="000F1E2B">
        <w:rPr>
          <w:rFonts w:eastAsia="SimSun" w:cstheme="minorBidi"/>
          <w:sz w:val="22"/>
          <w:szCs w:val="22"/>
        </w:rPr>
        <w:t>I</w:t>
      </w:r>
      <w:r>
        <w:rPr>
          <w:rFonts w:eastAsia="SimSun" w:cstheme="minorBidi"/>
          <w:sz w:val="22"/>
          <w:szCs w:val="22"/>
        </w:rPr>
        <w:t xml:space="preserve">mage </w:t>
      </w:r>
      <w:r>
        <w:rPr>
          <w:rFonts w:eastAsia="SimSun" w:cstheme="minorBidi"/>
          <w:sz w:val="22"/>
          <w:szCs w:val="22"/>
        </w:rPr>
        <w:t>guidance</w:t>
      </w:r>
      <w:r w:rsidRPr="000F1E2B">
        <w:rPr>
          <w:rFonts w:eastAsia="SimSun" w:cstheme="minorBidi"/>
          <w:sz w:val="22"/>
          <w:szCs w:val="22"/>
        </w:rPr>
        <w:t xml:space="preserve"> utføres ved hjelp av </w:t>
      </w:r>
      <w:r>
        <w:rPr>
          <w:rFonts w:eastAsia="SimSun" w:cstheme="minorBidi"/>
          <w:sz w:val="22"/>
          <w:szCs w:val="22"/>
        </w:rPr>
        <w:t xml:space="preserve">CBCT og/eller to ortogonale </w:t>
      </w:r>
      <w:r>
        <w:rPr>
          <w:rFonts w:eastAsia="SimSun" w:cstheme="minorBidi"/>
          <w:sz w:val="22"/>
          <w:szCs w:val="22"/>
        </w:rPr>
        <w:t>setup</w:t>
      </w:r>
      <w:r>
        <w:rPr>
          <w:rFonts w:eastAsia="SimSun" w:cstheme="minorBidi"/>
          <w:sz w:val="22"/>
          <w:szCs w:val="22"/>
        </w:rPr>
        <w:t xml:space="preserve">-felt. </w:t>
      </w:r>
      <w:r w:rsidRPr="003E1B80">
        <w:rPr>
          <w:rFonts w:eastAsia="SimSun" w:cstheme="minorBidi"/>
          <w:sz w:val="22"/>
          <w:szCs w:val="22"/>
        </w:rPr>
        <w:t xml:space="preserve">Se </w:t>
      </w:r>
      <w:hyperlink r:id="rId14" w:tooltip="XDF78857" w:history="1">
        <w:r w:rsidRPr="008B568A">
          <w:rPr>
            <w:rStyle w:val="Hyperlink"/>
          </w:rPr>
          <w:fldChar w:fldCharType="begin" w:fldLock="1"/>
        </w:r>
        <w:r w:rsidRPr="008B568A">
          <w:rPr>
            <w:rStyle w:val="Hyperlink"/>
          </w:rPr>
          <w:instrText xml:space="preserve"> DOCPROPERTY XDT78857 *charformat * MERGEFORMAT </w:instrText>
        </w:r>
        <w:r w:rsidRPr="008B568A">
          <w:rPr>
            <w:rStyle w:val="Hyperlink"/>
          </w:rPr>
          <w:fldChar w:fldCharType="separate"/>
        </w:r>
        <w:r w:rsidRPr="008B568A">
          <w:rPr>
            <w:rStyle w:val="Hyperlink"/>
          </w:rPr>
          <w:t>Protonbehandling - prosedyre for gjennomføring</w:t>
        </w:r>
        <w:r w:rsidRPr="008B568A">
          <w:rPr>
            <w:rStyle w:val="Hyperlink"/>
          </w:rPr>
          <w:fldChar w:fldCharType="end"/>
        </w:r>
      </w:hyperlink>
      <w:r w:rsidRPr="008B568A">
        <w:t xml:space="preserve"> </w:t>
      </w:r>
      <w:r w:rsidRPr="003E1B80">
        <w:rPr>
          <w:rFonts w:eastAsia="SimSun" w:cstheme="minorBidi"/>
          <w:sz w:val="22"/>
          <w:szCs w:val="22"/>
        </w:rPr>
        <w:t xml:space="preserve">for </w:t>
      </w:r>
      <w:r>
        <w:rPr>
          <w:rFonts w:eastAsia="SimSun" w:cstheme="minorBidi"/>
          <w:sz w:val="22"/>
          <w:szCs w:val="22"/>
        </w:rPr>
        <w:t>utførelse på apparat.</w:t>
      </w:r>
    </w:p>
    <w:p w:rsidR="008B568A" w:rsidP="00EB12D2" w14:paraId="65CCF33F" w14:textId="77777777"/>
    <w:p w:rsidR="00EB12D2" w:rsidP="00EB12D2" w14:paraId="6B66AAC3" w14:textId="02D16118">
      <w:pPr>
        <w:pStyle w:val="Heading1"/>
      </w:pPr>
      <w:bookmarkStart w:id="28" w:name="_Toc256000025"/>
      <w:r>
        <w:t>Kontrollbilder og adapsjon</w:t>
      </w:r>
      <w:bookmarkEnd w:id="28"/>
    </w:p>
    <w:p w:rsidR="008B568A" w:rsidP="008B568A" w14:paraId="42389C9A" w14:textId="48F8786A">
      <w:r w:rsidRPr="00C326AF">
        <w:t xml:space="preserve">Ved </w:t>
      </w:r>
      <w:r>
        <w:t xml:space="preserve">tumor </w:t>
      </w:r>
      <w:r>
        <w:t>cerebri</w:t>
      </w:r>
      <w:r w:rsidRPr="00C326AF">
        <w:t xml:space="preserve"> vil det generelt sett ikke være behov for adapsjon.</w:t>
      </w:r>
      <w:r>
        <w:t xml:space="preserve"> Likevel kan det for eksempel inntreffe at </w:t>
      </w:r>
      <w:r w:rsidRPr="00C326AF">
        <w:t>st</w:t>
      </w:r>
      <w:r>
        <w:t>ørre</w:t>
      </w:r>
      <w:r w:rsidRPr="00C326AF">
        <w:t xml:space="preserve"> anatomiske endringer bemerkes på CBCT</w:t>
      </w:r>
      <w:r>
        <w:t xml:space="preserve"> eller at suboptimal f</w:t>
      </w:r>
      <w:r>
        <w:t>iksering forekommer. Om slike tilfeller k</w:t>
      </w:r>
      <w:r w:rsidRPr="00C326AF">
        <w:t xml:space="preserve">an påvirke dosedekning eller doser til risikoorganer bør det tas ny </w:t>
      </w:r>
      <w:r>
        <w:t>doseplan</w:t>
      </w:r>
      <w:r>
        <w:t>-</w:t>
      </w:r>
      <w:r w:rsidRPr="00C326AF">
        <w:t xml:space="preserve">CT </w:t>
      </w:r>
      <w:r>
        <w:t>for</w:t>
      </w:r>
      <w:r w:rsidRPr="00C326AF">
        <w:t xml:space="preserve"> </w:t>
      </w:r>
      <w:r w:rsidRPr="00C326AF">
        <w:t>replanlegging</w:t>
      </w:r>
      <w:r w:rsidRPr="00C326AF">
        <w:t>. Se</w:t>
      </w:r>
      <w:r>
        <w:t xml:space="preserve"> </w:t>
      </w:r>
      <w:hyperlink r:id="rId14" w:tooltip="XDF78857" w:history="1">
        <w:r w:rsidRPr="008B568A">
          <w:rPr>
            <w:rStyle w:val="Hyperlink"/>
          </w:rPr>
          <w:fldChar w:fldCharType="begin" w:fldLock="1"/>
        </w:r>
        <w:r w:rsidRPr="008B568A">
          <w:rPr>
            <w:rStyle w:val="Hyperlink"/>
          </w:rPr>
          <w:instrText xml:space="preserve"> DOCPROPERTY XDT78857 *charformat * MERGEFORMAT </w:instrText>
        </w:r>
        <w:r w:rsidRPr="008B568A">
          <w:rPr>
            <w:rStyle w:val="Hyperlink"/>
          </w:rPr>
          <w:fldChar w:fldCharType="separate"/>
        </w:r>
        <w:r w:rsidRPr="008B568A">
          <w:rPr>
            <w:rStyle w:val="Hyperlink"/>
          </w:rPr>
          <w:t>Protonbehandling - prosedyre for gjennomføring</w:t>
        </w:r>
        <w:r w:rsidRPr="008B568A">
          <w:rPr>
            <w:rStyle w:val="Hyperlink"/>
          </w:rPr>
          <w:fldChar w:fldCharType="end"/>
        </w:r>
      </w:hyperlink>
      <w:r w:rsidRPr="008B568A">
        <w:t xml:space="preserve"> </w:t>
      </w:r>
      <w:r w:rsidRPr="00C326AF">
        <w:t>for detaljer.</w:t>
      </w:r>
    </w:p>
    <w:p w:rsidR="00EB12D2" w:rsidP="00EB12D2" w14:paraId="11D9FE4F" w14:textId="77777777"/>
    <w:p w:rsidR="00EB12D2" w:rsidRPr="00EB12D2" w:rsidP="00EB12D2" w14:paraId="0E0B6151" w14:textId="1DBA9F05">
      <w:pPr>
        <w:pStyle w:val="Heading1"/>
      </w:pPr>
      <w:bookmarkStart w:id="29" w:name="_Toc256000026"/>
      <w:r>
        <w:t xml:space="preserve">Tiltak og prioritering ved </w:t>
      </w:r>
      <w:r>
        <w:t>nedetid</w:t>
      </w:r>
      <w:bookmarkEnd w:id="29"/>
    </w:p>
    <w:p w:rsidR="008B568A" w:rsidRPr="001B1404" w:rsidP="008B568A" w14:paraId="7C6E4882" w14:textId="77777777">
      <w:r>
        <w:t xml:space="preserve">På generell basis er det få eller ingen pasienter som behandles for tumor </w:t>
      </w:r>
      <w:r>
        <w:t>cerebri</w:t>
      </w:r>
      <w:r>
        <w:t xml:space="preserve"> med protoner som ikke kan få konvensjonell strålebehandling ved eventuell nedetid på protonstrålen. Ved lengre nedetid, kan det likevel bli unntaksvis aktuelt å sende</w:t>
      </w:r>
      <w:r>
        <w:t xml:space="preserve"> pasienter videre til et nasjonalt eller internasjonalt protonsenter for videre strålebehandling. Dette må i så tilfelle bestemmes individuelt for hver pasient.</w:t>
      </w:r>
    </w:p>
    <w:p w:rsidR="00510BDF" w:rsidP="00066A58" w14:paraId="3C74329E" w14:textId="77777777">
      <w:pPr>
        <w:spacing w:line="259" w:lineRule="auto"/>
        <w:rPr>
          <w:rFonts w:cstheme="minorHAnsi"/>
        </w:rPr>
      </w:pPr>
    </w:p>
    <w:p w:rsidR="00510BDF" w:rsidP="00EB12D2" w14:paraId="3C74329F" w14:textId="77777777">
      <w:pPr>
        <w:pStyle w:val="Heading1"/>
      </w:pPr>
      <w:bookmarkStart w:id="30" w:name="_Toc256000027"/>
      <w:r>
        <w:t>Referanser</w:t>
      </w:r>
      <w:bookmarkEnd w:id="30"/>
      <w:r>
        <w:t xml:space="preserve"> </w:t>
      </w:r>
    </w:p>
    <w:p w:rsidR="00DF7BA8" w:rsidP="00066A58" w14:paraId="3C7432A0" w14:textId="77777777">
      <w:pPr>
        <w:spacing w:line="259" w:lineRule="auto"/>
        <w:rPr>
          <w:rFonts w:cstheme="minorHAnsi"/>
        </w:rPr>
      </w:pPr>
    </w:p>
    <w:p w:rsidR="00510BDF" w:rsidP="00066A58" w14:paraId="3C7432A1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3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3.1.2.5.9.4.1-01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Barn - Retningslinje for protonplanlegging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3.1.2.5.9.4.1-06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Protonfiksering - oversikt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3.1.2.5.9.4.1-07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Fiksering av hode , hals og CNS-nevroakse ved protonbehandling (voksen/pediatri) Retningslinje.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3.1.2.5.9.4.1-08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Avbildning for protonterapi - retningslinje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3.1.2.5.9.4.1-09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Håndtering av implantat og artefakter ved protonbehandling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3.1.2.5.9.4.1-11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Protonbehandling - prosedyre for gjennomføring</w:t>
              </w:r>
            </w:hyperlink>
          </w:p>
        </w:tc>
      </w:tr>
    </w:tbl>
    <w:p w:rsidR="00510BDF" w:rsidP="00066A58" w14:paraId="3C7432B5" w14:textId="77777777">
      <w:pPr>
        <w:spacing w:line="259" w:lineRule="auto"/>
        <w:rPr>
          <w:rFonts w:cstheme="minorHAnsi"/>
        </w:rPr>
      </w:pPr>
      <w:bookmarkEnd w:id="31"/>
    </w:p>
    <w:p w:rsidR="00510BDF" w:rsidP="00066A58" w14:paraId="3C7432B6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p w:rsidR="007C28A6" w:rsidP="00066A58" w14:paraId="1291EDC4" w14:textId="77777777">
      <w:pPr>
        <w:spacing w:line="259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14:paraId="740E740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bookmarkStart w:id="32" w:name="EK_EksRef"/>
          <w:p w:rsidR="008B568A" w:rsidRPr="009472C4" w:rsidP="008B568A" w14:paraId="1083E205" w14:textId="77777777">
            <w:pPr>
              <w:pStyle w:val="EndNoteBibliography"/>
              <w:spacing w:after="0"/>
              <w:ind w:left="720" w:hanging="720"/>
              <w:rPr>
                <w:lang w:val="nb-NO"/>
              </w:rPr>
            </w:pPr>
            <w:r>
              <w:fldChar w:fldCharType="begin"/>
            </w:r>
            <w:r w:rsidRPr="00E43FA7">
              <w:rPr>
                <w:lang w:val="nb-NO"/>
              </w:rPr>
              <w:instrText xml:space="preserve"> ADDIN EN.REFLIST </w:instrText>
            </w:r>
            <w:r>
              <w:fldChar w:fldCharType="separate"/>
            </w:r>
            <w:bookmarkStart w:id="33" w:name="_ENREF_1"/>
            <w:r w:rsidRPr="009472C4">
              <w:rPr>
                <w:lang w:val="nb-NO"/>
              </w:rPr>
              <w:t>1.</w:t>
            </w:r>
            <w:r w:rsidRPr="009472C4">
              <w:rPr>
                <w:lang w:val="nb-NO"/>
              </w:rPr>
              <w:tab/>
              <w:t xml:space="preserve">Helsedirektoratet. </w:t>
            </w:r>
            <w:r w:rsidRPr="009472C4">
              <w:rPr>
                <w:i/>
                <w:lang w:val="nb-NO"/>
              </w:rPr>
              <w:t>Nasjonalt handlingsprogram med retningslinjer for diagnostikk, behandling og oppfølging av hjernesvulster generelt (hos voksne) [nettdokument]. Hjernesvulster generelt (hos voksne) - handlingsprogram</w:t>
            </w:r>
            <w:r w:rsidRPr="009472C4">
              <w:rPr>
                <w:lang w:val="nb-NO"/>
              </w:rPr>
              <w:t xml:space="preserve">. 2020 Oslo: Helsedirektoratet (sist </w:t>
            </w:r>
            <w:r w:rsidRPr="009472C4">
              <w:rPr>
                <w:lang w:val="nb-NO"/>
              </w:rPr>
              <w:t>faglig oppdatert 17.</w:t>
            </w:r>
            <w:r w:rsidRPr="009472C4">
              <w:rPr>
                <w:lang w:val="nb-NO"/>
              </w:rPr>
              <w:t xml:space="preserve"> august 2023, lest 12. desember 2023); Tilgjengelig fra </w:t>
            </w:r>
            <w:r>
              <w:fldChar w:fldCharType="begin"/>
            </w:r>
            <w:r w:rsidRPr="007C28A6">
              <w:rPr>
                <w:rStyle w:val="Hyperlink"/>
                <w:sz w:val="22"/>
                <w:lang w:val="nb-NO"/>
              </w:rPr>
              <w:instrText xml:space="preserve"> HYPERLINK "https://www.helsedirektoratet.no/retningslinjer/hjernesvulster-generelt-hos-voksne-handlingsprogram" </w:instrText>
            </w:r>
            <w:r>
              <w:fldChar w:fldCharType="separate"/>
            </w:r>
            <w:r w:rsidRPr="007C28A6">
              <w:rPr>
                <w:rStyle w:val="Hyperlink"/>
                <w:sz w:val="22"/>
                <w:lang w:val="nb-NO"/>
              </w:rPr>
              <w:t>https://www.helsedirektoratet.no/retningslinjer/hjernesvulster-generelt-hos-voksne-hand</w:t>
            </w:r>
            <w:r w:rsidRPr="007C28A6">
              <w:rPr>
                <w:rStyle w:val="Hyperlink"/>
                <w:sz w:val="22"/>
                <w:lang w:val="nb-NO"/>
              </w:rPr>
              <w:t>lingsprogram</w:t>
            </w:r>
            <w:r>
              <w:fldChar w:fldCharType="end"/>
            </w:r>
            <w:r w:rsidRPr="009472C4">
              <w:rPr>
                <w:lang w:val="nb-NO"/>
              </w:rPr>
              <w:t>.</w:t>
            </w:r>
            <w:bookmarkEnd w:id="33"/>
          </w:p>
          <w:p w:rsidR="008B568A" w:rsidRPr="009472C4" w:rsidP="008B568A" w14:paraId="2E828B0C" w14:textId="77777777">
            <w:pPr>
              <w:pStyle w:val="EndNoteBibliography"/>
              <w:spacing w:after="0"/>
              <w:ind w:left="720" w:hanging="720"/>
              <w:rPr>
                <w:lang w:val="nb-NO"/>
              </w:rPr>
            </w:pPr>
            <w:bookmarkStart w:id="34" w:name="_ENREF_2"/>
            <w:r w:rsidRPr="009472C4">
              <w:rPr>
                <w:lang w:val="nb-NO"/>
              </w:rPr>
              <w:t>2.</w:t>
            </w:r>
            <w:r w:rsidRPr="009472C4">
              <w:rPr>
                <w:lang w:val="nb-NO"/>
              </w:rPr>
              <w:tab/>
              <w:t xml:space="preserve">Helsedirektoratet. </w:t>
            </w:r>
            <w:r w:rsidRPr="009472C4">
              <w:rPr>
                <w:i/>
                <w:lang w:val="nb-NO"/>
              </w:rPr>
              <w:t>Nasjonal faglig retningslinje for diagnostikk, behandling og oppfølging av diffuse gliomer hos voksne [nettdokument]</w:t>
            </w:r>
            <w:r w:rsidRPr="009472C4">
              <w:rPr>
                <w:lang w:val="nb-NO"/>
              </w:rPr>
              <w:t xml:space="preserve">. 2020 Oslo: Helsedirektoratet (sist faglig oppdatert 17. august </w:t>
            </w:r>
            <w:r w:rsidRPr="009472C4">
              <w:rPr>
                <w:lang w:val="nb-NO"/>
              </w:rPr>
              <w:t xml:space="preserve">2023, lest 12. desember 2023); Tilgjengelig fra </w:t>
            </w:r>
            <w:hyperlink r:id="rId17" w:history="1">
              <w:r w:rsidRPr="007C28A6">
                <w:rPr>
                  <w:rStyle w:val="Hyperlink"/>
                  <w:sz w:val="22"/>
                  <w:lang w:val="nb-NO"/>
                </w:rPr>
                <w:t>https://www.helsedirektoratet.no/retningslinjer/diffuse-gliomer-hos-voksne-handlingsprogram</w:t>
              </w:r>
            </w:hyperlink>
            <w:r w:rsidRPr="009472C4">
              <w:rPr>
                <w:lang w:val="nb-NO"/>
              </w:rPr>
              <w:t>.</w:t>
            </w:r>
            <w:bookmarkEnd w:id="34"/>
          </w:p>
          <w:p w:rsidR="008B568A" w:rsidRPr="009472C4" w:rsidP="008B568A" w14:paraId="611D0BCC" w14:textId="77777777">
            <w:pPr>
              <w:pStyle w:val="EndNoteBibliography"/>
              <w:spacing w:after="0"/>
              <w:ind w:left="720" w:hanging="720"/>
              <w:rPr>
                <w:lang w:val="nb-NO"/>
              </w:rPr>
            </w:pPr>
            <w:bookmarkStart w:id="35" w:name="_ENREF_3"/>
            <w:r w:rsidRPr="009472C4">
              <w:rPr>
                <w:lang w:val="nb-NO"/>
              </w:rPr>
              <w:t>3.</w:t>
            </w:r>
            <w:r w:rsidRPr="009472C4">
              <w:rPr>
                <w:lang w:val="nb-NO"/>
              </w:rPr>
              <w:tab/>
              <w:t xml:space="preserve">Helsedirektoratet. </w:t>
            </w:r>
            <w:r w:rsidRPr="009472C4">
              <w:rPr>
                <w:i/>
                <w:lang w:val="nb-NO"/>
              </w:rPr>
              <w:t>Nasjonalt handlingsprogram med retningslinjer for diagnostikk, behandling og oppfølging av meningeomer [nettdokument]</w:t>
            </w:r>
            <w:r w:rsidRPr="009472C4">
              <w:rPr>
                <w:lang w:val="nb-NO"/>
              </w:rPr>
              <w:t>. 2020 Oslo: Helsedirektoratet (sist faglig oppdatert 17. august 2023, lest 12. desember 2</w:t>
            </w:r>
            <w:r w:rsidRPr="009472C4">
              <w:rPr>
                <w:lang w:val="nb-NO"/>
              </w:rPr>
              <w:t xml:space="preserve">023); Tilgjengelig fra </w:t>
            </w:r>
            <w:hyperlink r:id="rId18" w:history="1">
              <w:r w:rsidRPr="007C28A6">
                <w:rPr>
                  <w:rStyle w:val="Hyperlink"/>
                  <w:sz w:val="22"/>
                  <w:lang w:val="nb-NO"/>
                </w:rPr>
                <w:t>https://www.helsedirektoratet.no/retningslinjer/meningeomer-hos-voksne-handlingsprogram</w:t>
              </w:r>
            </w:hyperlink>
            <w:r w:rsidRPr="009472C4">
              <w:rPr>
                <w:lang w:val="nb-NO"/>
              </w:rPr>
              <w:t>.</w:t>
            </w:r>
            <w:bookmarkEnd w:id="35"/>
          </w:p>
          <w:p w:rsidR="008B568A" w:rsidRPr="009472C4" w:rsidP="008B568A" w14:paraId="325A730B" w14:textId="77777777">
            <w:pPr>
              <w:pStyle w:val="EndNoteBibliography"/>
              <w:spacing w:after="0"/>
              <w:ind w:left="720" w:hanging="720"/>
              <w:rPr>
                <w:lang w:val="nb-NO"/>
              </w:rPr>
            </w:pPr>
            <w:bookmarkStart w:id="36" w:name="_ENREF_4"/>
            <w:r w:rsidRPr="009472C4">
              <w:rPr>
                <w:lang w:val="nb-NO"/>
              </w:rPr>
              <w:t>4.</w:t>
            </w:r>
            <w:r w:rsidRPr="009472C4">
              <w:rPr>
                <w:lang w:val="nb-NO"/>
              </w:rPr>
              <w:tab/>
              <w:t>Hels</w:t>
            </w:r>
            <w:r w:rsidRPr="009472C4">
              <w:rPr>
                <w:lang w:val="nb-NO"/>
              </w:rPr>
              <w:t xml:space="preserve">edirektoratet. </w:t>
            </w:r>
            <w:r w:rsidRPr="009472C4">
              <w:rPr>
                <w:i/>
                <w:lang w:val="nb-NO"/>
              </w:rPr>
              <w:t>Nasjonalt handlingsprogram med retningslinjer for diagnostikk, behandling og oppfølging av hypofyseadenomer [nettdokument]</w:t>
            </w:r>
            <w:r w:rsidRPr="009472C4">
              <w:rPr>
                <w:lang w:val="nb-NO"/>
              </w:rPr>
              <w:t xml:space="preserve">. 2020 Oslo: Helsedirektoratet (sist faglig oppdatert 17. august 2023, lest 12. desember 2023); Tilgjengelig fra </w:t>
            </w:r>
            <w:hyperlink r:id="rId19" w:history="1">
              <w:r w:rsidRPr="007C28A6">
                <w:rPr>
                  <w:rStyle w:val="Hyperlink"/>
                  <w:sz w:val="22"/>
                  <w:lang w:val="nb-NO"/>
                </w:rPr>
                <w:t>https://www.helsedirektoratet.no/retningslinjer/hypofyseadenomer-handlingsprogram</w:t>
              </w:r>
            </w:hyperlink>
            <w:r w:rsidRPr="009472C4">
              <w:rPr>
                <w:lang w:val="nb-NO"/>
              </w:rPr>
              <w:t>.</w:t>
            </w:r>
            <w:bookmarkEnd w:id="36"/>
          </w:p>
          <w:p w:rsidR="008B568A" w:rsidRPr="0014578B" w:rsidP="008B568A" w14:paraId="52FC2FFB" w14:textId="77777777">
            <w:pPr>
              <w:pStyle w:val="EndNoteBibliography"/>
              <w:spacing w:after="0"/>
              <w:ind w:left="720" w:hanging="720"/>
            </w:pPr>
            <w:bookmarkStart w:id="37" w:name="_ENREF_5"/>
            <w:r w:rsidRPr="0014578B">
              <w:t>5.</w:t>
            </w:r>
            <w:r w:rsidRPr="0014578B">
              <w:tab/>
              <w:t xml:space="preserve">Heggebø, L.C., et al., </w:t>
            </w:r>
            <w:r w:rsidRPr="0014578B">
              <w:rPr>
                <w:i/>
              </w:rPr>
              <w:t>Investigating surviva</w:t>
            </w:r>
            <w:r w:rsidRPr="0014578B">
              <w:rPr>
                <w:i/>
              </w:rPr>
              <w:t>l, quality of life and cognition in PROton versus photon therapy for IDH-mutated diffuse grade 2 and 3 GLIOmas (PRO-GLIO): a randomised controlled trial in Norway and Sweden.</w:t>
            </w:r>
            <w:r w:rsidRPr="0014578B">
              <w:t xml:space="preserve"> BMJ Open, 2023. </w:t>
            </w:r>
            <w:r w:rsidRPr="0014578B">
              <w:rPr>
                <w:b/>
              </w:rPr>
              <w:t>13</w:t>
            </w:r>
            <w:r w:rsidRPr="0014578B">
              <w:t>(3): p. e070071.</w:t>
            </w:r>
            <w:bookmarkEnd w:id="37"/>
          </w:p>
          <w:p w:rsidR="008B568A" w:rsidRPr="0014578B" w:rsidP="008B568A" w14:paraId="2FC998DC" w14:textId="77777777">
            <w:pPr>
              <w:pStyle w:val="EndNoteBibliography"/>
              <w:spacing w:after="0"/>
              <w:ind w:left="720" w:hanging="720"/>
            </w:pPr>
            <w:bookmarkStart w:id="38" w:name="_ENREF_6"/>
            <w:r w:rsidRPr="0014578B">
              <w:t>6.</w:t>
            </w:r>
            <w:r w:rsidRPr="0014578B">
              <w:tab/>
              <w:t>Marienhagen, K., L. Djupvik, and T. Daniels</w:t>
            </w:r>
            <w:r w:rsidRPr="0014578B">
              <w:t xml:space="preserve">en. </w:t>
            </w:r>
            <w:r w:rsidRPr="0014578B">
              <w:rPr>
                <w:i/>
              </w:rPr>
              <w:t>Norwegian guidelines for delineation of organs at risk in neuro-oncology. Technical Document no. 16</w:t>
            </w:r>
            <w:r w:rsidRPr="0014578B">
              <w:t xml:space="preserve">. 2020. Østerås: Norwegian Radiation and Nuclear Safety Authority. Language: Norwegian. Tilgjengelig fra </w:t>
            </w:r>
            <w:hyperlink r:id="rId20" w:history="1">
              <w:r w:rsidRPr="007C28A6">
                <w:rPr>
                  <w:rStyle w:val="Hyperlink"/>
                  <w:sz w:val="22"/>
                </w:rPr>
                <w:t>https://dsa.no/publikasjoner/_/attachment/inline/401a60b3-b7db-4c4a-b741-da0a70c43b20:f0c3325a0ec4a43b2335cf17df266e4e7c34408c/Teknisk</w:t>
              </w:r>
              <w:r w:rsidRPr="007C28A6">
                <w:rPr>
                  <w:rStyle w:val="Hyperlink"/>
                  <w:sz w:val="22"/>
                </w:rPr>
                <w:t>%20dokument16_rev.pdf</w:t>
              </w:r>
            </w:hyperlink>
            <w:r w:rsidRPr="0014578B">
              <w:t>.</w:t>
            </w:r>
            <w:bookmarkEnd w:id="38"/>
          </w:p>
          <w:p w:rsidR="008B568A" w:rsidRPr="0014578B" w:rsidP="007C28A6" w14:paraId="63FA003E" w14:textId="217F1DF8">
            <w:pPr>
              <w:pStyle w:val="EndNoteBibliography"/>
              <w:spacing w:after="0"/>
              <w:ind w:left="720" w:hanging="720"/>
            </w:pPr>
            <w:bookmarkStart w:id="39" w:name="_ENREF_7"/>
            <w:r w:rsidRPr="0014578B">
              <w:t>7.</w:t>
            </w:r>
            <w:r w:rsidRPr="0014578B">
              <w:tab/>
              <w:t xml:space="preserve">Brandal, P., et al. </w:t>
            </w:r>
            <w:r w:rsidRPr="0014578B">
              <w:rPr>
                <w:i/>
              </w:rPr>
              <w:t>Norwegian guidelines for dose constraints to organs at risk relevant for neuro-oncology. Techincal document no. 29</w:t>
            </w:r>
            <w:r w:rsidRPr="0014578B">
              <w:t xml:space="preserve">. 2023. Østerås: Norwegian Radiation and Nuclear </w:t>
            </w:r>
            <w:r w:rsidRPr="0014578B">
              <w:t>Safety Authority. Tilgjengelig fra</w:t>
            </w:r>
            <w:r w:rsidR="007C28A6">
              <w:t xml:space="preserve"> </w:t>
            </w:r>
            <w:hyperlink r:id="rId15" w:history="1">
              <w:r w:rsidRPr="00900891" w:rsidR="007C28A6">
                <w:rPr>
                  <w:rStyle w:val="Hyperlink"/>
                  <w:rFonts w:ascii="Calibri" w:hAnsi="Calibri"/>
                  <w:sz w:val="22"/>
                </w:rPr>
                <w:t>https://dsa.no/publikasjoner/_/attachment/inline/a5d17cc9-d8fa-4138-8ffc-c091eb2d122e:db1b583d5d4b878b3311ab387f73b96ab89ccc3a/Teknisk%20dokument%2029%20Toleransedoser%20og%20anbefalte%20dosegrenser%20til%20risikoorganer%20ved%20str%C3%A5lebehandling%20av%20sentralnervesystemet%20.pdf</w:t>
              </w:r>
            </w:hyperlink>
            <w:r w:rsidRPr="0014578B">
              <w:t>.</w:t>
            </w:r>
            <w:bookmarkEnd w:id="39"/>
          </w:p>
          <w:p w:rsidR="007C28A6" w:rsidP="007C28A6" w14:paraId="293C4415" w14:textId="77777777">
            <w:pPr>
              <w:spacing w:line="276" w:lineRule="auto"/>
              <w:ind w:left="703" w:hanging="703"/>
              <w:rPr>
                <w:rFonts w:ascii="Calibri" w:eastAsia="SimSun" w:hAnsi="Calibri" w:cs="Calibri"/>
                <w:noProof/>
                <w:sz w:val="22"/>
                <w:szCs w:val="22"/>
                <w:lang w:eastAsia="en-US"/>
              </w:rPr>
            </w:pPr>
            <w:r>
              <w:fldChar w:fldCharType="end"/>
            </w:r>
            <w:bookmarkStart w:id="40" w:name="R8"/>
            <w:r w:rsidRPr="0090089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8.</w:t>
            </w:r>
            <w:r w:rsidRPr="00900891">
              <w:rPr>
                <w:rFonts w:ascii="Calibri" w:hAnsi="Calibri" w:cs="Calibri"/>
                <w:color w:val="000000"/>
                <w:lang w:val="en-US"/>
              </w:rPr>
              <w:t> </w:t>
            </w:r>
            <w:bookmarkEnd w:id="40"/>
            <w:r w:rsidRPr="00900891">
              <w:rPr>
                <w:rFonts w:ascii="Calibri" w:hAnsi="Calibri" w:cs="Calibri"/>
                <w:color w:val="000000"/>
                <w:lang w:val="en-US"/>
              </w:rPr>
              <w:tab/>
            </w:r>
            <w:r w:rsidRPr="008B568A">
              <w:rPr>
                <w:rFonts w:ascii="Calibri" w:eastAsia="SimSun" w:hAnsi="Calibri" w:cs="Calibri"/>
                <w:noProof/>
                <w:sz w:val="22"/>
                <w:szCs w:val="22"/>
                <w:lang w:val="en-US" w:eastAsia="en-US"/>
              </w:rPr>
              <w:t>Eekers D.B., et al. </w:t>
            </w:r>
            <w:r w:rsidRPr="00900891">
              <w:rPr>
                <w:rFonts w:eastAsia="SimSun"/>
                <w:i/>
                <w:iCs/>
                <w:noProof/>
                <w:sz w:val="22"/>
                <w:szCs w:val="22"/>
                <w:lang w:val="en-US" w:eastAsia="en-US"/>
              </w:rPr>
              <w:t>The EPTN consensus-based atlas for CT- and MR-based contouring in neuro-oncology. </w:t>
            </w:r>
            <w:r w:rsidRPr="00900891">
              <w:rPr>
                <w:rFonts w:ascii="Calibri" w:eastAsia="SimSun" w:hAnsi="Calibri" w:cs="Calibri"/>
                <w:noProof/>
                <w:sz w:val="22"/>
                <w:szCs w:val="22"/>
                <w:lang w:eastAsia="en-US"/>
              </w:rPr>
              <w:t>Ra</w:t>
            </w:r>
            <w:r w:rsidRPr="00900891">
              <w:rPr>
                <w:rFonts w:ascii="Calibri" w:eastAsia="SimSun" w:hAnsi="Calibri" w:cs="Calibri"/>
                <w:noProof/>
                <w:sz w:val="22"/>
                <w:szCs w:val="22"/>
                <w:lang w:eastAsia="en-US"/>
              </w:rPr>
              <w:t>diother Oncol., 2018. </w:t>
            </w:r>
            <w:r w:rsidRPr="00900891">
              <w:rPr>
                <w:rFonts w:eastAsia="SimSun"/>
                <w:b/>
                <w:bCs/>
                <w:noProof/>
                <w:sz w:val="22"/>
                <w:szCs w:val="22"/>
                <w:lang w:eastAsia="en-US"/>
              </w:rPr>
              <w:t>128</w:t>
            </w:r>
            <w:r w:rsidRPr="00900891">
              <w:rPr>
                <w:rFonts w:ascii="Calibri" w:eastAsia="SimSun" w:hAnsi="Calibri" w:cs="Calibri"/>
                <w:noProof/>
                <w:sz w:val="22"/>
                <w:szCs w:val="22"/>
                <w:lang w:eastAsia="en-US"/>
              </w:rPr>
              <w:t xml:space="preserve">(1):37-43. </w:t>
            </w:r>
            <w:r w:rsidRPr="007C28A6">
              <w:rPr>
                <w:rFonts w:ascii="Calibri" w:eastAsia="SimSun" w:hAnsi="Calibri" w:cs="Calibri"/>
                <w:noProof/>
                <w:sz w:val="22"/>
                <w:szCs w:val="22"/>
                <w:lang w:eastAsia="en-US"/>
              </w:rPr>
              <w:t>Tilgjengelig fra </w:t>
            </w:r>
            <w:hyperlink r:id="rId12" w:history="1">
              <w:r w:rsidRPr="007C28A6">
                <w:rPr>
                  <w:rStyle w:val="Hyperlink"/>
                  <w:rFonts w:ascii="Calibri" w:eastAsia="SimSun" w:hAnsi="Calibri" w:cs="Calibri"/>
                  <w:noProof/>
                  <w:sz w:val="22"/>
                  <w:szCs w:val="22"/>
                  <w:lang w:eastAsia="en-US"/>
                </w:rPr>
                <w:t>https://doi.org/10.1016/j.radonc.2017.12.013</w:t>
              </w:r>
            </w:hyperlink>
            <w:bookmarkStart w:id="41" w:name="R9"/>
          </w:p>
          <w:p w:rsidR="008B568A" w:rsidRPr="008B568A" w:rsidP="007C28A6" w14:paraId="50E9A5DD" w14:textId="6232787A">
            <w:pPr>
              <w:spacing w:line="276" w:lineRule="auto"/>
              <w:ind w:left="703" w:hanging="703"/>
              <w:rPr>
                <w:rFonts w:ascii="Calibri" w:eastAsia="SimSun" w:hAnsi="Calibri" w:cs="Calibri"/>
                <w:noProof/>
                <w:sz w:val="22"/>
                <w:szCs w:val="22"/>
                <w:lang w:val="en-US" w:eastAsia="en-US"/>
              </w:rPr>
            </w:pPr>
            <w:r w:rsidRPr="007C28A6">
              <w:rPr>
                <w:rFonts w:ascii="Calibri" w:eastAsia="SimSun" w:hAnsi="Calibri" w:cs="Calibri"/>
                <w:noProof/>
                <w:sz w:val="22"/>
                <w:szCs w:val="22"/>
                <w:lang w:eastAsia="en-US"/>
              </w:rPr>
              <w:t>9. </w:t>
            </w:r>
            <w:bookmarkEnd w:id="41"/>
            <w:r w:rsidRPr="007C28A6">
              <w:rPr>
                <w:rFonts w:ascii="Calibri" w:eastAsia="SimSun" w:hAnsi="Calibri" w:cs="Calibri"/>
                <w:noProof/>
                <w:sz w:val="22"/>
                <w:szCs w:val="22"/>
                <w:lang w:eastAsia="en-US"/>
              </w:rPr>
              <w:tab/>
              <w:t>Eekers D.B., et al. </w:t>
            </w:r>
            <w:r w:rsidRPr="00900891">
              <w:rPr>
                <w:rFonts w:eastAsia="SimSun"/>
                <w:i/>
                <w:iCs/>
                <w:noProof/>
                <w:sz w:val="22"/>
                <w:szCs w:val="22"/>
                <w:lang w:val="en-US" w:eastAsia="en-US"/>
              </w:rPr>
              <w:t>Update of the EPTN atlas for CT- and MR-based contouring in Neuro-Oncology.</w:t>
            </w:r>
            <w:r w:rsidRPr="008B568A">
              <w:rPr>
                <w:rFonts w:ascii="Calibri" w:eastAsia="SimSun" w:hAnsi="Calibri" w:cs="Calibri"/>
                <w:noProof/>
                <w:sz w:val="22"/>
                <w:szCs w:val="22"/>
                <w:lang w:val="en-US" w:eastAsia="en-US"/>
              </w:rPr>
              <w:t> Radiother Oncol., 2021. </w:t>
            </w:r>
            <w:r w:rsidRPr="008B568A">
              <w:rPr>
                <w:rFonts w:eastAsia="SimSun"/>
                <w:b/>
                <w:bCs/>
                <w:noProof/>
                <w:sz w:val="22"/>
                <w:szCs w:val="22"/>
                <w:lang w:val="en-US" w:eastAsia="en-US"/>
              </w:rPr>
              <w:t>160</w:t>
            </w:r>
            <w:r w:rsidRPr="008B568A">
              <w:rPr>
                <w:rFonts w:ascii="Calibri" w:eastAsia="SimSun" w:hAnsi="Calibri" w:cs="Calibri"/>
                <w:noProof/>
                <w:sz w:val="22"/>
                <w:szCs w:val="22"/>
                <w:lang w:val="en-US" w:eastAsia="en-US"/>
              </w:rPr>
              <w:t>: 259-265. Tilgjengelig fra </w:t>
            </w:r>
            <w:r w:rsidRPr="008B568A" w:rsidR="007C28A6">
              <w:rPr>
                <w:rFonts w:ascii="Calibri" w:eastAsia="SimSun" w:hAnsi="Calibri" w:cs="Calibri"/>
                <w:noProof/>
                <w:sz w:val="22"/>
                <w:szCs w:val="22"/>
                <w:lang w:val="en-US" w:eastAsia="en-US"/>
              </w:rPr>
              <w:t xml:space="preserve"> </w:t>
            </w:r>
            <w:hyperlink r:id="rId13" w:history="1">
              <w:r w:rsidRPr="007C28A6" w:rsidR="007C28A6">
                <w:rPr>
                  <w:rStyle w:val="Hyperlink"/>
                  <w:rFonts w:ascii="Calibri" w:eastAsia="SimSun" w:hAnsi="Calibri" w:cs="Calibri"/>
                  <w:noProof/>
                  <w:sz w:val="22"/>
                  <w:szCs w:val="22"/>
                  <w:lang w:val="en-US" w:eastAsia="en-US"/>
                </w:rPr>
                <w:t>https://doi.org/10.1016/j.radonc.2021.05.013</w:t>
              </w:r>
            </w:hyperlink>
          </w:p>
          <w:p w:rsidR="008B568A" w:rsidP="00066A58" w14:paraId="1377C006" w14:textId="77777777">
            <w:pPr>
              <w:spacing w:line="259" w:lineRule="auto"/>
              <w:rPr>
                <w:color w:val="0000FF"/>
                <w:u w:val="single"/>
              </w:rPr>
            </w:pPr>
          </w:p>
        </w:tc>
      </w:tr>
    </w:tbl>
    <w:bookmarkEnd w:id="32"/>
    <w:p w:rsidR="00935DE6" w:rsidP="00066A58" w14:paraId="3C7432BD" w14:textId="13164CEB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Samme dokument i </w:t>
      </w:r>
      <w:r>
        <w:rPr>
          <w:rFonts w:cstheme="minorHAnsi"/>
        </w:rPr>
        <w:t>eHåndbok</w:t>
      </w:r>
      <w:r>
        <w:rPr>
          <w:rFonts w:cstheme="minorHAnsi"/>
        </w:rPr>
        <w:t xml:space="preserve"> (OUS)</w:t>
      </w:r>
    </w:p>
    <w:p w:rsidR="005E353B" w:rsidP="00066A58" w14:paraId="3F1A4EFB" w14:textId="4880E02E">
      <w:pPr>
        <w:spacing w:line="259" w:lineRule="auto"/>
        <w:rPr>
          <w:rFonts w:cstheme="minorHAnsi"/>
        </w:rPr>
      </w:pPr>
      <w:r>
        <w:t xml:space="preserve">  </w:t>
      </w:r>
      <w:hyperlink r:id="rId21" w:history="1">
        <w:r w:rsidRPr="005E353B" w:rsidR="008D3D64">
          <w:rPr>
            <w:rStyle w:val="Hyperlink"/>
            <w:rFonts w:cstheme="minorHAnsi"/>
          </w:rPr>
          <w:t xml:space="preserve">150796 - Nasjonal retningslinje for protonplanlegging av tumor </w:t>
        </w:r>
        <w:r w:rsidRPr="005E353B" w:rsidR="008D3D64">
          <w:rPr>
            <w:rStyle w:val="Hyperlink"/>
            <w:rFonts w:cstheme="minorHAnsi"/>
          </w:rPr>
          <w:t>cerebri</w:t>
        </w:r>
        <w:r w:rsidRPr="005E353B" w:rsidR="008D3D64">
          <w:rPr>
            <w:rStyle w:val="Hyperlink"/>
            <w:rFonts w:cstheme="minorHAnsi"/>
          </w:rPr>
          <w:t xml:space="preserve"> - del av hjerne</w:t>
        </w:r>
      </w:hyperlink>
    </w:p>
    <w:p w:rsidR="005E353B" w:rsidRPr="009D023B" w:rsidP="00066A58" w14:paraId="5B024D90" w14:textId="77777777">
      <w:pPr>
        <w:spacing w:line="259" w:lineRule="auto"/>
      </w:pPr>
    </w:p>
    <w:p w:rsidR="009D023B" w:rsidRPr="005F0E8F" w:rsidP="00EB12D2" w14:paraId="3C7432BE" w14:textId="27E6BD00">
      <w:pPr>
        <w:pStyle w:val="Heading1"/>
      </w:pPr>
      <w:bookmarkStart w:id="42" w:name="_Toc256000028"/>
      <w:r w:rsidRPr="005F0E8F">
        <w:t>Endringer</w:t>
      </w:r>
      <w:r w:rsidR="00EB12D2">
        <w:t xml:space="preserve"> siden forrige versjon</w:t>
      </w:r>
      <w:bookmarkEnd w:id="42"/>
    </w:p>
    <w:p w:rsidR="009D023B" w:rsidP="00066A58" w14:paraId="3C7432BF" w14:textId="5FF2C65E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Første versjon.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3C7432C0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C7432C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C7432C7" w14:textId="1FB1EDA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C7432C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C7432C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C7432C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C7432CB" w14:textId="06EF26D8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D78859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C7432C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C7432C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C7432C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C7432D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C7432E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C7432E1" w14:textId="64E3819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C7432E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C7432E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C7432E5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C7432C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C7432C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C7432C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Cerebri - Retningslinje for protonplanlegging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C7432C3" w14:textId="77777777">
          <w:pPr>
            <w:pStyle w:val="Header"/>
            <w:jc w:val="left"/>
            <w:rPr>
              <w:sz w:val="12"/>
            </w:rPr>
          </w:pPr>
        </w:p>
        <w:p w:rsidR="00485214" w14:paraId="3C7432C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3C7432C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C7432D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C7432D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C7432D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Cerebri - Retningslinje for protonplanlegging</w:t>
          </w:r>
          <w:r>
            <w:rPr>
              <w:sz w:val="28"/>
            </w:rPr>
            <w:fldChar w:fldCharType="end"/>
          </w:r>
        </w:p>
      </w:tc>
    </w:tr>
    <w:tr w14:paraId="3C7432D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C7432D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Pasientbehandling/Fagprosedyrer/Kreft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C7432D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27.06.2026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C7432D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C7432D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HF/Avdeling for kreftbehandling og medisinsk fysikk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C7432D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C7432D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C7432D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Oddbjørn Straume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C7432D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C7432D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C7432DD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Einar Waldeland, ++++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C7432D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D78859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C7432E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2B18B73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1BE4E65"/>
    <w:multiLevelType w:val="hybridMultilevel"/>
    <w:tmpl w:val="67EAF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A478B"/>
    <w:multiLevelType w:val="hybridMultilevel"/>
    <w:tmpl w:val="EA94C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61543">
    <w:abstractNumId w:val="10"/>
  </w:num>
  <w:num w:numId="2" w16cid:durableId="1351757308">
    <w:abstractNumId w:val="8"/>
  </w:num>
  <w:num w:numId="3" w16cid:durableId="1961834399">
    <w:abstractNumId w:val="3"/>
  </w:num>
  <w:num w:numId="4" w16cid:durableId="14892954">
    <w:abstractNumId w:val="2"/>
  </w:num>
  <w:num w:numId="5" w16cid:durableId="988826131">
    <w:abstractNumId w:val="1"/>
  </w:num>
  <w:num w:numId="6" w16cid:durableId="1606812607">
    <w:abstractNumId w:val="0"/>
  </w:num>
  <w:num w:numId="7" w16cid:durableId="1995062248">
    <w:abstractNumId w:val="9"/>
  </w:num>
  <w:num w:numId="8" w16cid:durableId="1587180320">
    <w:abstractNumId w:val="7"/>
  </w:num>
  <w:num w:numId="9" w16cid:durableId="1398557222">
    <w:abstractNumId w:val="6"/>
  </w:num>
  <w:num w:numId="10" w16cid:durableId="1720323478">
    <w:abstractNumId w:val="5"/>
  </w:num>
  <w:num w:numId="11" w16cid:durableId="2136485737">
    <w:abstractNumId w:val="4"/>
  </w:num>
  <w:num w:numId="12" w16cid:durableId="226886104">
    <w:abstractNumId w:val="11"/>
  </w:num>
  <w:num w:numId="13" w16cid:durableId="1104034692">
    <w:abstractNumId w:val="15"/>
  </w:num>
  <w:num w:numId="14" w16cid:durableId="1947999757">
    <w:abstractNumId w:val="16"/>
  </w:num>
  <w:num w:numId="15" w16cid:durableId="725301663">
    <w:abstractNumId w:val="18"/>
  </w:num>
  <w:num w:numId="16" w16cid:durableId="2060199850">
    <w:abstractNumId w:val="12"/>
  </w:num>
  <w:num w:numId="17" w16cid:durableId="602109314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397215913">
    <w:abstractNumId w:val="14"/>
  </w:num>
  <w:num w:numId="19" w16cid:durableId="435368554">
    <w:abstractNumId w:val="17"/>
  </w:num>
  <w:num w:numId="20" w16cid:durableId="1591347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0DD2"/>
    <w:rsid w:val="00020754"/>
    <w:rsid w:val="000354A8"/>
    <w:rsid w:val="00042992"/>
    <w:rsid w:val="00050E94"/>
    <w:rsid w:val="0005214E"/>
    <w:rsid w:val="00056D52"/>
    <w:rsid w:val="00066A58"/>
    <w:rsid w:val="00067C31"/>
    <w:rsid w:val="000712D0"/>
    <w:rsid w:val="00076677"/>
    <w:rsid w:val="00081F27"/>
    <w:rsid w:val="00083284"/>
    <w:rsid w:val="00097072"/>
    <w:rsid w:val="000A1D6A"/>
    <w:rsid w:val="000A6B2D"/>
    <w:rsid w:val="000B0130"/>
    <w:rsid w:val="000C6A9B"/>
    <w:rsid w:val="000C73DF"/>
    <w:rsid w:val="000C763E"/>
    <w:rsid w:val="000D3C29"/>
    <w:rsid w:val="000D5FFE"/>
    <w:rsid w:val="000D63E4"/>
    <w:rsid w:val="000F1E2B"/>
    <w:rsid w:val="000F32C5"/>
    <w:rsid w:val="000F44D2"/>
    <w:rsid w:val="000F5FC0"/>
    <w:rsid w:val="00101002"/>
    <w:rsid w:val="00115094"/>
    <w:rsid w:val="00117E18"/>
    <w:rsid w:val="00140619"/>
    <w:rsid w:val="00141ACA"/>
    <w:rsid w:val="00144BC1"/>
    <w:rsid w:val="0014578B"/>
    <w:rsid w:val="00150F73"/>
    <w:rsid w:val="00151E16"/>
    <w:rsid w:val="00155765"/>
    <w:rsid w:val="00157C37"/>
    <w:rsid w:val="00161FD5"/>
    <w:rsid w:val="00164E38"/>
    <w:rsid w:val="00176BA5"/>
    <w:rsid w:val="00187793"/>
    <w:rsid w:val="0019138B"/>
    <w:rsid w:val="0019290E"/>
    <w:rsid w:val="001A4CED"/>
    <w:rsid w:val="001B1404"/>
    <w:rsid w:val="001B1D43"/>
    <w:rsid w:val="001B37A6"/>
    <w:rsid w:val="001C094A"/>
    <w:rsid w:val="001C58F3"/>
    <w:rsid w:val="001C68C1"/>
    <w:rsid w:val="001E1DBA"/>
    <w:rsid w:val="001F43D4"/>
    <w:rsid w:val="001F7E88"/>
    <w:rsid w:val="0020110C"/>
    <w:rsid w:val="00203F1E"/>
    <w:rsid w:val="00227AF8"/>
    <w:rsid w:val="00231DC5"/>
    <w:rsid w:val="002375A1"/>
    <w:rsid w:val="00241F65"/>
    <w:rsid w:val="00246C9E"/>
    <w:rsid w:val="0026568C"/>
    <w:rsid w:val="002744C3"/>
    <w:rsid w:val="00281B8D"/>
    <w:rsid w:val="00284EBB"/>
    <w:rsid w:val="00287A2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521C7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1B80"/>
    <w:rsid w:val="003E25C1"/>
    <w:rsid w:val="003E4741"/>
    <w:rsid w:val="003E53AC"/>
    <w:rsid w:val="003E66DF"/>
    <w:rsid w:val="003F4A3C"/>
    <w:rsid w:val="00407B78"/>
    <w:rsid w:val="00411E8A"/>
    <w:rsid w:val="004252FB"/>
    <w:rsid w:val="00437DED"/>
    <w:rsid w:val="00442148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353B"/>
    <w:rsid w:val="005F02A6"/>
    <w:rsid w:val="005F0E8F"/>
    <w:rsid w:val="0060108C"/>
    <w:rsid w:val="00606A4F"/>
    <w:rsid w:val="00611A93"/>
    <w:rsid w:val="00611B44"/>
    <w:rsid w:val="00617242"/>
    <w:rsid w:val="006411BB"/>
    <w:rsid w:val="006479E1"/>
    <w:rsid w:val="00650773"/>
    <w:rsid w:val="00652242"/>
    <w:rsid w:val="0067105D"/>
    <w:rsid w:val="006720B2"/>
    <w:rsid w:val="00680CF5"/>
    <w:rsid w:val="00693B1B"/>
    <w:rsid w:val="00697362"/>
    <w:rsid w:val="006B1529"/>
    <w:rsid w:val="006B2158"/>
    <w:rsid w:val="006C17D9"/>
    <w:rsid w:val="006C735A"/>
    <w:rsid w:val="006D2D97"/>
    <w:rsid w:val="006D3A08"/>
    <w:rsid w:val="006D4406"/>
    <w:rsid w:val="006D57BF"/>
    <w:rsid w:val="006E06DD"/>
    <w:rsid w:val="006E280B"/>
    <w:rsid w:val="006E2A16"/>
    <w:rsid w:val="006E4AAC"/>
    <w:rsid w:val="006E5645"/>
    <w:rsid w:val="006F6255"/>
    <w:rsid w:val="00707B83"/>
    <w:rsid w:val="00713D7C"/>
    <w:rsid w:val="00727E6C"/>
    <w:rsid w:val="007367F2"/>
    <w:rsid w:val="0076200C"/>
    <w:rsid w:val="0078621E"/>
    <w:rsid w:val="00793756"/>
    <w:rsid w:val="007A0934"/>
    <w:rsid w:val="007A39DA"/>
    <w:rsid w:val="007B28E1"/>
    <w:rsid w:val="007C28A6"/>
    <w:rsid w:val="007C3E55"/>
    <w:rsid w:val="007E4125"/>
    <w:rsid w:val="0080313B"/>
    <w:rsid w:val="00806640"/>
    <w:rsid w:val="008078AB"/>
    <w:rsid w:val="00814F19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3D2D"/>
    <w:rsid w:val="00864BB9"/>
    <w:rsid w:val="0088008E"/>
    <w:rsid w:val="00885802"/>
    <w:rsid w:val="008A218A"/>
    <w:rsid w:val="008B41C0"/>
    <w:rsid w:val="008B568A"/>
    <w:rsid w:val="008B5CBE"/>
    <w:rsid w:val="008B7340"/>
    <w:rsid w:val="008C3A13"/>
    <w:rsid w:val="008C41EB"/>
    <w:rsid w:val="008C797A"/>
    <w:rsid w:val="008D2E78"/>
    <w:rsid w:val="008D33F1"/>
    <w:rsid w:val="008D3D64"/>
    <w:rsid w:val="008E4C99"/>
    <w:rsid w:val="008E56A7"/>
    <w:rsid w:val="008F30D5"/>
    <w:rsid w:val="00900891"/>
    <w:rsid w:val="00903623"/>
    <w:rsid w:val="009039EB"/>
    <w:rsid w:val="00905B0B"/>
    <w:rsid w:val="00907122"/>
    <w:rsid w:val="00907ABE"/>
    <w:rsid w:val="00912F65"/>
    <w:rsid w:val="00916340"/>
    <w:rsid w:val="0091692D"/>
    <w:rsid w:val="00935DE6"/>
    <w:rsid w:val="00940FC5"/>
    <w:rsid w:val="009456D0"/>
    <w:rsid w:val="009472C4"/>
    <w:rsid w:val="009506D3"/>
    <w:rsid w:val="009551B1"/>
    <w:rsid w:val="00957C43"/>
    <w:rsid w:val="00963180"/>
    <w:rsid w:val="00964121"/>
    <w:rsid w:val="00970B24"/>
    <w:rsid w:val="009A2EB0"/>
    <w:rsid w:val="009B041D"/>
    <w:rsid w:val="009B19A9"/>
    <w:rsid w:val="009C4F7A"/>
    <w:rsid w:val="009C6E05"/>
    <w:rsid w:val="009D023B"/>
    <w:rsid w:val="009D072D"/>
    <w:rsid w:val="009D4154"/>
    <w:rsid w:val="009D6480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6190C"/>
    <w:rsid w:val="00A67055"/>
    <w:rsid w:val="00A75A8B"/>
    <w:rsid w:val="00A8428D"/>
    <w:rsid w:val="00A9508B"/>
    <w:rsid w:val="00A96168"/>
    <w:rsid w:val="00AB08E0"/>
    <w:rsid w:val="00AC0D84"/>
    <w:rsid w:val="00AC1A97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326AF"/>
    <w:rsid w:val="00C40A3A"/>
    <w:rsid w:val="00C4283A"/>
    <w:rsid w:val="00C450FE"/>
    <w:rsid w:val="00C47D6B"/>
    <w:rsid w:val="00C5222B"/>
    <w:rsid w:val="00C72834"/>
    <w:rsid w:val="00C72AC2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CF7D0E"/>
    <w:rsid w:val="00D013CC"/>
    <w:rsid w:val="00D03EED"/>
    <w:rsid w:val="00D13046"/>
    <w:rsid w:val="00D22231"/>
    <w:rsid w:val="00D26789"/>
    <w:rsid w:val="00D320CC"/>
    <w:rsid w:val="00D32FD7"/>
    <w:rsid w:val="00D36983"/>
    <w:rsid w:val="00D36A2D"/>
    <w:rsid w:val="00D40E94"/>
    <w:rsid w:val="00D4374F"/>
    <w:rsid w:val="00D53A2C"/>
    <w:rsid w:val="00D54194"/>
    <w:rsid w:val="00D70046"/>
    <w:rsid w:val="00D7283E"/>
    <w:rsid w:val="00D8507D"/>
    <w:rsid w:val="00D948F4"/>
    <w:rsid w:val="00D95FB8"/>
    <w:rsid w:val="00DA0D76"/>
    <w:rsid w:val="00DB372D"/>
    <w:rsid w:val="00DD1C72"/>
    <w:rsid w:val="00DD2FE1"/>
    <w:rsid w:val="00DD5E54"/>
    <w:rsid w:val="00DD7CFF"/>
    <w:rsid w:val="00DE2C1F"/>
    <w:rsid w:val="00DF3584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3FA7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5063"/>
    <w:rsid w:val="00E86FAE"/>
    <w:rsid w:val="00E8758E"/>
    <w:rsid w:val="00E90D68"/>
    <w:rsid w:val="00E96F17"/>
    <w:rsid w:val="00EA1893"/>
    <w:rsid w:val="00EA5771"/>
    <w:rsid w:val="00EB12D2"/>
    <w:rsid w:val="00EB193A"/>
    <w:rsid w:val="00EB3357"/>
    <w:rsid w:val="00EB3728"/>
    <w:rsid w:val="00EB79E9"/>
    <w:rsid w:val="00EB7E0A"/>
    <w:rsid w:val="00EC1A89"/>
    <w:rsid w:val="00ED248C"/>
    <w:rsid w:val="00EE0410"/>
    <w:rsid w:val="00EE3B2D"/>
    <w:rsid w:val="00EF1E17"/>
    <w:rsid w:val="00EF5BB3"/>
    <w:rsid w:val="00F031AE"/>
    <w:rsid w:val="00F163C9"/>
    <w:rsid w:val="00F166F5"/>
    <w:rsid w:val="00F16CEA"/>
    <w:rsid w:val="00F24469"/>
    <w:rsid w:val="00F43A32"/>
    <w:rsid w:val="00F46524"/>
    <w:rsid w:val="00F712A2"/>
    <w:rsid w:val="00F76586"/>
    <w:rsid w:val="00F76DBE"/>
    <w:rsid w:val="00F8392F"/>
    <w:rsid w:val="00F958D6"/>
    <w:rsid w:val="00FB090D"/>
    <w:rsid w:val="00FB2EC4"/>
    <w:rsid w:val="00FB3861"/>
    <w:rsid w:val="00FD0B94"/>
    <w:rsid w:val="00FD1808"/>
    <w:rsid w:val="00FD5284"/>
    <w:rsid w:val="00FD6346"/>
    <w:rsid w:val="00FD64C1"/>
    <w:rsid w:val="00FF5B51"/>
    <w:rsid w:val="00FF672A"/>
    <w:rsid w:val="00FF6C0E"/>
    <w:rsid w:val="00FF6D3F"/>
    <w:rsid w:val="4F8C4DF7"/>
    <w:rsid w:val="6A906CE2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ørste versjon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743289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EB12D2"/>
    <w:pPr>
      <w:numPr>
        <w:numId w:val="16"/>
      </w:numPr>
      <w:spacing w:line="259" w:lineRule="auto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22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E353B"/>
    <w:rPr>
      <w:color w:val="605E5C"/>
      <w:shd w:val="clear" w:color="auto" w:fill="E1DFDD"/>
    </w:rPr>
  </w:style>
  <w:style w:type="table" w:styleId="ListTable4Accent1">
    <w:name w:val="List Table 4 Accent 1"/>
    <w:basedOn w:val="TableNormal"/>
    <w:uiPriority w:val="49"/>
    <w:rsid w:val="009D6480"/>
    <w:rPr>
      <w:rFonts w:eastAsia="SimSun" w:ascii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D6480"/>
    <w:pPr>
      <w:spacing w:after="200"/>
    </w:pPr>
    <w:rPr>
      <w:rFonts w:eastAsia="SimSun" w:cstheme="minorBidi"/>
      <w:i/>
      <w:iCs/>
      <w:color w:val="1F497D" w:themeColor="text2"/>
      <w:sz w:val="18"/>
      <w:szCs w:val="18"/>
      <w:lang w:eastAsia="en-US"/>
    </w:rPr>
  </w:style>
  <w:style w:type="paragraph" w:styleId="NoSpacing">
    <w:name w:val="No Spacing"/>
    <w:uiPriority w:val="1"/>
    <w:qFormat/>
    <w:rsid w:val="009D6480"/>
    <w:rPr>
      <w:rFonts w:eastAsia="SimSun" w:asciiTheme="minorHAnsi" w:hAnsiTheme="minorHAnsi" w:cstheme="minorBidi"/>
      <w:sz w:val="22"/>
      <w:szCs w:val="22"/>
      <w:lang w:eastAsia="en-US"/>
    </w:rPr>
  </w:style>
  <w:style w:type="table" w:styleId="GridTable4Accent1">
    <w:name w:val="Grid Table 4 Accent 1"/>
    <w:basedOn w:val="TableNormal"/>
    <w:uiPriority w:val="49"/>
    <w:rsid w:val="009D6480"/>
    <w:rPr>
      <w:rFonts w:eastAsia="SimSun" w:ascii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EndNoteBibliography">
    <w:name w:val="EndNote Bibliography"/>
    <w:basedOn w:val="Normal"/>
    <w:link w:val="EndNoteBibliographyChar"/>
    <w:rsid w:val="008B568A"/>
    <w:pPr>
      <w:spacing w:after="200"/>
    </w:pPr>
    <w:rPr>
      <w:rFonts w:ascii="Calibri" w:eastAsia="SimSun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B568A"/>
    <w:rPr>
      <w:rFonts w:ascii="Calibri" w:eastAsia="SimSun" w:hAnsi="Calibri" w:cs="Calibri"/>
      <w:noProof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8B568A"/>
    <w:rPr>
      <w:i/>
      <w:iCs/>
    </w:rPr>
  </w:style>
  <w:style w:type="character" w:customStyle="1" w:styleId="identifier">
    <w:name w:val="identifier"/>
    <w:basedOn w:val="DefaultParagraphFont"/>
    <w:rsid w:val="008B568A"/>
  </w:style>
  <w:style w:type="character" w:customStyle="1" w:styleId="id-label">
    <w:name w:val="id-label"/>
    <w:basedOn w:val="DefaultParagraphFont"/>
    <w:rsid w:val="008B568A"/>
  </w:style>
  <w:style w:type="character" w:customStyle="1" w:styleId="anchor-text">
    <w:name w:val="anchor-text"/>
    <w:basedOn w:val="DefaultParagraphFont"/>
    <w:rsid w:val="008B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helsedirektoratet.no/retningslinjer/hjernesvulster-generelt-hos-voksne-handlingsprogram/diagnostikk-og-utredning/bildediagnostiske-undersokelser-av-svulster-i-sentralnervesystemet" TargetMode="External" /><Relationship Id="rId11" Type="http://schemas.openxmlformats.org/officeDocument/2006/relationships/hyperlink" Target="https://dsa.no/sok/_/attachment/inline/401a60b3-b7db-4c4a-b741-da0a70c43b20:f0c3325a0ec4a43b2335cf17df266e4e7c34408c/Teknisk%20dokument16_rev.pdf" TargetMode="External" /><Relationship Id="rId12" Type="http://schemas.openxmlformats.org/officeDocument/2006/relationships/hyperlink" Target="https://doi.org/10.1016/j.radonc.2017.12.013" TargetMode="External" /><Relationship Id="rId13" Type="http://schemas.openxmlformats.org/officeDocument/2006/relationships/hyperlink" Target="https://doi.org/10.1016/j.radonc.2021.05.013" TargetMode="External" /><Relationship Id="rId14" Type="http://schemas.openxmlformats.org/officeDocument/2006/relationships/hyperlink" Target="https://kvalitet.helse-bergen.no/docs/pub/dok78857.htm" TargetMode="External" /><Relationship Id="rId15" Type="http://schemas.openxmlformats.org/officeDocument/2006/relationships/hyperlink" Target="https://dsa.no/publikasjoner/_/attachment/inline/a5d17cc9-d8fa-4138-8ffc-c091eb2d122e:db1b583d5d4b878b3311ab387f73b96ab89ccc3a/Teknisk%20dokument%2029%20Toleransedoser%20og%20anbefalte%20dosegrenser%20til%20risikoorganer%20ved%20str%C3%A5lebehandling%20av%20sentralnervesystemet%20.pdf" TargetMode="External" /><Relationship Id="rId16" Type="http://schemas.openxmlformats.org/officeDocument/2006/relationships/hyperlink" Target="https://kvalitet.helse-bergen.no/docs/pub/dok78846.htm" TargetMode="External" /><Relationship Id="rId17" Type="http://schemas.openxmlformats.org/officeDocument/2006/relationships/hyperlink" Target="https://www.helsedirektoratet.no/retningslinjer/diffuse-gliomer-hos-voksne-handlingsprogram" TargetMode="External" /><Relationship Id="rId18" Type="http://schemas.openxmlformats.org/officeDocument/2006/relationships/hyperlink" Target="https://www.helsedirektoratet.no/retningslinjer/meningeomer-hos-voksne-handlingsprogram" TargetMode="External" /><Relationship Id="rId19" Type="http://schemas.openxmlformats.org/officeDocument/2006/relationships/hyperlink" Target="https://www.helsedirektoratet.no/retningslinjer/hypofyseadenomer-handlingsprogra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dsa.no/publikasjoner/_/attachment/inline/401a60b3-b7db-4c4a-b741-da0a70c43b20:f0c3325a0ec4a43b2335cf17df266e4e7c34408c/Teknisk%20dokument16_rev.pdf" TargetMode="External" /><Relationship Id="rId21" Type="http://schemas.openxmlformats.org/officeDocument/2006/relationships/hyperlink" Target="https://ehandboken.ous-hf.no/document/150796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footer" Target="footer1.xml" /><Relationship Id="rId25" Type="http://schemas.openxmlformats.org/officeDocument/2006/relationships/footer" Target="footer2.xml" /><Relationship Id="rId26" Type="http://schemas.openxmlformats.org/officeDocument/2006/relationships/header" Target="header3.xml" /><Relationship Id="rId27" Type="http://schemas.openxmlformats.org/officeDocument/2006/relationships/footer" Target="footer3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78861.htm" TargetMode="External" /><Relationship Id="rId6" Type="http://schemas.openxmlformats.org/officeDocument/2006/relationships/hyperlink" Target="https://www.helsedirektoratet.no/tema/kreft/hjernekreft" TargetMode="External" /><Relationship Id="rId7" Type="http://schemas.openxmlformats.org/officeDocument/2006/relationships/hyperlink" Target="https://kvalitet.helse-bergen.no/docs/pub/dok78863.htm" TargetMode="External" /><Relationship Id="rId8" Type="http://schemas.openxmlformats.org/officeDocument/2006/relationships/hyperlink" Target="https://kvalitet.helse-bergen.no/docs/pub/dok78855.htm" TargetMode="External" /><Relationship Id="rId9" Type="http://schemas.openxmlformats.org/officeDocument/2006/relationships/hyperlink" Target="https://kvalitet.helse-bergen.no/docs/pub/dok78847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7361C4-D370-4EFD-A698-D43F91442C46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44</TotalTime>
  <Pages>11</Pages>
  <Words>4300</Words>
  <Characters>38353</Characters>
  <Application>Microsoft Office Word</Application>
  <DocSecurity>0</DocSecurity>
  <Lines>319</Lines>
  <Paragraphs>85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Cerebri - Retningslinje for protonplanlegging</vt:lpstr>
      <vt:lpstr>HBHF-mal - stående</vt:lpstr>
    </vt:vector>
  </TitlesOfParts>
  <Company>Datakvalitet</Company>
  <LinksUpToDate>false</LinksUpToDate>
  <CharactersWithSpaces>42568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Cerebri - Retningslinje for protonplanlegging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Ugland, Maren</cp:lastModifiedBy>
  <cp:revision>14</cp:revision>
  <cp:lastPrinted>2006-09-07T08:52:00Z</cp:lastPrinted>
  <dcterms:created xsi:type="dcterms:W3CDTF">2021-12-08T08:43:00Z</dcterms:created>
  <dcterms:modified xsi:type="dcterms:W3CDTF">2024-06-25T09:24:00Z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Cerebri - Retningslinje for protonplanlegging</vt:lpwstr>
  </property>
  <property fmtid="{D5CDD505-2E9C-101B-9397-08002B2CF9AE}" pid="4" name="EK_DokType">
    <vt:lpwstr>Retningslinje</vt:lpwstr>
  </property>
  <property fmtid="{D5CDD505-2E9C-101B-9397-08002B2CF9AE}" pid="5" name="EK_DokumentID">
    <vt:lpwstr>D78859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27.06.2024</vt:lpwstr>
  </property>
  <property fmtid="{D5CDD505-2E9C-101B-9397-08002B2CF9AE}" pid="8" name="EK_GjelderTil">
    <vt:lpwstr>27.06.2026</vt:lpwstr>
  </property>
  <property fmtid="{D5CDD505-2E9C-101B-9397-08002B2CF9AE}" pid="9" name="EK_Merknad">
    <vt:lpwstr>[Merknad]</vt:lpwstr>
  </property>
  <property fmtid="{D5CDD505-2E9C-101B-9397-08002B2CF9AE}" pid="10" name="EK_RefNr">
    <vt:lpwstr>3.1.2.5.9.4.1-03</vt:lpwstr>
  </property>
  <property fmtid="{D5CDD505-2E9C-101B-9397-08002B2CF9AE}" pid="11" name="EK_S00MT1">
    <vt:lpwstr>Helse Bergen HF/Avdeling for kreftbehandling og medisinsk fysikk</vt:lpwstr>
  </property>
  <property fmtid="{D5CDD505-2E9C-101B-9397-08002B2CF9AE}" pid="12" name="EK_S01MT3">
    <vt:lpwstr>Pasientbehandling/Fagprosedyrer/Kreft</vt:lpwstr>
  </property>
  <property fmtid="{D5CDD505-2E9C-101B-9397-08002B2CF9AE}" pid="13" name="EK_Signatur">
    <vt:lpwstr>Oddbjørn Straume</vt:lpwstr>
  </property>
  <property fmtid="{D5CDD505-2E9C-101B-9397-08002B2CF9AE}" pid="14" name="EK_UText1">
    <vt:lpwstr>Einar Waldeland, ++++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b37b8558-9033-41c7-8abb-f8c725106179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2024-06-21T14:26:43Z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XD78846">
    <vt:lpwstr>3.1.2.5.9.4.1-07</vt:lpwstr>
  </property>
  <property fmtid="{D5CDD505-2E9C-101B-9397-08002B2CF9AE}" pid="25" name="XD78847">
    <vt:lpwstr>3.1.2.5.9.4.1-09</vt:lpwstr>
  </property>
  <property fmtid="{D5CDD505-2E9C-101B-9397-08002B2CF9AE}" pid="26" name="XD78855">
    <vt:lpwstr>3.1.2.5.9.4.1-06</vt:lpwstr>
  </property>
  <property fmtid="{D5CDD505-2E9C-101B-9397-08002B2CF9AE}" pid="27" name="XD78857">
    <vt:lpwstr>3.1.2.5.9.4.1-11</vt:lpwstr>
  </property>
  <property fmtid="{D5CDD505-2E9C-101B-9397-08002B2CF9AE}" pid="28" name="XD78861">
    <vt:lpwstr>3.1.2.5.9.4.1-01</vt:lpwstr>
  </property>
  <property fmtid="{D5CDD505-2E9C-101B-9397-08002B2CF9AE}" pid="29" name="XD78863">
    <vt:lpwstr>3.1.2.5.9.4.1-08</vt:lpwstr>
  </property>
  <property fmtid="{D5CDD505-2E9C-101B-9397-08002B2CF9AE}" pid="30" name="XDF78846">
    <vt:lpwstr>Fiksering av hode , hals og CNS-nevroakse ved protonbehandling (voksen/pediatri) Retningslinje.</vt:lpwstr>
  </property>
  <property fmtid="{D5CDD505-2E9C-101B-9397-08002B2CF9AE}" pid="31" name="XDF78847">
    <vt:lpwstr>Håndtering av implantat og artefakter ved protonbehandling</vt:lpwstr>
  </property>
  <property fmtid="{D5CDD505-2E9C-101B-9397-08002B2CF9AE}" pid="32" name="XDF78855">
    <vt:lpwstr>Protonfiksering - oversikt</vt:lpwstr>
  </property>
  <property fmtid="{D5CDD505-2E9C-101B-9397-08002B2CF9AE}" pid="33" name="XDF78857">
    <vt:lpwstr>Protonbehandling - prosedyre for gjennomføring</vt:lpwstr>
  </property>
  <property fmtid="{D5CDD505-2E9C-101B-9397-08002B2CF9AE}" pid="34" name="XDF78861">
    <vt:lpwstr>Barn - Retningslinje for protonplanlegging</vt:lpwstr>
  </property>
  <property fmtid="{D5CDD505-2E9C-101B-9397-08002B2CF9AE}" pid="35" name="XDF78863">
    <vt:lpwstr>Avbildning for protonterapi - retningslinje</vt:lpwstr>
  </property>
  <property fmtid="{D5CDD505-2E9C-101B-9397-08002B2CF9AE}" pid="36" name="XDL78846">
    <vt:lpwstr>3.1.2.5.9.4.1-07 Fiksering av hode , hals og CNS-nevroakse ved protonbehandling (voksen/pediatri) Retningslinje.</vt:lpwstr>
  </property>
  <property fmtid="{D5CDD505-2E9C-101B-9397-08002B2CF9AE}" pid="37" name="XDL78847">
    <vt:lpwstr>3.1.2.5.9.4.1-09 Håndtering av implantat og artefakter ved protonbehandling</vt:lpwstr>
  </property>
  <property fmtid="{D5CDD505-2E9C-101B-9397-08002B2CF9AE}" pid="38" name="XDL78855">
    <vt:lpwstr>3.1.2.5.9.4.1-06 Protonfiksering - oversikt</vt:lpwstr>
  </property>
  <property fmtid="{D5CDD505-2E9C-101B-9397-08002B2CF9AE}" pid="39" name="XDL78857">
    <vt:lpwstr>3.1.2.5.9.4.1-11 Protonbehandling - prosedyre for gjennomføring</vt:lpwstr>
  </property>
  <property fmtid="{D5CDD505-2E9C-101B-9397-08002B2CF9AE}" pid="40" name="XDL78861">
    <vt:lpwstr>3.1.2.5.9.4.1-01 Barn - Retningslinje for protonplanlegging</vt:lpwstr>
  </property>
  <property fmtid="{D5CDD505-2E9C-101B-9397-08002B2CF9AE}" pid="41" name="XDL78863">
    <vt:lpwstr>3.1.2.5.9.4.1-08 Avbildning for protonterapi - retningslinje</vt:lpwstr>
  </property>
  <property fmtid="{D5CDD505-2E9C-101B-9397-08002B2CF9AE}" pid="42" name="XDT78846">
    <vt:lpwstr>Fiksering av hode , hals og CNS-nevroakse ved protonbehandling (voksen/pediatri) Retningslinje.</vt:lpwstr>
  </property>
  <property fmtid="{D5CDD505-2E9C-101B-9397-08002B2CF9AE}" pid="43" name="XDT78847">
    <vt:lpwstr>Håndtering av implantat og artefakter ved protonbehandling</vt:lpwstr>
  </property>
  <property fmtid="{D5CDD505-2E9C-101B-9397-08002B2CF9AE}" pid="44" name="XDT78855">
    <vt:lpwstr>Protonfiksering - oversikt</vt:lpwstr>
  </property>
  <property fmtid="{D5CDD505-2E9C-101B-9397-08002B2CF9AE}" pid="45" name="XDT78857">
    <vt:lpwstr>Protonbehandling - prosedyre for gjennomføring</vt:lpwstr>
  </property>
  <property fmtid="{D5CDD505-2E9C-101B-9397-08002B2CF9AE}" pid="46" name="XDT78861">
    <vt:lpwstr>Barn - Retningslinje for protonplanlegging</vt:lpwstr>
  </property>
  <property fmtid="{D5CDD505-2E9C-101B-9397-08002B2CF9AE}" pid="47" name="XDT78863">
    <vt:lpwstr>Avbildning for protonterapi - retningslinje</vt:lpwstr>
  </property>
</Properties>
</file>