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5CB31812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15128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 w:rsidR="005622FF">
              <w:rPr>
                <w:rStyle w:val="Hyperlink"/>
              </w:rPr>
              <w:t xml:space="preserve"> og 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15128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Oversikt over protonfiksering for ulike behandlingsregioner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15128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15128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  <w:rPr>
              <w:b/>
              <w:bCs/>
            </w:rPr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83688C" w:rsidRPr="0083688C" w:rsidP="0083688C" w14:paraId="3E080F85" w14:textId="5E42375F">
      <w:pPr>
        <w:textAlignment w:val="baseline"/>
        <w:rPr>
          <w:rFonts w:ascii="Segoe UI" w:hAnsi="Segoe UI" w:cs="Segoe UI"/>
          <w:sz w:val="18"/>
          <w:szCs w:val="18"/>
        </w:rPr>
      </w:pPr>
      <w:r w:rsidRPr="0083688C">
        <w:rPr>
          <w:rFonts w:ascii="Calibri" w:hAnsi="Calibri" w:cs="Calibri"/>
          <w:i/>
          <w:iCs/>
          <w:color w:val="E36C0A"/>
          <w:sz w:val="22"/>
          <w:szCs w:val="22"/>
        </w:rPr>
        <w:t>OBS! Majoriteten av anbefalinger i dette</w:t>
      </w:r>
      <w:r w:rsidR="005622FF">
        <w:rPr>
          <w:rFonts w:ascii="Calibri" w:hAnsi="Calibri" w:cs="Calibri"/>
          <w:i/>
          <w:iCs/>
          <w:color w:val="E36C0A"/>
          <w:sz w:val="22"/>
          <w:szCs w:val="22"/>
        </w:rPr>
        <w:t xml:space="preserve"> dokumentet</w:t>
      </w:r>
      <w:r w:rsidRPr="0083688C">
        <w:rPr>
          <w:rFonts w:ascii="Calibri" w:hAnsi="Calibri" w:cs="Calibri"/>
          <w:i/>
          <w:iCs/>
          <w:color w:val="E36C0A"/>
          <w:sz w:val="22"/>
          <w:szCs w:val="22"/>
        </w:rPr>
        <w:t xml:space="preserve"> er tentative. Det kreves uttesting og diskusjoner for å etablere endelige anbefalinger.</w:t>
      </w:r>
      <w:r w:rsidRPr="0083688C">
        <w:rPr>
          <w:rFonts w:ascii="Calibri" w:hAnsi="Calibri" w:cs="Calibri"/>
          <w:color w:val="E36C0A"/>
          <w:sz w:val="22"/>
          <w:szCs w:val="22"/>
        </w:rPr>
        <w:t> </w:t>
      </w:r>
    </w:p>
    <w:p w:rsidR="0083688C" w:rsidP="00066A58" w14:paraId="2CA71EA0" w14:textId="77777777">
      <w:pPr>
        <w:spacing w:line="259" w:lineRule="auto"/>
      </w:pPr>
    </w:p>
    <w:p w:rsidR="00CB3EB0" w:rsidP="00066A58" w14:paraId="5CB3181C" w14:textId="1B02DB09">
      <w:pPr>
        <w:pStyle w:val="Heading1"/>
        <w:spacing w:line="259" w:lineRule="auto"/>
      </w:pPr>
      <w:bookmarkStart w:id="1" w:name="_Toc256000000"/>
      <w:r>
        <w:t>Hensikt</w:t>
      </w:r>
      <w:r w:rsidR="005622FF">
        <w:t xml:space="preserve"> og omfang</w:t>
      </w:r>
      <w:bookmarkEnd w:id="1"/>
    </w:p>
    <w:p w:rsidR="0083688C" w:rsidRPr="0083688C" w:rsidP="0083688C" w14:paraId="5D0E7DD7" w14:textId="77777777">
      <w:pPr>
        <w:textAlignment w:val="baseline"/>
        <w:rPr>
          <w:rFonts w:ascii="Segoe UI" w:hAnsi="Segoe UI" w:cs="Segoe UI"/>
          <w:color w:val="365F91"/>
          <w:sz w:val="18"/>
          <w:szCs w:val="18"/>
        </w:rPr>
      </w:pPr>
      <w:r w:rsidRPr="0083688C">
        <w:rPr>
          <w:rFonts w:ascii="Calibri" w:hAnsi="Calibri" w:cs="Calibri"/>
          <w:sz w:val="22"/>
          <w:szCs w:val="22"/>
        </w:rPr>
        <w:t xml:space="preserve">Formålet med dokumentet er å gi stråleterapeuter og fysikere en rask oversikt over standardutstyr for voksne pasienter som brukes ved fiksering av </w:t>
      </w:r>
      <w:r w:rsidRPr="0083688C">
        <w:rPr>
          <w:rFonts w:ascii="Calibri" w:hAnsi="Calibri" w:cs="Calibri"/>
          <w:sz w:val="22"/>
          <w:szCs w:val="22"/>
        </w:rPr>
        <w:t>pasienter med protontilpasset fikseringsutstyr. </w:t>
      </w:r>
    </w:p>
    <w:p w:rsidR="00DF7BA8" w:rsidRPr="00DF7BA8" w:rsidP="00066A58" w14:paraId="5CB3181D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83688C" w:rsidRPr="0083688C" w:rsidP="0083688C" w14:paraId="239B2D20" w14:textId="4F6DCAFD">
      <w:pPr>
        <w:pStyle w:val="Heading1"/>
        <w:spacing w:line="259" w:lineRule="auto"/>
      </w:pPr>
      <w:bookmarkStart w:id="2" w:name="_Toc256000001"/>
      <w:r>
        <w:t>Oversikt over protonfiksering for ulike behandlingsregioner</w:t>
      </w:r>
      <w:bookmarkEnd w:id="2"/>
    </w:p>
    <w:p w:rsidR="0083688C" w:rsidP="0083688C" w14:paraId="131EEC56" w14:textId="1DDDEBB1">
      <w:pPr>
        <w:textAlignment w:val="baseline"/>
        <w:rPr>
          <w:rFonts w:cstheme="minorHAnsi"/>
          <w:szCs w:val="24"/>
        </w:rPr>
      </w:pPr>
      <w:r w:rsidRPr="00FB4BAA">
        <w:rPr>
          <w:rFonts w:cstheme="minorHAnsi"/>
          <w:szCs w:val="24"/>
        </w:rPr>
        <w:t>Barn må i større grad vurderes individuelt pga. høyde, skuld</w:t>
      </w:r>
      <w:r w:rsidR="009362D2">
        <w:rPr>
          <w:rFonts w:cstheme="minorHAnsi"/>
          <w:szCs w:val="24"/>
        </w:rPr>
        <w:t>e</w:t>
      </w:r>
      <w:r w:rsidRPr="00FB4BAA">
        <w:rPr>
          <w:rFonts w:cstheme="minorHAnsi"/>
          <w:szCs w:val="24"/>
        </w:rPr>
        <w:t>rb</w:t>
      </w:r>
      <w:r w:rsidRPr="00FB4BAA">
        <w:rPr>
          <w:rFonts w:cstheme="minorHAnsi"/>
          <w:szCs w:val="24"/>
        </w:rPr>
        <w:t xml:space="preserve">redde og andre anatomiske ulikheter. Fikseringen er i stor grad lik som for voksne </w:t>
      </w:r>
      <w:r w:rsidRPr="00FB4BAA">
        <w:rPr>
          <w:rFonts w:cstheme="minorHAnsi"/>
          <w:szCs w:val="24"/>
        </w:rPr>
        <w:t>(se tabell 1), men hvor det finnes varianter av fikseringsutstyret som er tilpasset barn og ungdom. For mer detaljert informasjon se retningslinjen for den aktuelle regionen i tabell 1. </w:t>
      </w:r>
    </w:p>
    <w:p w:rsidR="009362D2" w:rsidRPr="00FB4BAA" w:rsidP="0083688C" w14:paraId="6BB663C7" w14:textId="77777777">
      <w:pPr>
        <w:textAlignment w:val="baseline"/>
        <w:rPr>
          <w:rFonts w:cstheme="minorHAnsi"/>
          <w:szCs w:val="24"/>
        </w:rPr>
      </w:pPr>
    </w:p>
    <w:p w:rsidR="0083688C" w:rsidP="0083688C" w14:paraId="245D4C34" w14:textId="77777777">
      <w:pPr>
        <w:textAlignment w:val="baseline"/>
        <w:rPr>
          <w:rFonts w:cstheme="minorHAnsi"/>
          <w:szCs w:val="24"/>
        </w:rPr>
      </w:pPr>
      <w:r w:rsidRPr="00FB4BAA">
        <w:rPr>
          <w:rFonts w:cstheme="minorHAnsi"/>
          <w:szCs w:val="24"/>
        </w:rPr>
        <w:t xml:space="preserve">Fiksering kan avvike fra standardanbefalingene ved behov, men det er viktig å påpeke at det kun skal stråles gjennom verifisert fikseringsutstyr. Hvis det brukes annet fikseringsutstyr skal dette kun brukes utenfor behandlingsområdet. Fikseringsutstyr som </w:t>
      </w:r>
      <w:r w:rsidRPr="00FB4BAA">
        <w:rPr>
          <w:rFonts w:cstheme="minorHAnsi"/>
          <w:szCs w:val="24"/>
        </w:rPr>
        <w:t xml:space="preserve">kan stråles gjennom er: maske, formbar pute, madrass og BoS bordforlenger. Det skal </w:t>
      </w:r>
      <w:r w:rsidRPr="00FB4BAA">
        <w:rPr>
          <w:rFonts w:cstheme="minorHAnsi"/>
          <w:szCs w:val="24"/>
          <w:u w:val="single"/>
        </w:rPr>
        <w:t>ikke</w:t>
      </w:r>
      <w:r w:rsidRPr="005622FF">
        <w:rPr>
          <w:rFonts w:cstheme="minorHAnsi"/>
          <w:szCs w:val="24"/>
        </w:rPr>
        <w:t xml:space="preserve"> </w:t>
      </w:r>
      <w:r w:rsidRPr="00FB4BAA">
        <w:rPr>
          <w:rFonts w:cstheme="minorHAnsi"/>
          <w:szCs w:val="24"/>
        </w:rPr>
        <w:t>stråles gjennom vakuumbag, som må plasseres utenfor behandlingsområdet hvis det skal brukes ved fiksering</w:t>
      </w:r>
      <w:r w:rsidRPr="00FB4BAA">
        <w:rPr>
          <w:rFonts w:cstheme="minorHAnsi"/>
          <w:szCs w:val="24"/>
          <w:vertAlign w:val="superscript"/>
        </w:rPr>
        <w:t>1</w:t>
      </w:r>
      <w:r w:rsidRPr="00FB4BAA">
        <w:rPr>
          <w:rFonts w:cstheme="minorHAnsi"/>
          <w:szCs w:val="24"/>
        </w:rPr>
        <w:t>. </w:t>
      </w:r>
    </w:p>
    <w:p w:rsidR="009362D2" w:rsidRPr="00FB4BAA" w:rsidP="0083688C" w14:paraId="6A924567" w14:textId="77777777">
      <w:pPr>
        <w:textAlignment w:val="baseline"/>
        <w:rPr>
          <w:rFonts w:cstheme="minorHAnsi"/>
          <w:szCs w:val="24"/>
        </w:rPr>
      </w:pPr>
    </w:p>
    <w:p w:rsidR="0083688C" w:rsidRPr="002F55E9" w:rsidP="0083688C" w14:paraId="2A4119C5" w14:textId="087D6C2B">
      <w:pPr>
        <w:textAlignment w:val="baseline"/>
        <w:rPr>
          <w:rFonts w:cstheme="minorHAnsi"/>
          <w:i/>
          <w:iCs/>
          <w:color w:val="1F497D"/>
          <w:sz w:val="18"/>
          <w:szCs w:val="18"/>
        </w:rPr>
      </w:pPr>
      <w:r w:rsidRPr="002F55E9">
        <w:rPr>
          <w:rFonts w:cstheme="minorHAnsi"/>
          <w:i/>
          <w:iCs/>
          <w:color w:val="1F497D"/>
          <w:sz w:val="18"/>
          <w:szCs w:val="18"/>
        </w:rPr>
        <w:t xml:space="preserve">Tabell </w:t>
      </w:r>
      <w:r w:rsidRPr="002F55E9">
        <w:rPr>
          <w:rFonts w:cstheme="minorHAnsi"/>
          <w:i/>
          <w:iCs/>
          <w:color w:val="1F497D"/>
          <w:sz w:val="18"/>
          <w:szCs w:val="18"/>
          <w:shd w:val="clear" w:color="auto" w:fill="E1E3E6"/>
        </w:rPr>
        <w:t>1</w:t>
      </w:r>
      <w:r w:rsidRPr="002F55E9">
        <w:rPr>
          <w:rFonts w:cstheme="minorHAnsi"/>
          <w:i/>
          <w:iCs/>
          <w:color w:val="1F497D"/>
          <w:sz w:val="18"/>
          <w:szCs w:val="18"/>
        </w:rPr>
        <w:t>: Overordnet oversikt for protonfiksering for voks</w:t>
      </w:r>
      <w:r w:rsidRPr="002F55E9">
        <w:rPr>
          <w:rFonts w:cstheme="minorHAnsi"/>
          <w:i/>
          <w:iCs/>
          <w:color w:val="1F497D"/>
          <w:sz w:val="18"/>
          <w:szCs w:val="18"/>
        </w:rPr>
        <w:t>ne. Kan fravike fra standard oppsett der det er nødvendig.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1410"/>
        <w:gridCol w:w="2265"/>
        <w:gridCol w:w="2400"/>
        <w:gridCol w:w="2265"/>
        <w:gridCol w:w="1830"/>
        <w:gridCol w:w="2220"/>
      </w:tblGrid>
      <w:tr w14:paraId="39027B29" w14:textId="77777777" w:rsidTr="0083688C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5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3688C" w:rsidRPr="002F55E9" w:rsidP="0083688C" w14:paraId="1E865AD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b/>
                <w:bCs/>
                <w:sz w:val="22"/>
                <w:szCs w:val="22"/>
              </w:rPr>
              <w:t>Region</w:t>
            </w:r>
            <w:r w:rsidRPr="002F55E9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3688C" w:rsidRPr="002F55E9" w:rsidP="0083688C" w14:paraId="2358578E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b/>
                <w:bCs/>
                <w:sz w:val="22"/>
                <w:szCs w:val="22"/>
              </w:rPr>
              <w:t>Orientering</w:t>
            </w:r>
            <w:r w:rsidRPr="002F55E9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3688C" w:rsidRPr="002F55E9" w:rsidP="0083688C" w14:paraId="0F23ADD1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b/>
                <w:bCs/>
                <w:sz w:val="22"/>
                <w:szCs w:val="22"/>
              </w:rPr>
              <w:t>Insert</w:t>
            </w:r>
            <w:r w:rsidRPr="002F55E9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3688C" w:rsidRPr="002F55E9" w:rsidP="0083688C" w14:paraId="66CFEC7C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b/>
                <w:bCs/>
                <w:sz w:val="22"/>
                <w:szCs w:val="22"/>
              </w:rPr>
              <w:t>Hode</w:t>
            </w:r>
            <w:r w:rsidRPr="002F55E9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3688C" w:rsidRPr="002F55E9" w:rsidP="0083688C" w14:paraId="51B04EC7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b/>
                <w:bCs/>
                <w:sz w:val="22"/>
                <w:szCs w:val="22"/>
              </w:rPr>
              <w:t>Armer</w:t>
            </w:r>
            <w:r w:rsidRPr="002F55E9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3688C" w:rsidRPr="002F55E9" w:rsidP="0083688C" w14:paraId="73CAFA30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b/>
                <w:bCs/>
                <w:sz w:val="22"/>
                <w:szCs w:val="22"/>
              </w:rPr>
              <w:t>Bein</w:t>
            </w:r>
            <w:r w:rsidRPr="002F55E9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3688C" w:rsidRPr="002F55E9" w:rsidP="0083688C" w14:paraId="4CECF1B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b/>
                <w:bCs/>
                <w:sz w:val="22"/>
                <w:szCs w:val="22"/>
              </w:rPr>
              <w:t>Annen fiksering</w:t>
            </w:r>
            <w:r w:rsidRPr="002F55E9">
              <w:rPr>
                <w:rFonts w:cstheme="minorHAnsi"/>
                <w:sz w:val="22"/>
                <w:szCs w:val="22"/>
              </w:rPr>
              <w:t> </w:t>
            </w:r>
          </w:p>
        </w:tc>
      </w:tr>
      <w:tr w14:paraId="1F04C687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735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2F3BA0C6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Hode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D938D5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Supine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0A23266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BoS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9744D32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Kort maske + </w:t>
            </w:r>
          </w:p>
          <w:p w:rsidR="0083688C" w:rsidRPr="002F55E9" w:rsidP="0083688C" w14:paraId="6DC23E5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Kort formbar pute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FDEA53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Håndtak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B75E4F6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Knepute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64DD7600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Madrass </w:t>
            </w:r>
          </w:p>
        </w:tc>
      </w:tr>
      <w:tr w14:paraId="41F1EE3E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1540EB6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Hode &amp; hals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7694B240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Supine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187328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BoS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7AAACA8C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Lang maske +  </w:t>
            </w:r>
          </w:p>
          <w:p w:rsidR="0083688C" w:rsidRPr="002F55E9" w:rsidP="0083688C" w14:paraId="052944B7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Lang formbar pute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B3DCAA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Håndtak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C94BFB7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Knepute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618B8EC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Madrass </w:t>
            </w:r>
          </w:p>
        </w:tc>
      </w:tr>
      <w:tr w14:paraId="587FDF79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794D9AF5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Total CNS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13EB26C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Supine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D4FB82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BoS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065928C9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Lang maske +</w:t>
            </w:r>
            <w:r w:rsidRPr="002F55E9">
              <w:rPr>
                <w:rFonts w:cstheme="minorHAnsi"/>
                <w:strike/>
                <w:sz w:val="22"/>
                <w:szCs w:val="22"/>
              </w:rPr>
              <w:t> </w:t>
            </w:r>
            <w:r w:rsidRPr="002F55E9">
              <w:rPr>
                <w:rFonts w:cstheme="minorHAnsi"/>
                <w:sz w:val="22"/>
                <w:szCs w:val="22"/>
              </w:rPr>
              <w:t> </w:t>
            </w:r>
          </w:p>
          <w:p w:rsidR="0083688C" w:rsidRPr="002F55E9" w:rsidP="0083688C" w14:paraId="257E4E5C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Lang formbar pute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7990E0C2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Håndtak 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60B5B4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Knepute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CBA774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Madrass </w:t>
            </w:r>
          </w:p>
        </w:tc>
      </w:tr>
      <w:tr w14:paraId="4BC7D0C3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3CAD13A0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Hjerne-T4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6D6C5D4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087034A7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3A0ADF4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63E47D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E564FD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042551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</w:tr>
      <w:tr w14:paraId="2F9EC8E6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4BA0AE84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T4-T10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6E53EA72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456183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5EBD91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3F4ECE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6320D3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93133D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</w:tr>
      <w:tr w14:paraId="5C9BE623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798DFAD0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T10-S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6DC06E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201CA2C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9B5D64C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FEAF30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37B4AE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BF68D6A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</w:tr>
      <w:tr w14:paraId="0469F071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63D8A341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Bryst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08FBECF4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3BDF52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6973A37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4526665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82EEE95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7B83A550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</w:tr>
      <w:tr w14:paraId="7AA98B23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6F39D49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Lunge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89ED319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01518F6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646B55A7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04C1E20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D08F1C6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7B2FFA7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</w:tr>
      <w:tr w14:paraId="4DF8C6D6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554BB620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Øsofagus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496BF91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64004A1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0FE5DFE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968BA61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1C304A9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196B70A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</w:tr>
      <w:tr w14:paraId="1DD6FD31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5BF0CF2A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Abdomen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0486CC7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3581E510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33D575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734BF40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3DE7BF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49460267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</w:tr>
      <w:tr w14:paraId="0790CB50" w14:textId="77777777" w:rsidTr="0083688C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3688C" w:rsidRPr="002F55E9" w:rsidP="0083688C" w14:paraId="5BBBF71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Bekken 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5504548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22C7B7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F8960B2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744F45AE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20312D2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688C" w:rsidRPr="002F55E9" w:rsidP="0083688C" w14:paraId="199F190D" w14:textId="77777777">
            <w:pPr>
              <w:textAlignment w:val="baseline"/>
              <w:rPr>
                <w:rFonts w:cstheme="minorHAnsi"/>
                <w:szCs w:val="24"/>
              </w:rPr>
            </w:pPr>
            <w:r w:rsidRPr="002F55E9">
              <w:rPr>
                <w:rFonts w:cstheme="minorHAnsi"/>
                <w:sz w:val="22"/>
                <w:szCs w:val="22"/>
              </w:rPr>
              <w:t>- </w:t>
            </w:r>
          </w:p>
        </w:tc>
      </w:tr>
    </w:tbl>
    <w:p w:rsidR="00510BDF" w:rsidP="00D56F99" w14:paraId="5CB31827" w14:textId="1FF2BCF6">
      <w:pPr>
        <w:textAlignment w:val="baseline"/>
        <w:rPr>
          <w:rFonts w:cstheme="minorHAnsi"/>
        </w:rPr>
      </w:pPr>
      <w:r w:rsidRPr="0083688C">
        <w:rPr>
          <w:rFonts w:ascii="Calibri" w:hAnsi="Calibri" w:cs="Calibri"/>
          <w:sz w:val="22"/>
          <w:szCs w:val="22"/>
        </w:rPr>
        <w:t> </w:t>
      </w:r>
    </w:p>
    <w:p w:rsidR="00510BDF" w:rsidP="00066A58" w14:paraId="5CB31828" w14:textId="77777777">
      <w:pPr>
        <w:pStyle w:val="Heading1"/>
        <w:spacing w:line="259" w:lineRule="auto"/>
      </w:pPr>
      <w:bookmarkStart w:id="3" w:name="_Toc256000002"/>
      <w:r>
        <w:t>Referanser</w:t>
      </w:r>
      <w:bookmarkEnd w:id="3"/>
      <w:r>
        <w:t xml:space="preserve"> </w:t>
      </w:r>
    </w:p>
    <w:p w:rsidR="00DF7BA8" w:rsidP="00066A58" w14:paraId="5CB31829" w14:textId="77777777">
      <w:pPr>
        <w:spacing w:line="259" w:lineRule="auto"/>
        <w:rPr>
          <w:rFonts w:cstheme="minorHAnsi"/>
        </w:rPr>
      </w:pPr>
    </w:p>
    <w:p w:rsidR="00510BDF" w:rsidP="00066A58" w14:paraId="5CB3182A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784"/>
        <w:gridCol w:w="113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4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3.1.2.5.9.4.1-01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Barn - Retningslinje for protonplanlegging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3.1.2.5.9.4.1-07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Fiksering av hode , hals og CNS-nevroakse ved protonbehandling (voksen/pediatri) Retningslinje.</w:t>
              </w:r>
            </w:hyperlink>
          </w:p>
        </w:tc>
      </w:tr>
    </w:tbl>
    <w:p w:rsidR="00510BDF" w:rsidP="00066A58" w14:paraId="5CB3182F" w14:textId="77777777">
      <w:pPr>
        <w:spacing w:line="259" w:lineRule="auto"/>
        <w:rPr>
          <w:rFonts w:cstheme="minorHAnsi"/>
        </w:rPr>
      </w:pPr>
      <w:bookmarkEnd w:id="4"/>
    </w:p>
    <w:p w:rsidR="00510BDF" w:rsidP="00066A58" w14:paraId="5CB31830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8"/>
      </w:tblGrid>
      <w:tr w14:paraId="3BE7B44E" w14:textId="77777777" w:rsidTr="009362D2">
        <w:tblPrEx>
          <w:tblW w:w="5000" w:type="pct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362D2" w:rsidRPr="00D56F99" w:rsidP="009362D2" w14:paraId="21FE905B" w14:textId="101AF857">
            <w:pPr>
              <w:numPr>
                <w:ilvl w:val="0"/>
                <w:numId w:val="22"/>
              </w:numPr>
              <w:ind w:left="1080" w:firstLine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56F99">
              <w:rPr>
                <w:rFonts w:ascii="Calibri" w:hAnsi="Calibri" w:cs="Calibri"/>
                <w:sz w:val="22"/>
                <w:szCs w:val="22"/>
              </w:rPr>
              <w:t>Wroe</w:t>
            </w:r>
            <w:r w:rsidRPr="00D56F99">
              <w:rPr>
                <w:rFonts w:ascii="Calibri" w:hAnsi="Calibri" w:cs="Calibri"/>
                <w:sz w:val="22"/>
                <w:szCs w:val="22"/>
              </w:rPr>
              <w:t xml:space="preserve">, A. J., et al. </w:t>
            </w:r>
            <w:r w:rsidRPr="00D56F9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(2014). "Immobilization Considerations for Proton Radiation Therapy." </w:t>
            </w:r>
            <w:r w:rsidRPr="00D56F99">
              <w:rPr>
                <w:rFonts w:ascii="Calibri" w:hAnsi="Calibri" w:cs="Calibri"/>
                <w:sz w:val="22"/>
                <w:szCs w:val="22"/>
              </w:rPr>
              <w:t xml:space="preserve">Technology in Cancer Research &amp; </w:t>
            </w:r>
            <w:r w:rsidRPr="00D56F99">
              <w:rPr>
                <w:rFonts w:ascii="Calibri" w:hAnsi="Calibri" w:cs="Calibri"/>
                <w:sz w:val="22"/>
                <w:szCs w:val="22"/>
              </w:rPr>
              <w:t>Treatment</w:t>
            </w:r>
            <w:r w:rsidRPr="00D56F99">
              <w:rPr>
                <w:rFonts w:ascii="Calibri" w:hAnsi="Calibri" w:cs="Calibri"/>
                <w:sz w:val="22"/>
                <w:szCs w:val="22"/>
              </w:rPr>
              <w:t xml:space="preserve"> 13(3): 217-226. </w:t>
            </w:r>
          </w:p>
          <w:p w:rsidR="00F25F27" w:rsidP="00066A58" w14:paraId="5619EEB7" w14:textId="3DF4B213">
            <w:pPr>
              <w:spacing w:line="259" w:lineRule="auto"/>
              <w:rPr>
                <w:color w:val="0000FF"/>
                <w:u w:val="single"/>
              </w:rPr>
            </w:pPr>
          </w:p>
        </w:tc>
      </w:tr>
    </w:tbl>
    <w:p w:rsidR="009D023B" w:rsidP="00066A58" w14:paraId="5CB31834" w14:textId="585AA0B7">
      <w:pPr>
        <w:spacing w:line="259" w:lineRule="auto"/>
      </w:pPr>
      <w:r>
        <w:t xml:space="preserve">Samme dokument i </w:t>
      </w:r>
      <w:r>
        <w:t>eHåndbok</w:t>
      </w:r>
      <w:r>
        <w:t xml:space="preserve"> (OUS)</w:t>
      </w:r>
    </w:p>
    <w:p w:rsidR="005622FF" w:rsidP="00066A58" w14:paraId="1B745D4F" w14:textId="2EAC2C55">
      <w:pPr>
        <w:spacing w:line="259" w:lineRule="auto"/>
      </w:pPr>
      <w:hyperlink r:id="rId7" w:history="1">
        <w:r w:rsidRPr="005622FF">
          <w:rPr>
            <w:rStyle w:val="Hyperlink"/>
          </w:rPr>
          <w:t>151038 - Nasjonal overordnet oversikt for protonfiksering</w:t>
        </w:r>
      </w:hyperlink>
    </w:p>
    <w:p w:rsidR="00935DE6" w:rsidRPr="009D023B" w:rsidP="00066A58" w14:paraId="5CB31837" w14:textId="77777777">
      <w:pPr>
        <w:spacing w:line="259" w:lineRule="auto"/>
      </w:pPr>
    </w:p>
    <w:p w:rsidR="009D023B" w:rsidRPr="005F0E8F" w:rsidP="00066A58" w14:paraId="5CB31838" w14:textId="77777777">
      <w:pPr>
        <w:pStyle w:val="Heading1"/>
        <w:spacing w:line="259" w:lineRule="auto"/>
      </w:pPr>
      <w:bookmarkStart w:id="5" w:name="_Toc256000003"/>
      <w:r w:rsidRPr="005F0E8F">
        <w:t>Endringer siden forrige versjon</w:t>
      </w:r>
      <w:bookmarkEnd w:id="5"/>
    </w:p>
    <w:p w:rsidR="009D023B" w:rsidP="00066A58" w14:paraId="5CB31839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Første versjon.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5CB3183A" w14:textId="77777777">
      <w:pPr>
        <w:spacing w:line="259" w:lineRule="auto"/>
        <w:rPr>
          <w:rFonts w:cstheme="minorHAnsi"/>
          <w:color w:val="000080"/>
        </w:rPr>
      </w:pPr>
    </w:p>
    <w:sectPr w:rsidSect="00FB4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CB3184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CB31841" w14:textId="149A9B1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CB3184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CB3184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970"/>
      <w:gridCol w:w="3960"/>
      <w:gridCol w:w="5943"/>
      <w:gridCol w:w="2265"/>
    </w:tblGrid>
    <w:tr w14:paraId="5CB31849" w14:textId="77777777" w:rsidTr="005622FF">
      <w:tblPrEx>
        <w:tblW w:w="5000" w:type="pct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981" w:type="pct"/>
          <w:tcBorders>
            <w:right w:val="single" w:sz="4" w:space="0" w:color="auto"/>
          </w:tcBorders>
        </w:tcPr>
        <w:p w:rsidR="009B041D" w:rsidRPr="004568C8" w:rsidP="007E4125" w14:paraId="5CB31845" w14:textId="6DC0B2DC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D78855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308" w:type="pct"/>
          <w:tcBorders>
            <w:right w:val="single" w:sz="4" w:space="0" w:color="auto"/>
          </w:tcBorders>
        </w:tcPr>
        <w:p w:rsidR="009B041D" w:rsidRPr="009B041D" w:rsidP="007E4125" w14:paraId="5CB3184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963" w:type="pct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CB3184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748" w:type="pct"/>
          <w:tcBorders>
            <w:left w:val="single" w:sz="4" w:space="0" w:color="auto"/>
          </w:tcBorders>
        </w:tcPr>
        <w:p w:rsidR="009B041D" w:rsidP="007E4125" w14:paraId="5CB3184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CB3184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50"/>
      <w:gridCol w:w="7848"/>
      <w:gridCol w:w="3240"/>
    </w:tblGrid>
    <w:tr w14:paraId="5CB3185E" w14:textId="77777777" w:rsidTr="005622FF">
      <w:tblPrEx>
        <w:tblW w:w="5000" w:type="pct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1338" w:type="pct"/>
          <w:tcBorders>
            <w:right w:val="single" w:sz="4" w:space="0" w:color="auto"/>
          </w:tcBorders>
        </w:tcPr>
        <w:p w:rsidR="004B40D7" w:rsidRPr="009B041D" w:rsidP="007E4125" w14:paraId="5CB3185B" w14:textId="2833FEBF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592" w:type="pct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CB3185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070" w:type="pct"/>
          <w:tcBorders>
            <w:left w:val="single" w:sz="4" w:space="0" w:color="auto"/>
          </w:tcBorders>
        </w:tcPr>
        <w:p w:rsidR="004B40D7" w:rsidP="007E4125" w14:paraId="5CB3185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CB3185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CB3183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61"/>
      <w:gridCol w:w="1667"/>
    </w:tblGrid>
    <w:tr w14:paraId="5CB3183F" w14:textId="77777777" w:rsidTr="005622FF">
      <w:tblPrEx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4449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CB3183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Protonfiksering - oversikt</w:t>
          </w:r>
          <w:r>
            <w:rPr>
              <w:sz w:val="28"/>
            </w:rPr>
            <w:fldChar w:fldCharType="end"/>
          </w:r>
        </w:p>
      </w:tc>
      <w:tc>
        <w:tcPr>
          <w:tcW w:w="551" w:type="pct"/>
          <w:tcBorders>
            <w:bottom w:val="single" w:sz="4" w:space="0" w:color="auto"/>
            <w:right w:val="single" w:sz="4" w:space="0" w:color="auto"/>
          </w:tcBorders>
        </w:tcPr>
        <w:p w:rsidR="00485214" w14:paraId="5CB3183D" w14:textId="77777777">
          <w:pPr>
            <w:pStyle w:val="Header"/>
            <w:jc w:val="left"/>
            <w:rPr>
              <w:sz w:val="12"/>
            </w:rPr>
          </w:pPr>
        </w:p>
        <w:p w:rsidR="00485214" w14:paraId="5CB3183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5CB3184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905"/>
      <w:gridCol w:w="7724"/>
      <w:gridCol w:w="4499"/>
    </w:tblGrid>
    <w:tr w14:paraId="5CB3184D" w14:textId="77777777" w:rsidTr="005622FF"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960" w:type="pct"/>
          <w:vAlign w:val="center"/>
        </w:tcPr>
        <w:p w:rsidR="00485214" w14:paraId="5CB3184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pct"/>
          <w:gridSpan w:val="2"/>
          <w:vAlign w:val="bottom"/>
        </w:tcPr>
        <w:p w:rsidR="00485214" w14:paraId="5CB3184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Protonfiksering - oversikt</w:t>
          </w:r>
          <w:r>
            <w:rPr>
              <w:sz w:val="28"/>
            </w:rPr>
            <w:fldChar w:fldCharType="end"/>
          </w:r>
        </w:p>
      </w:tc>
    </w:tr>
    <w:tr w14:paraId="5CB31850" w14:textId="77777777" w:rsidTr="005622FF">
      <w:tblPrEx>
        <w:tblW w:w="5000" w:type="pct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3513" w:type="pct"/>
          <w:gridSpan w:val="2"/>
          <w:vAlign w:val="bottom"/>
        </w:tcPr>
        <w:p w:rsidR="00FD5284" w14:paraId="5CB3184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Pasientbehandling/Fagprosedyrer/Kreft</w:t>
          </w:r>
          <w:r>
            <w:rPr>
              <w:sz w:val="16"/>
            </w:rPr>
            <w:fldChar w:fldCharType="end"/>
          </w:r>
        </w:p>
      </w:tc>
      <w:tc>
        <w:tcPr>
          <w:tcW w:w="1487" w:type="pct"/>
          <w:vAlign w:val="bottom"/>
        </w:tcPr>
        <w:p w:rsidR="00FD5284" w:rsidRPr="005F0E8F" w:rsidP="00540375" w14:paraId="5CB3184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CB31853" w14:textId="77777777" w:rsidTr="005622FF">
      <w:tblPrEx>
        <w:tblW w:w="5000" w:type="pct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3513" w:type="pct"/>
          <w:gridSpan w:val="2"/>
        </w:tcPr>
        <w:p w:rsidR="005F0E8F" w14:paraId="5CB3185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HF/Avdeling for kreftbehandling og medisinsk fysikk</w:t>
          </w:r>
          <w:r>
            <w:rPr>
              <w:sz w:val="16"/>
            </w:rPr>
            <w:fldChar w:fldCharType="end"/>
          </w:r>
        </w:p>
      </w:tc>
      <w:tc>
        <w:tcPr>
          <w:tcW w:w="1487" w:type="pct"/>
          <w:vAlign w:val="bottom"/>
        </w:tcPr>
        <w:p w:rsidR="005F0E8F" w14:paraId="5CB3185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</w:instrText>
          </w:r>
          <w:r>
            <w:rPr>
              <w:color w:val="000080"/>
              <w:sz w:val="16"/>
            </w:rPr>
            <w:instrText xml:space="preserve">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5CB31856" w14:textId="77777777" w:rsidTr="005622FF">
      <w:tblPrEx>
        <w:tblW w:w="5000" w:type="pct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3513" w:type="pct"/>
          <w:gridSpan w:val="2"/>
        </w:tcPr>
        <w:p w:rsidR="00FD5284" w:rsidP="00FD5284" w14:paraId="5CB3185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Oddbjørn Straume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1487" w:type="pct"/>
        </w:tcPr>
        <w:p w:rsidR="00FD5284" w:rsidP="00FD5284" w14:paraId="5CB3185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CB31859" w14:textId="77777777" w:rsidTr="005622FF">
      <w:tblPrEx>
        <w:tblW w:w="5000" w:type="pct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3513" w:type="pct"/>
          <w:gridSpan w:val="2"/>
        </w:tcPr>
        <w:p w:rsidR="00FD5284" w:rsidP="00FD5284" w14:paraId="5CB3185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Johan Martin Søbstad, Christoffer Grindbakken Moen, Tone Årberg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1487" w:type="pct"/>
        </w:tcPr>
        <w:p w:rsidR="00FD5284" w14:paraId="5CB3185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D78855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CB3185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259B3"/>
    <w:multiLevelType w:val="multilevel"/>
    <w:tmpl w:val="066CC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511628"/>
    <w:multiLevelType w:val="multilevel"/>
    <w:tmpl w:val="6624D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39775851"/>
    <w:multiLevelType w:val="multilevel"/>
    <w:tmpl w:val="BE66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52E01"/>
    <w:multiLevelType w:val="multilevel"/>
    <w:tmpl w:val="1F880402"/>
    <w:lvl w:ilvl="0">
      <w:start w:val="1"/>
      <w:numFmt w:val="decimal"/>
      <w:lvlText w:val="%1."/>
      <w:lvlJc w:val="left"/>
      <w:pPr>
        <w:tabs>
          <w:tab w:val="num" w:pos="-55"/>
        </w:tabs>
        <w:ind w:left="-55" w:hanging="360"/>
      </w:pPr>
    </w:lvl>
    <w:lvl w:ilvl="1" w:tentative="1">
      <w:start w:val="1"/>
      <w:numFmt w:val="decimal"/>
      <w:lvlText w:val="%2."/>
      <w:lvlJc w:val="left"/>
      <w:pPr>
        <w:tabs>
          <w:tab w:val="num" w:pos="665"/>
        </w:tabs>
        <w:ind w:left="665" w:hanging="360"/>
      </w:pPr>
    </w:lvl>
    <w:lvl w:ilvl="2" w:tentative="1">
      <w:start w:val="1"/>
      <w:numFmt w:val="decimal"/>
      <w:lvlText w:val="%3."/>
      <w:lvlJc w:val="left"/>
      <w:pPr>
        <w:tabs>
          <w:tab w:val="num" w:pos="1385"/>
        </w:tabs>
        <w:ind w:left="1385" w:hanging="360"/>
      </w:pPr>
    </w:lvl>
    <w:lvl w:ilvl="3" w:tentative="1">
      <w:start w:val="1"/>
      <w:numFmt w:val="decimal"/>
      <w:lvlText w:val="%4."/>
      <w:lvlJc w:val="left"/>
      <w:pPr>
        <w:tabs>
          <w:tab w:val="num" w:pos="2105"/>
        </w:tabs>
        <w:ind w:left="2105" w:hanging="360"/>
      </w:pPr>
    </w:lvl>
    <w:lvl w:ilvl="4" w:tentative="1">
      <w:start w:val="1"/>
      <w:numFmt w:val="decimal"/>
      <w:lvlText w:val="%5."/>
      <w:lvlJc w:val="left"/>
      <w:pPr>
        <w:tabs>
          <w:tab w:val="num" w:pos="2825"/>
        </w:tabs>
        <w:ind w:left="2825" w:hanging="360"/>
      </w:pPr>
    </w:lvl>
    <w:lvl w:ilvl="5" w:tentative="1">
      <w:start w:val="1"/>
      <w:numFmt w:val="decimal"/>
      <w:lvlText w:val="%6."/>
      <w:lvlJc w:val="left"/>
      <w:pPr>
        <w:tabs>
          <w:tab w:val="num" w:pos="3545"/>
        </w:tabs>
        <w:ind w:left="3545" w:hanging="360"/>
      </w:pPr>
    </w:lvl>
    <w:lvl w:ilvl="6" w:tentative="1">
      <w:start w:val="1"/>
      <w:numFmt w:val="decimal"/>
      <w:lvlText w:val="%7."/>
      <w:lvlJc w:val="left"/>
      <w:pPr>
        <w:tabs>
          <w:tab w:val="num" w:pos="4265"/>
        </w:tabs>
        <w:ind w:left="4265" w:hanging="360"/>
      </w:pPr>
    </w:lvl>
    <w:lvl w:ilvl="7" w:tentative="1">
      <w:start w:val="1"/>
      <w:numFmt w:val="decimal"/>
      <w:lvlText w:val="%8."/>
      <w:lvlJc w:val="left"/>
      <w:pPr>
        <w:tabs>
          <w:tab w:val="num" w:pos="4985"/>
        </w:tabs>
        <w:ind w:left="4985" w:hanging="360"/>
      </w:pPr>
    </w:lvl>
    <w:lvl w:ilvl="8" w:tentative="1">
      <w:start w:val="1"/>
      <w:numFmt w:val="decimal"/>
      <w:lvlText w:val="%9."/>
      <w:lvlJc w:val="left"/>
      <w:pPr>
        <w:tabs>
          <w:tab w:val="num" w:pos="5705"/>
        </w:tabs>
        <w:ind w:left="5705" w:hanging="360"/>
      </w:pPr>
    </w:lvl>
  </w:abstractNum>
  <w:abstractNum w:abstractNumId="1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2925">
    <w:abstractNumId w:val="12"/>
  </w:num>
  <w:num w:numId="2" w16cid:durableId="1751655791">
    <w:abstractNumId w:val="8"/>
  </w:num>
  <w:num w:numId="3" w16cid:durableId="442572759">
    <w:abstractNumId w:val="3"/>
  </w:num>
  <w:num w:numId="4" w16cid:durableId="1238132327">
    <w:abstractNumId w:val="2"/>
  </w:num>
  <w:num w:numId="5" w16cid:durableId="1714384461">
    <w:abstractNumId w:val="1"/>
  </w:num>
  <w:num w:numId="6" w16cid:durableId="1465657282">
    <w:abstractNumId w:val="0"/>
  </w:num>
  <w:num w:numId="7" w16cid:durableId="1180313605">
    <w:abstractNumId w:val="9"/>
  </w:num>
  <w:num w:numId="8" w16cid:durableId="345253623">
    <w:abstractNumId w:val="7"/>
  </w:num>
  <w:num w:numId="9" w16cid:durableId="900098710">
    <w:abstractNumId w:val="6"/>
  </w:num>
  <w:num w:numId="10" w16cid:durableId="1024213742">
    <w:abstractNumId w:val="5"/>
  </w:num>
  <w:num w:numId="11" w16cid:durableId="824859520">
    <w:abstractNumId w:val="4"/>
  </w:num>
  <w:num w:numId="12" w16cid:durableId="1695568246">
    <w:abstractNumId w:val="13"/>
  </w:num>
  <w:num w:numId="13" w16cid:durableId="338823181">
    <w:abstractNumId w:val="18"/>
  </w:num>
  <w:num w:numId="14" w16cid:durableId="420222486">
    <w:abstractNumId w:val="19"/>
  </w:num>
  <w:num w:numId="15" w16cid:durableId="1562207509">
    <w:abstractNumId w:val="20"/>
  </w:num>
  <w:num w:numId="16" w16cid:durableId="1427579947">
    <w:abstractNumId w:val="14"/>
  </w:num>
  <w:num w:numId="17" w16cid:durableId="331838843">
    <w:abstractNumId w:val="14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877742131">
    <w:abstractNumId w:val="16"/>
  </w:num>
  <w:num w:numId="19" w16cid:durableId="283384839">
    <w:abstractNumId w:val="15"/>
  </w:num>
  <w:num w:numId="20" w16cid:durableId="1649287965">
    <w:abstractNumId w:val="10"/>
  </w:num>
  <w:num w:numId="21" w16cid:durableId="1510681009">
    <w:abstractNumId w:val="11"/>
  </w:num>
  <w:num w:numId="22" w16cid:durableId="9348715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92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5AF6"/>
    <w:rsid w:val="00140619"/>
    <w:rsid w:val="00144BC1"/>
    <w:rsid w:val="00150F73"/>
    <w:rsid w:val="00151E16"/>
    <w:rsid w:val="00155765"/>
    <w:rsid w:val="00157C37"/>
    <w:rsid w:val="00161FD5"/>
    <w:rsid w:val="00176BA5"/>
    <w:rsid w:val="00176CCA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5E9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22FF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A017C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3688C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6643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362D2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4652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2E10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56F99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25F27"/>
    <w:rsid w:val="00F43A32"/>
    <w:rsid w:val="00F46524"/>
    <w:rsid w:val="00F712A2"/>
    <w:rsid w:val="00F81AD5"/>
    <w:rsid w:val="00F8392F"/>
    <w:rsid w:val="00F958D6"/>
    <w:rsid w:val="00FB090D"/>
    <w:rsid w:val="00FB2EC4"/>
    <w:rsid w:val="00FB3861"/>
    <w:rsid w:val="00FB4BAA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ørste versjon.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B3181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8368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83688C"/>
  </w:style>
  <w:style w:type="character" w:customStyle="1" w:styleId="eop">
    <w:name w:val="eop"/>
    <w:basedOn w:val="DefaultParagraphFont"/>
    <w:rsid w:val="0083688C"/>
  </w:style>
  <w:style w:type="character" w:styleId="UnresolvedMention">
    <w:name w:val="Unresolved Mention"/>
    <w:basedOn w:val="DefaultParagraphFont"/>
    <w:uiPriority w:val="99"/>
    <w:semiHidden/>
    <w:unhideWhenUsed/>
    <w:rsid w:val="00562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78861.htm" TargetMode="External" /><Relationship Id="rId6" Type="http://schemas.openxmlformats.org/officeDocument/2006/relationships/hyperlink" Target="https://kvalitet.helse-bergen.no/docs/pub/dok78846.htm" TargetMode="External" /><Relationship Id="rId7" Type="http://schemas.openxmlformats.org/officeDocument/2006/relationships/hyperlink" Target="https://ehandboken.ous-hf.no/document/151038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26</TotalTime>
  <Pages>3</Pages>
  <Words>377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Protonfiksering - oversikt</vt:lpstr>
      <vt:lpstr>HBHF-mal - stående</vt:lpstr>
    </vt:vector>
  </TitlesOfParts>
  <Company>Datakvalitet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Protonfiksering - oversikt</dc:title>
  <dc:subject>000302|[RefNr]|</dc:subject>
  <dc:creator>Søbstad, Johan Martin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Ugland, Maren</cp:lastModifiedBy>
  <cp:revision>10</cp:revision>
  <cp:lastPrinted>2006-09-07T08:52:00Z</cp:lastPrinted>
  <dcterms:created xsi:type="dcterms:W3CDTF">2021-12-08T08:43:00Z</dcterms:created>
  <dcterms:modified xsi:type="dcterms:W3CDTF">2024-06-26T07:35:00Z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Protonfiksering - oversikt</vt:lpwstr>
  </property>
  <property fmtid="{D5CDD505-2E9C-101B-9397-08002B2CF9AE}" pid="4" name="EK_DokType">
    <vt:lpwstr>Informasjon</vt:lpwstr>
  </property>
  <property fmtid="{D5CDD505-2E9C-101B-9397-08002B2CF9AE}" pid="5" name="EK_DokumentID">
    <vt:lpwstr>D78855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27.06.2024</vt:lpwstr>
  </property>
  <property fmtid="{D5CDD505-2E9C-101B-9397-08002B2CF9AE}" pid="8" name="EK_GjelderTil">
    <vt:lpwstr>27.06.2026</vt:lpwstr>
  </property>
  <property fmtid="{D5CDD505-2E9C-101B-9397-08002B2CF9AE}" pid="9" name="EK_Merknad">
    <vt:lpwstr>[Merknad]</vt:lpwstr>
  </property>
  <property fmtid="{D5CDD505-2E9C-101B-9397-08002B2CF9AE}" pid="10" name="EK_RefNr">
    <vt:lpwstr>3.1.2.5.9.4.1-06</vt:lpwstr>
  </property>
  <property fmtid="{D5CDD505-2E9C-101B-9397-08002B2CF9AE}" pid="11" name="EK_S00MT1">
    <vt:lpwstr>Helse Bergen HF/Avdeling for kreftbehandling og medisinsk fysikk</vt:lpwstr>
  </property>
  <property fmtid="{D5CDD505-2E9C-101B-9397-08002B2CF9AE}" pid="12" name="EK_S01MT3">
    <vt:lpwstr>Pasientbehandling/Fagprosedyrer/Kreft</vt:lpwstr>
  </property>
  <property fmtid="{D5CDD505-2E9C-101B-9397-08002B2CF9AE}" pid="13" name="EK_Signatur">
    <vt:lpwstr>Oddbjørn Straume</vt:lpwstr>
  </property>
  <property fmtid="{D5CDD505-2E9C-101B-9397-08002B2CF9AE}" pid="14" name="EK_UText1">
    <vt:lpwstr>Johan Martin Søbstad, Christoffer Grindbakken Moen, Tone Årberg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a0b7b556-d270-4bde-a6ec-ec0bf3912a73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2024-06-24T12:42:31Z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D78846">
    <vt:lpwstr>3.1.2.5.9.4.1-07</vt:lpwstr>
  </property>
  <property fmtid="{D5CDD505-2E9C-101B-9397-08002B2CF9AE}" pid="25" name="XD78861">
    <vt:lpwstr>3.1.2.5.9.4.1-01</vt:lpwstr>
  </property>
  <property fmtid="{D5CDD505-2E9C-101B-9397-08002B2CF9AE}" pid="26" name="XDF78846">
    <vt:lpwstr>Fiksering av hode , hals og CNS-nevroakse ved protonbehandling (voksen/pediatri) Retningslinje.</vt:lpwstr>
  </property>
  <property fmtid="{D5CDD505-2E9C-101B-9397-08002B2CF9AE}" pid="27" name="XDF78861">
    <vt:lpwstr>Barn - Retningslinje for protonplanlegging</vt:lpwstr>
  </property>
  <property fmtid="{D5CDD505-2E9C-101B-9397-08002B2CF9AE}" pid="28" name="XDL78846">
    <vt:lpwstr>3.1.2.5.9.4.1-07 Fiksering av hode , hals og CNS-nevroakse ved protonbehandling (voksen/pediatri) Retningslinje.</vt:lpwstr>
  </property>
  <property fmtid="{D5CDD505-2E9C-101B-9397-08002B2CF9AE}" pid="29" name="XDL78861">
    <vt:lpwstr>3.1.2.5.9.4.1-01 Barn - Retningslinje for protonplanlegging</vt:lpwstr>
  </property>
  <property fmtid="{D5CDD505-2E9C-101B-9397-08002B2CF9AE}" pid="30" name="XDT78846">
    <vt:lpwstr>Fiksering av hode , hals og CNS-nevroakse ved protonbehandling (voksen/pediatri) Retningslinje.</vt:lpwstr>
  </property>
  <property fmtid="{D5CDD505-2E9C-101B-9397-08002B2CF9AE}" pid="31" name="XDT78861">
    <vt:lpwstr>Barn - Retningslinje for protonplanlegging</vt:lpwstr>
  </property>
</Properties>
</file>