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sdt>
      <w:sdtPr>
        <w:rPr>
          <w:rFonts w:eastAsia="Times New Roman" w:asciiTheme="minorHAnsi" w:hAnsiTheme="minorHAnsi" w:cs="Times New Roman"/>
          <w:b w:val="0"/>
          <w:sz w:val="24"/>
          <w:szCs w:val="20"/>
        </w:rPr>
        <w:id w:val="2059436989"/>
        <w:docPartObj>
          <w:docPartGallery w:val="Table of Contents"/>
          <w:docPartUnique/>
        </w:docPartObj>
      </w:sdtPr>
      <w:sdtEndPr>
        <w:rPr>
          <w:bCs/>
        </w:rPr>
      </w:sdtEndPr>
      <w:sdtContent>
        <w:p w:rsidR="00A55D47" w:rsidRPr="00066A58" w:rsidP="00066A58" w14:paraId="5CE6455B"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Ansvar</w:t>
            </w:r>
            <w:r>
              <w:tab/>
            </w:r>
            <w:r>
              <w:fldChar w:fldCharType="begin"/>
            </w:r>
            <w:r>
              <w:instrText xml:space="preserve"> PAGEREF _Toc256000001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Bildegrunnlag og fiksering</w:t>
            </w:r>
            <w:r>
              <w:tab/>
            </w:r>
            <w:r>
              <w:fldChar w:fldCharType="begin"/>
            </w:r>
            <w:r>
              <w:instrText xml:space="preserve"> PAGEREF _Toc256000002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1A3D0A">
              <w:rPr>
                <w:rStyle w:val="Hyperlink"/>
              </w:rPr>
              <w:t>Inntegning av volumer</w:t>
            </w:r>
            <w:r>
              <w:tab/>
            </w:r>
            <w:r>
              <w:fldChar w:fldCharType="begin"/>
            </w:r>
            <w:r>
              <w:instrText xml:space="preserve"> PAGEREF _Toc256000003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1A3D0A">
              <w:rPr>
                <w:rStyle w:val="Hyperlink"/>
              </w:rPr>
              <w:t>Risikoorgan og andre strukturer</w:t>
            </w:r>
            <w:r>
              <w:tab/>
            </w:r>
            <w:r>
              <w:fldChar w:fldCharType="begin"/>
            </w:r>
            <w:r>
              <w:instrText xml:space="preserve"> PAGEREF _Toc256000004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1A3D0A">
              <w:rPr>
                <w:rStyle w:val="Hyperlink"/>
              </w:rPr>
              <w:t>Målvolum</w:t>
            </w:r>
            <w:r>
              <w:tab/>
            </w:r>
            <w:r>
              <w:fldChar w:fldCharType="begin"/>
            </w:r>
            <w:r>
              <w:instrText xml:space="preserve"> PAGEREF _Toc256000005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5</w:t>
            </w:r>
            <w:r>
              <w:rPr>
                <w:rFonts w:asciiTheme="minorHAnsi" w:hAnsiTheme="minorHAnsi"/>
                <w:noProof/>
                <w:sz w:val="22"/>
              </w:rPr>
              <w:tab/>
            </w:r>
            <w:r w:rsidRPr="001A3D0A">
              <w:rPr>
                <w:rStyle w:val="Hyperlink"/>
              </w:rPr>
              <w:t>Protonplanlegging</w:t>
            </w:r>
            <w:r>
              <w:tab/>
            </w:r>
            <w:r>
              <w:fldChar w:fldCharType="begin"/>
            </w:r>
            <w:r>
              <w:instrText xml:space="preserve"> PAGEREF _Toc256000006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5.1</w:t>
            </w:r>
            <w:r>
              <w:rPr>
                <w:rFonts w:asciiTheme="minorHAnsi" w:hAnsiTheme="minorHAnsi"/>
                <w:noProof/>
                <w:sz w:val="22"/>
              </w:rPr>
              <w:tab/>
            </w:r>
            <w:r w:rsidRPr="001A3D0A">
              <w:rPr>
                <w:rStyle w:val="Hyperlink"/>
              </w:rPr>
              <w:t>Forberedelser</w:t>
            </w:r>
            <w:r>
              <w:tab/>
            </w:r>
            <w:r>
              <w:fldChar w:fldCharType="begin"/>
            </w:r>
            <w:r>
              <w:instrText xml:space="preserve"> PAGEREF _Toc256000007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08" w:history="1">
            <w:r>
              <w:rPr>
                <w:rStyle w:val="Hyperlink"/>
              </w:rPr>
              <w:t>5.1.1</w:t>
            </w:r>
            <w:r>
              <w:rPr>
                <w:rFonts w:asciiTheme="minorHAnsi" w:hAnsiTheme="minorHAnsi"/>
                <w:noProof/>
                <w:sz w:val="22"/>
              </w:rPr>
              <w:tab/>
            </w:r>
            <w:r w:rsidRPr="001A3D0A">
              <w:rPr>
                <w:rStyle w:val="Hyperlink"/>
              </w:rPr>
              <w:t>Valg av planleggings-CT</w:t>
            </w:r>
            <w:r>
              <w:tab/>
            </w:r>
            <w:r>
              <w:fldChar w:fldCharType="begin"/>
            </w:r>
            <w:r>
              <w:instrText xml:space="preserve"> PAGEREF _Toc256000008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09" w:history="1">
            <w:r>
              <w:rPr>
                <w:rStyle w:val="Hyperlink"/>
              </w:rPr>
              <w:t>5.1.2</w:t>
            </w:r>
            <w:r>
              <w:rPr>
                <w:rFonts w:asciiTheme="minorHAnsi" w:hAnsiTheme="minorHAnsi"/>
                <w:noProof/>
                <w:sz w:val="22"/>
              </w:rPr>
              <w:tab/>
            </w:r>
            <w:r w:rsidRPr="001A3D0A">
              <w:rPr>
                <w:rStyle w:val="Hyperlink"/>
              </w:rPr>
              <w:t>Materialoverstyring</w:t>
            </w:r>
            <w:r>
              <w:tab/>
            </w:r>
            <w:r>
              <w:fldChar w:fldCharType="begin"/>
            </w:r>
            <w:r>
              <w:instrText xml:space="preserve"> PAGEREF _Toc256000009 \h </w:instrText>
            </w:r>
            <w:r>
              <w:fldChar w:fldCharType="separate"/>
            </w:r>
            <w:r>
              <w:t>4</w:t>
            </w:r>
            <w:r>
              <w:fldChar w:fldCharType="end"/>
            </w:r>
          </w:hyperlink>
        </w:p>
        <w:p>
          <w:pPr>
            <w:pStyle w:val="TOC3"/>
            <w:tabs>
              <w:tab w:val="left" w:pos="1320"/>
              <w:tab w:val="right" w:leader="dot" w:pos="9061"/>
            </w:tabs>
            <w:rPr>
              <w:rFonts w:asciiTheme="minorHAnsi" w:hAnsiTheme="minorHAnsi"/>
              <w:noProof/>
              <w:sz w:val="22"/>
            </w:rPr>
          </w:pPr>
          <w:hyperlink w:anchor="_Toc256000010" w:history="1">
            <w:r>
              <w:rPr>
                <w:rStyle w:val="Hyperlink"/>
              </w:rPr>
              <w:t>5.1.3</w:t>
            </w:r>
            <w:r>
              <w:rPr>
                <w:rFonts w:asciiTheme="minorHAnsi" w:hAnsiTheme="minorHAnsi"/>
                <w:noProof/>
                <w:sz w:val="22"/>
              </w:rPr>
              <w:tab/>
            </w:r>
            <w:r w:rsidRPr="001A3D0A">
              <w:rPr>
                <w:rStyle w:val="Hyperlink"/>
              </w:rPr>
              <w:t>Kalibreringskurve</w:t>
            </w:r>
            <w:r>
              <w:tab/>
            </w:r>
            <w:r>
              <w:fldChar w:fldCharType="begin"/>
            </w:r>
            <w:r>
              <w:instrText xml:space="preserve"> PAGEREF _Toc256000010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5.2</w:t>
            </w:r>
            <w:r>
              <w:rPr>
                <w:rFonts w:asciiTheme="minorHAnsi" w:hAnsiTheme="minorHAnsi"/>
                <w:noProof/>
                <w:sz w:val="22"/>
              </w:rPr>
              <w:tab/>
            </w:r>
            <w:r w:rsidRPr="001A3D0A">
              <w:rPr>
                <w:rStyle w:val="Hyperlink"/>
              </w:rPr>
              <w:t>Strukturer</w:t>
            </w:r>
            <w:r>
              <w:tab/>
            </w:r>
            <w:r>
              <w:fldChar w:fldCharType="begin"/>
            </w:r>
            <w:r>
              <w:instrText xml:space="preserve"> PAGEREF _Toc256000011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5.3</w:t>
            </w:r>
            <w:r>
              <w:rPr>
                <w:rFonts w:asciiTheme="minorHAnsi" w:hAnsiTheme="minorHAnsi"/>
                <w:noProof/>
                <w:sz w:val="22"/>
              </w:rPr>
              <w:tab/>
            </w:r>
            <w:r w:rsidRPr="001A3D0A">
              <w:rPr>
                <w:rStyle w:val="Hyperlink"/>
              </w:rPr>
              <w:t>Planoppsett</w:t>
            </w:r>
            <w:r>
              <w:tab/>
            </w:r>
            <w:r>
              <w:fldChar w:fldCharType="begin"/>
            </w:r>
            <w:r>
              <w:instrText xml:space="preserve"> PAGEREF _Toc256000012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3" w:history="1">
            <w:r>
              <w:rPr>
                <w:rStyle w:val="Hyperlink"/>
              </w:rPr>
              <w:t>5.3.1</w:t>
            </w:r>
            <w:r>
              <w:rPr>
                <w:rFonts w:asciiTheme="minorHAnsi" w:hAnsiTheme="minorHAnsi"/>
                <w:noProof/>
                <w:sz w:val="22"/>
              </w:rPr>
              <w:tab/>
            </w:r>
            <w:r w:rsidRPr="001A3D0A">
              <w:rPr>
                <w:rStyle w:val="Hyperlink"/>
              </w:rPr>
              <w:t>Isosenter plassering</w:t>
            </w:r>
            <w:r>
              <w:tab/>
            </w:r>
            <w:r>
              <w:fldChar w:fldCharType="begin"/>
            </w:r>
            <w:r>
              <w:instrText xml:space="preserve"> PAGEREF _Toc256000013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4" w:history="1">
            <w:r>
              <w:rPr>
                <w:rStyle w:val="Hyperlink"/>
              </w:rPr>
              <w:t>5.3.2</w:t>
            </w:r>
            <w:r>
              <w:rPr>
                <w:rFonts w:asciiTheme="minorHAnsi" w:hAnsiTheme="minorHAnsi"/>
                <w:noProof/>
                <w:sz w:val="22"/>
              </w:rPr>
              <w:tab/>
            </w:r>
            <w:r w:rsidRPr="001A3D0A">
              <w:rPr>
                <w:rStyle w:val="Hyperlink"/>
              </w:rPr>
              <w:t>Planleggingsteknisk</w:t>
            </w:r>
            <w:r>
              <w:tab/>
            </w:r>
            <w:r>
              <w:fldChar w:fldCharType="begin"/>
            </w:r>
            <w:r>
              <w:instrText xml:space="preserve"> PAGEREF _Toc256000014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5" w:history="1">
            <w:r>
              <w:rPr>
                <w:rStyle w:val="Hyperlink"/>
              </w:rPr>
              <w:t>5.3.3</w:t>
            </w:r>
            <w:r>
              <w:rPr>
                <w:rFonts w:asciiTheme="minorHAnsi" w:hAnsiTheme="minorHAnsi"/>
                <w:noProof/>
                <w:sz w:val="22"/>
              </w:rPr>
              <w:tab/>
            </w:r>
            <w:r w:rsidRPr="001A3D0A">
              <w:rPr>
                <w:rStyle w:val="Hyperlink"/>
              </w:rPr>
              <w:t>Valg av feltvinkler</w:t>
            </w:r>
            <w:r>
              <w:tab/>
            </w:r>
            <w:r>
              <w:fldChar w:fldCharType="begin"/>
            </w:r>
            <w:r>
              <w:instrText xml:space="preserve"> PAGEREF _Toc256000015 \h </w:instrText>
            </w:r>
            <w:r>
              <w:fldChar w:fldCharType="separate"/>
            </w:r>
            <w:r>
              <w:t>5</w:t>
            </w:r>
            <w:r>
              <w:fldChar w:fldCharType="end"/>
            </w:r>
          </w:hyperlink>
        </w:p>
        <w:p>
          <w:pPr>
            <w:pStyle w:val="TOC3"/>
            <w:tabs>
              <w:tab w:val="left" w:pos="1320"/>
              <w:tab w:val="right" w:leader="dot" w:pos="9061"/>
            </w:tabs>
            <w:rPr>
              <w:rFonts w:asciiTheme="minorHAnsi" w:hAnsiTheme="minorHAnsi"/>
              <w:noProof/>
              <w:sz w:val="22"/>
            </w:rPr>
          </w:pPr>
          <w:hyperlink w:anchor="_Toc256000016" w:history="1">
            <w:r>
              <w:rPr>
                <w:rStyle w:val="Hyperlink"/>
              </w:rPr>
              <w:t>5.3.4</w:t>
            </w:r>
            <w:r>
              <w:rPr>
                <w:rFonts w:asciiTheme="minorHAnsi" w:hAnsiTheme="minorHAnsi"/>
                <w:noProof/>
                <w:sz w:val="22"/>
              </w:rPr>
              <w:tab/>
            </w:r>
            <w:r w:rsidRPr="001A3D0A">
              <w:rPr>
                <w:rStyle w:val="Hyperlink"/>
              </w:rPr>
              <w:t>Generelle hensyn ved valg av feltvinkler</w:t>
            </w:r>
            <w:r>
              <w:tab/>
            </w:r>
            <w:r>
              <w:fldChar w:fldCharType="begin"/>
            </w:r>
            <w:r>
              <w:instrText xml:space="preserve"> PAGEREF _Toc256000016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17" w:history="1">
            <w:r>
              <w:rPr>
                <w:rStyle w:val="Hyperlink"/>
              </w:rPr>
              <w:t>5.3.5</w:t>
            </w:r>
            <w:r>
              <w:rPr>
                <w:rFonts w:asciiTheme="minorHAnsi" w:hAnsiTheme="minorHAnsi"/>
                <w:noProof/>
                <w:sz w:val="22"/>
              </w:rPr>
              <w:tab/>
            </w:r>
            <w:r w:rsidRPr="001A3D0A">
              <w:rPr>
                <w:rStyle w:val="Hyperlink"/>
              </w:rPr>
              <w:t>Generelle hensyn ved bordrotasjon</w:t>
            </w:r>
            <w:r>
              <w:tab/>
            </w:r>
            <w:r>
              <w:fldChar w:fldCharType="begin"/>
            </w:r>
            <w:r>
              <w:instrText xml:space="preserve"> PAGEREF _Toc256000017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18" w:history="1">
            <w:r>
              <w:rPr>
                <w:rStyle w:val="Hyperlink"/>
              </w:rPr>
              <w:t>5.3.6</w:t>
            </w:r>
            <w:r>
              <w:rPr>
                <w:rFonts w:asciiTheme="minorHAnsi" w:hAnsiTheme="minorHAnsi"/>
                <w:noProof/>
                <w:sz w:val="22"/>
              </w:rPr>
              <w:tab/>
            </w:r>
            <w:r w:rsidRPr="001A3D0A">
              <w:rPr>
                <w:rStyle w:val="Hyperlink"/>
              </w:rPr>
              <w:t>Range shifter og air gap</w:t>
            </w:r>
            <w:r>
              <w:tab/>
            </w:r>
            <w:r>
              <w:fldChar w:fldCharType="begin"/>
            </w:r>
            <w:r>
              <w:instrText xml:space="preserve"> PAGEREF _Toc256000018 \h </w:instrText>
            </w:r>
            <w:r>
              <w:fldChar w:fldCharType="separate"/>
            </w:r>
            <w:r>
              <w:t>7</w:t>
            </w:r>
            <w:r>
              <w:fldChar w:fldCharType="end"/>
            </w:r>
          </w:hyperlink>
        </w:p>
        <w:p>
          <w:pPr>
            <w:pStyle w:val="TOC3"/>
            <w:tabs>
              <w:tab w:val="left" w:pos="1320"/>
              <w:tab w:val="right" w:leader="dot" w:pos="9061"/>
            </w:tabs>
            <w:rPr>
              <w:rFonts w:asciiTheme="minorHAnsi" w:hAnsiTheme="minorHAnsi"/>
              <w:noProof/>
              <w:sz w:val="22"/>
            </w:rPr>
          </w:pPr>
          <w:hyperlink w:anchor="_Toc256000019" w:history="1">
            <w:r>
              <w:rPr>
                <w:rStyle w:val="Hyperlink"/>
              </w:rPr>
              <w:t>5.3.7</w:t>
            </w:r>
            <w:r>
              <w:rPr>
                <w:rFonts w:asciiTheme="minorHAnsi" w:hAnsiTheme="minorHAnsi"/>
                <w:noProof/>
                <w:sz w:val="22"/>
              </w:rPr>
              <w:tab/>
            </w:r>
            <w:r w:rsidRPr="001A3D0A">
              <w:rPr>
                <w:rStyle w:val="Hyperlink"/>
              </w:rPr>
              <w:t>Skjøting av felter</w:t>
            </w:r>
            <w:r>
              <w:tab/>
            </w:r>
            <w:r>
              <w:fldChar w:fldCharType="begin"/>
            </w:r>
            <w:r>
              <w:instrText xml:space="preserve"> PAGEREF _Toc256000019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20" w:history="1">
            <w:r>
              <w:rPr>
                <w:rStyle w:val="Hyperlink"/>
              </w:rPr>
              <w:t>5.4</w:t>
            </w:r>
            <w:r>
              <w:rPr>
                <w:rFonts w:asciiTheme="minorHAnsi" w:hAnsiTheme="minorHAnsi"/>
                <w:noProof/>
                <w:sz w:val="22"/>
              </w:rPr>
              <w:tab/>
            </w:r>
            <w:r w:rsidRPr="001A3D0A">
              <w:rPr>
                <w:rStyle w:val="Hyperlink"/>
              </w:rPr>
              <w:t>Robust optimering</w:t>
            </w:r>
            <w:r>
              <w:tab/>
            </w:r>
            <w:r>
              <w:fldChar w:fldCharType="begin"/>
            </w:r>
            <w:r>
              <w:instrText xml:space="preserve"> PAGEREF _Toc256000020 \h </w:instrText>
            </w:r>
            <w:r>
              <w:fldChar w:fldCharType="separate"/>
            </w:r>
            <w:r>
              <w:t>7</w:t>
            </w:r>
            <w:r>
              <w:fldChar w:fldCharType="end"/>
            </w:r>
          </w:hyperlink>
        </w:p>
        <w:p>
          <w:pPr>
            <w:pStyle w:val="TOC1"/>
            <w:tabs>
              <w:tab w:val="left" w:pos="480"/>
              <w:tab w:val="right" w:leader="dot" w:pos="9061"/>
            </w:tabs>
            <w:rPr>
              <w:rFonts w:asciiTheme="minorHAnsi" w:hAnsiTheme="minorHAnsi"/>
              <w:noProof/>
              <w:sz w:val="22"/>
            </w:rPr>
          </w:pPr>
          <w:hyperlink w:anchor="_Toc256000021" w:history="1">
            <w:r>
              <w:rPr>
                <w:rStyle w:val="Hyperlink"/>
              </w:rPr>
              <w:t>6</w:t>
            </w:r>
            <w:r>
              <w:rPr>
                <w:rFonts w:asciiTheme="minorHAnsi" w:hAnsiTheme="minorHAnsi"/>
                <w:noProof/>
                <w:sz w:val="22"/>
              </w:rPr>
              <w:tab/>
            </w:r>
            <w:r w:rsidRPr="001A3D0A">
              <w:rPr>
                <w:rStyle w:val="Hyperlink"/>
              </w:rPr>
              <w:t>Planevaluering</w:t>
            </w:r>
            <w:r>
              <w:tab/>
            </w:r>
            <w:r>
              <w:fldChar w:fldCharType="begin"/>
            </w:r>
            <w:r>
              <w:instrText xml:space="preserve"> PAGEREF _Toc256000021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22" w:history="1">
            <w:r>
              <w:rPr>
                <w:rStyle w:val="Hyperlink"/>
              </w:rPr>
              <w:t>6.1</w:t>
            </w:r>
            <w:r>
              <w:rPr>
                <w:rFonts w:asciiTheme="minorHAnsi" w:hAnsiTheme="minorHAnsi"/>
                <w:noProof/>
                <w:sz w:val="22"/>
              </w:rPr>
              <w:tab/>
            </w:r>
            <w:r w:rsidRPr="001A3D0A">
              <w:rPr>
                <w:rStyle w:val="Hyperlink"/>
              </w:rPr>
              <w:t>Doser til målvolum</w:t>
            </w:r>
            <w:r>
              <w:tab/>
            </w:r>
            <w:r>
              <w:fldChar w:fldCharType="begin"/>
            </w:r>
            <w:r>
              <w:instrText xml:space="preserve"> PAGEREF _Toc256000022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23" w:history="1">
            <w:r>
              <w:rPr>
                <w:rStyle w:val="Hyperlink"/>
              </w:rPr>
              <w:t>6.2</w:t>
            </w:r>
            <w:r>
              <w:rPr>
                <w:rFonts w:asciiTheme="minorHAnsi" w:hAnsiTheme="minorHAnsi"/>
                <w:noProof/>
                <w:sz w:val="22"/>
              </w:rPr>
              <w:tab/>
            </w:r>
            <w:r w:rsidRPr="001A3D0A">
              <w:rPr>
                <w:rStyle w:val="Hyperlink"/>
              </w:rPr>
              <w:t>Doser til risikoorganer</w:t>
            </w:r>
            <w:r>
              <w:tab/>
            </w:r>
            <w:r>
              <w:fldChar w:fldCharType="begin"/>
            </w:r>
            <w:r>
              <w:instrText xml:space="preserve"> PAGEREF _Toc256000023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24" w:history="1">
            <w:r>
              <w:rPr>
                <w:rStyle w:val="Hyperlink"/>
              </w:rPr>
              <w:t>6.3</w:t>
            </w:r>
            <w:r>
              <w:rPr>
                <w:rFonts w:asciiTheme="minorHAnsi" w:hAnsiTheme="minorHAnsi"/>
                <w:noProof/>
                <w:sz w:val="22"/>
              </w:rPr>
              <w:tab/>
            </w:r>
            <w:r w:rsidRPr="001A3D0A">
              <w:rPr>
                <w:rStyle w:val="Hyperlink"/>
              </w:rPr>
              <w:t>Robust evaluering</w:t>
            </w:r>
            <w:r>
              <w:tab/>
            </w:r>
            <w:r>
              <w:fldChar w:fldCharType="begin"/>
            </w:r>
            <w:r>
              <w:instrText xml:space="preserve"> PAGEREF _Toc256000024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25" w:history="1">
            <w:r>
              <w:rPr>
                <w:rStyle w:val="Hyperlink"/>
              </w:rPr>
              <w:t>6.3.1</w:t>
            </w:r>
            <w:r>
              <w:rPr>
                <w:rFonts w:asciiTheme="minorHAnsi" w:hAnsiTheme="minorHAnsi"/>
                <w:noProof/>
                <w:sz w:val="22"/>
              </w:rPr>
              <w:tab/>
            </w:r>
            <w:r w:rsidRPr="001A3D0A">
              <w:rPr>
                <w:rStyle w:val="Hyperlink"/>
              </w:rPr>
              <w:t>Målvolum</w:t>
            </w:r>
            <w:r>
              <w:tab/>
            </w:r>
            <w:r>
              <w:fldChar w:fldCharType="begin"/>
            </w:r>
            <w:r>
              <w:instrText xml:space="preserve"> PAGEREF _Toc256000025 \h </w:instrText>
            </w:r>
            <w:r>
              <w:fldChar w:fldCharType="separate"/>
            </w:r>
            <w:r>
              <w:t>9</w:t>
            </w:r>
            <w:r>
              <w:fldChar w:fldCharType="end"/>
            </w:r>
          </w:hyperlink>
        </w:p>
        <w:p>
          <w:pPr>
            <w:pStyle w:val="TOC3"/>
            <w:tabs>
              <w:tab w:val="left" w:pos="1320"/>
              <w:tab w:val="right" w:leader="dot" w:pos="9061"/>
            </w:tabs>
            <w:rPr>
              <w:rFonts w:asciiTheme="minorHAnsi" w:hAnsiTheme="minorHAnsi"/>
              <w:noProof/>
              <w:sz w:val="22"/>
            </w:rPr>
          </w:pPr>
          <w:hyperlink w:anchor="_Toc256000026" w:history="1">
            <w:r>
              <w:rPr>
                <w:rStyle w:val="Hyperlink"/>
              </w:rPr>
              <w:t>6.3.2</w:t>
            </w:r>
            <w:r>
              <w:rPr>
                <w:rFonts w:asciiTheme="minorHAnsi" w:hAnsiTheme="minorHAnsi"/>
                <w:noProof/>
                <w:sz w:val="22"/>
              </w:rPr>
              <w:tab/>
            </w:r>
            <w:r w:rsidRPr="001A3D0A">
              <w:rPr>
                <w:rStyle w:val="Hyperlink"/>
              </w:rPr>
              <w:t>Risikoorganer</w:t>
            </w:r>
            <w:r>
              <w:tab/>
            </w:r>
            <w:r>
              <w:fldChar w:fldCharType="begin"/>
            </w:r>
            <w:r>
              <w:instrText xml:space="preserve"> PAGEREF _Toc256000026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27" w:history="1">
            <w:r>
              <w:rPr>
                <w:rStyle w:val="Hyperlink"/>
              </w:rPr>
              <w:t>7</w:t>
            </w:r>
            <w:r>
              <w:rPr>
                <w:rFonts w:asciiTheme="minorHAnsi" w:hAnsiTheme="minorHAnsi"/>
                <w:noProof/>
                <w:sz w:val="22"/>
              </w:rPr>
              <w:tab/>
            </w:r>
            <w:r w:rsidRPr="001A3D0A">
              <w:rPr>
                <w:rStyle w:val="Hyperlink"/>
              </w:rPr>
              <w:t>Bildeveiledning</w:t>
            </w:r>
            <w:r>
              <w:tab/>
            </w:r>
            <w:r>
              <w:fldChar w:fldCharType="begin"/>
            </w:r>
            <w:r>
              <w:instrText xml:space="preserve"> PAGEREF _Toc256000027 \h </w:instrText>
            </w:r>
            <w:r>
              <w:fldChar w:fldCharType="separate"/>
            </w:r>
            <w:r>
              <w:t>10</w:t>
            </w:r>
            <w:r>
              <w:fldChar w:fldCharType="end"/>
            </w:r>
          </w:hyperlink>
        </w:p>
        <w:p>
          <w:pPr>
            <w:pStyle w:val="TOC1"/>
            <w:tabs>
              <w:tab w:val="left" w:pos="480"/>
              <w:tab w:val="right" w:leader="dot" w:pos="9061"/>
            </w:tabs>
            <w:rPr>
              <w:rFonts w:asciiTheme="minorHAnsi" w:hAnsiTheme="minorHAnsi"/>
              <w:noProof/>
              <w:sz w:val="22"/>
            </w:rPr>
          </w:pPr>
          <w:hyperlink w:anchor="_Toc256000028" w:history="1">
            <w:r>
              <w:rPr>
                <w:rStyle w:val="Hyperlink"/>
              </w:rPr>
              <w:t>8</w:t>
            </w:r>
            <w:r>
              <w:rPr>
                <w:rFonts w:asciiTheme="minorHAnsi" w:hAnsiTheme="minorHAnsi"/>
                <w:noProof/>
                <w:sz w:val="22"/>
              </w:rPr>
              <w:tab/>
            </w:r>
            <w:r w:rsidRPr="001A3D0A">
              <w:rPr>
                <w:rStyle w:val="Hyperlink"/>
              </w:rPr>
              <w:t>Kontrollbilder og adapsjon</w:t>
            </w:r>
            <w:r>
              <w:tab/>
            </w:r>
            <w:r>
              <w:fldChar w:fldCharType="begin"/>
            </w:r>
            <w:r>
              <w:instrText xml:space="preserve"> PAGEREF _Toc256000028 \h </w:instrText>
            </w:r>
            <w:r>
              <w:fldChar w:fldCharType="separate"/>
            </w:r>
            <w:r>
              <w:t>10</w:t>
            </w:r>
            <w:r>
              <w:fldChar w:fldCharType="end"/>
            </w:r>
          </w:hyperlink>
        </w:p>
        <w:p>
          <w:pPr>
            <w:pStyle w:val="TOC1"/>
            <w:tabs>
              <w:tab w:val="left" w:pos="480"/>
              <w:tab w:val="right" w:leader="dot" w:pos="9061"/>
            </w:tabs>
            <w:rPr>
              <w:rFonts w:asciiTheme="minorHAnsi" w:hAnsiTheme="minorHAnsi"/>
              <w:noProof/>
              <w:sz w:val="22"/>
            </w:rPr>
          </w:pPr>
          <w:hyperlink w:anchor="_Toc256000029" w:history="1">
            <w:r>
              <w:rPr>
                <w:rStyle w:val="Hyperlink"/>
              </w:rPr>
              <w:t>9</w:t>
            </w:r>
            <w:r>
              <w:rPr>
                <w:rFonts w:asciiTheme="minorHAnsi" w:hAnsiTheme="minorHAnsi"/>
                <w:noProof/>
                <w:sz w:val="22"/>
              </w:rPr>
              <w:tab/>
            </w:r>
            <w:r w:rsidRPr="001A3D0A">
              <w:rPr>
                <w:rStyle w:val="Hyperlink"/>
              </w:rPr>
              <w:t>Tiltak og prioritering ved nedetid</w:t>
            </w:r>
            <w:r>
              <w:tab/>
            </w:r>
            <w:r>
              <w:fldChar w:fldCharType="begin"/>
            </w:r>
            <w:r>
              <w:instrText xml:space="preserve"> PAGEREF _Toc256000029 \h </w:instrText>
            </w:r>
            <w:r>
              <w:fldChar w:fldCharType="separate"/>
            </w:r>
            <w:r>
              <w:t>10</w:t>
            </w:r>
            <w:r>
              <w:fldChar w:fldCharType="end"/>
            </w:r>
          </w:hyperlink>
        </w:p>
        <w:p>
          <w:pPr>
            <w:pStyle w:val="TOC1"/>
            <w:tabs>
              <w:tab w:val="left" w:pos="480"/>
              <w:tab w:val="right" w:leader="dot" w:pos="9061"/>
            </w:tabs>
            <w:rPr>
              <w:rFonts w:asciiTheme="minorHAnsi" w:hAnsiTheme="minorHAnsi"/>
              <w:noProof/>
              <w:sz w:val="22"/>
            </w:rPr>
          </w:pPr>
          <w:hyperlink w:anchor="_Toc256000030" w:history="1">
            <w:r>
              <w:rPr>
                <w:rStyle w:val="Hyperlink"/>
              </w:rPr>
              <w:t>10</w:t>
            </w:r>
            <w:r>
              <w:rPr>
                <w:rFonts w:asciiTheme="minorHAnsi" w:hAnsiTheme="minorHAnsi"/>
                <w:noProof/>
                <w:sz w:val="22"/>
              </w:rPr>
              <w:tab/>
            </w:r>
            <w:r w:rsidRPr="001A3D0A">
              <w:rPr>
                <w:rStyle w:val="Hyperlink"/>
              </w:rPr>
              <w:t>Referanser</w:t>
            </w:r>
            <w:r>
              <w:tab/>
            </w:r>
            <w:r>
              <w:fldChar w:fldCharType="begin"/>
            </w:r>
            <w:r>
              <w:instrText xml:space="preserve"> PAGEREF _Toc256000030 \h </w:instrText>
            </w:r>
            <w:r>
              <w:fldChar w:fldCharType="separate"/>
            </w:r>
            <w:r>
              <w:t>10</w:t>
            </w:r>
            <w:r>
              <w:fldChar w:fldCharType="end"/>
            </w:r>
          </w:hyperlink>
        </w:p>
        <w:p>
          <w:pPr>
            <w:pStyle w:val="TOC1"/>
            <w:tabs>
              <w:tab w:val="left" w:pos="480"/>
              <w:tab w:val="right" w:leader="dot" w:pos="9061"/>
            </w:tabs>
            <w:rPr>
              <w:rFonts w:asciiTheme="minorHAnsi" w:hAnsiTheme="minorHAnsi"/>
              <w:noProof/>
              <w:sz w:val="22"/>
            </w:rPr>
          </w:pPr>
          <w:hyperlink w:anchor="_Toc256000031" w:history="1">
            <w:r>
              <w:rPr>
                <w:rStyle w:val="Hyperlink"/>
              </w:rPr>
              <w:t>11</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_Toc256000031 \h </w:instrText>
            </w:r>
            <w:r>
              <w:fldChar w:fldCharType="separate"/>
            </w:r>
            <w:r>
              <w:t>11</w:t>
            </w:r>
            <w:r>
              <w:fldChar w:fldCharType="end"/>
            </w:r>
          </w:hyperlink>
        </w:p>
        <w:p w:rsidR="00A55D47" w:rsidP="00066A58">
          <w:pPr>
            <w:spacing w:line="259" w:lineRule="auto"/>
            <w:rPr>
              <w:b/>
              <w:bCs/>
            </w:rPr>
          </w:pPr>
          <w:r w:rsidRPr="00066A58">
            <w:rPr>
              <w:rFonts w:cstheme="minorHAnsi"/>
              <w:sz w:val="20"/>
            </w:rPr>
            <w:fldChar w:fldCharType="end"/>
          </w:r>
        </w:p>
      </w:sdtContent>
    </w:sdt>
    <w:p w:rsidR="001A3D0A" w:rsidRPr="001A3D0A" w:rsidP="001A3D0A" w14:paraId="2AD02E4F" w14:textId="77777777">
      <w:pPr>
        <w:textAlignment w:val="baseline"/>
        <w:rPr>
          <w:rFonts w:ascii="Calibri" w:hAnsi="Calibri" w:cs="Calibri"/>
          <w:sz w:val="22"/>
          <w:szCs w:val="22"/>
        </w:rPr>
      </w:pPr>
      <w:r w:rsidRPr="001A3D0A">
        <w:rPr>
          <w:rFonts w:ascii="Calibri" w:hAnsi="Calibri" w:cs="Calibri"/>
          <w:i/>
          <w:iCs/>
          <w:color w:val="E36C0A"/>
          <w:sz w:val="22"/>
          <w:szCs w:val="22"/>
        </w:rPr>
        <w:t>OBS! Majoriteten av krav og anbefalinger i dette dokumentet, som f.eks. dekningskrav og planleggingsteknikker er tentative. Det kreves uttesting og diskusjoner for å etablere endelige anbefalinger.</w:t>
      </w:r>
      <w:r w:rsidRPr="001A3D0A">
        <w:rPr>
          <w:rFonts w:ascii="Calibri" w:hAnsi="Calibri" w:cs="Calibri"/>
          <w:color w:val="E36C0A"/>
          <w:sz w:val="22"/>
          <w:szCs w:val="22"/>
        </w:rPr>
        <w:t> </w:t>
      </w:r>
    </w:p>
    <w:p w:rsidR="001A3D0A" w:rsidP="00066A58" w14:paraId="0F8D5349" w14:textId="77777777">
      <w:pPr>
        <w:spacing w:line="259" w:lineRule="auto"/>
      </w:pPr>
    </w:p>
    <w:p w:rsidR="00CB3EB0" w:rsidP="00066A58" w14:paraId="3BC0CF0B" w14:textId="77777777">
      <w:pPr>
        <w:pStyle w:val="Heading1"/>
        <w:spacing w:line="259" w:lineRule="auto"/>
      </w:pPr>
      <w:bookmarkStart w:id="0" w:name="_Toc256000000"/>
      <w:r>
        <w:t>Hensikt</w:t>
      </w:r>
      <w:bookmarkEnd w:id="0"/>
    </w:p>
    <w:p w:rsidR="00655DBF" w:rsidRPr="00655DBF" w:rsidP="00655DBF" w14:paraId="30189234" w14:textId="77777777">
      <w:pPr>
        <w:spacing w:line="259" w:lineRule="auto"/>
        <w:rPr>
          <w:rFonts w:ascii="Calibri" w:hAnsi="Calibri" w:cs="Calibri"/>
          <w:sz w:val="22"/>
          <w:szCs w:val="22"/>
        </w:rPr>
      </w:pPr>
      <w:r w:rsidRPr="00655DBF">
        <w:rPr>
          <w:rFonts w:ascii="Calibri" w:hAnsi="Calibri" w:cs="Calibri"/>
          <w:sz w:val="22"/>
          <w:szCs w:val="22"/>
        </w:rPr>
        <w:t>Retningslinjen skal være til hjelp for stråleterapeuter, doseplanleggere, fysikere og leger som er involvert i planlegging av protonstrålebehandling ved sarkomer.</w:t>
      </w:r>
    </w:p>
    <w:p w:rsidR="00655DBF" w:rsidRPr="00655DBF" w:rsidP="00655DBF" w14:paraId="39ADA4D7" w14:textId="77777777">
      <w:pPr>
        <w:spacing w:line="259" w:lineRule="auto"/>
        <w:rPr>
          <w:rFonts w:ascii="Calibri" w:hAnsi="Calibri" w:cs="Calibri"/>
          <w:sz w:val="22"/>
          <w:szCs w:val="22"/>
        </w:rPr>
      </w:pPr>
    </w:p>
    <w:p w:rsidR="00655DBF" w:rsidRPr="00655DBF" w:rsidP="00655DBF" w14:paraId="55999EAD" w14:textId="379172B0">
      <w:pPr>
        <w:spacing w:line="259" w:lineRule="auto"/>
        <w:rPr>
          <w:rFonts w:ascii="Calibri" w:hAnsi="Calibri" w:cs="Calibri"/>
          <w:sz w:val="22"/>
          <w:szCs w:val="22"/>
        </w:rPr>
      </w:pPr>
      <w:r w:rsidRPr="00655DBF">
        <w:rPr>
          <w:rFonts w:ascii="Calibri" w:hAnsi="Calibri" w:cs="Calibri"/>
          <w:sz w:val="22"/>
          <w:szCs w:val="22"/>
        </w:rPr>
        <w:t>Det finnes mange sarkomentiteter hvor man ser for seg at protonbestråling vil være gunstig. De vanligste finner man under, men det er viktig å være klar over at diagnosene ikke er utfyllende og at det finnes andre sjeldnere sarkome</w:t>
      </w:r>
      <w:r>
        <w:rPr>
          <w:rFonts w:ascii="Calibri" w:hAnsi="Calibri" w:cs="Calibri"/>
          <w:sz w:val="22"/>
          <w:szCs w:val="22"/>
        </w:rPr>
        <w:t>n</w:t>
      </w:r>
      <w:r w:rsidRPr="00655DBF">
        <w:rPr>
          <w:rFonts w:ascii="Calibri" w:hAnsi="Calibri" w:cs="Calibri"/>
          <w:sz w:val="22"/>
          <w:szCs w:val="22"/>
        </w:rPr>
        <w:t>tentiteter hvor man også mener protonterapi kan være nyttig. Dosering og fraksjonering for disse pasientene bestemmes ut fra histologi og allmenntilstand. For andre entiteter vil dosering og fraksjonering bestemmes på bakgrunn av individuelle vurderinger som svulsttype, internasjonale retningslinjer, relevante publikasjoner og andre faktorer inkludert histologi og allmenntilstand. Dosering vil ofte være 1.8-2.0 Gy (RBE) x 25-36 til 50-72 Gy (RBE), men dette kan variere. Det er heller ikke gitt at noen av diagnosene under skal behandles med protonterapi. På generell basis vil det være mindre aktuelt med protonterapi for eldre og/eller allment påvirkede pasienter hvor man gir hypofraksjonert strålebehandling. Dette er imidlertid ikke i seg selv ekskluderende. For utfyllende informasjon om pasientseleksjon til protonterapi, se [</w:t>
      </w:r>
      <w:r w:rsidRPr="00655DBF">
        <w:rPr>
          <w:rFonts w:ascii="Calibri" w:hAnsi="Calibri" w:cs="Calibri"/>
          <w:color w:val="0000FF"/>
          <w:sz w:val="22"/>
          <w:szCs w:val="22"/>
        </w:rPr>
        <w:t>REF! &lt;pasientseleksjon&gt;</w:t>
      </w:r>
      <w:r w:rsidRPr="00655DBF">
        <w:rPr>
          <w:rFonts w:ascii="Calibri" w:hAnsi="Calibri" w:cs="Calibri"/>
          <w:sz w:val="22"/>
          <w:szCs w:val="22"/>
        </w:rPr>
        <w:t>].</w:t>
      </w:r>
    </w:p>
    <w:p w:rsidR="00655DBF" w:rsidRPr="00655DBF" w:rsidP="00655DBF" w14:paraId="01693322" w14:textId="77777777">
      <w:pPr>
        <w:spacing w:line="259" w:lineRule="auto"/>
        <w:rPr>
          <w:rFonts w:ascii="Calibri" w:hAnsi="Calibri" w:cs="Calibri"/>
          <w:sz w:val="22"/>
          <w:szCs w:val="22"/>
        </w:rPr>
      </w:pPr>
    </w:p>
    <w:p w:rsidR="001A3D0A" w:rsidP="00655DBF" w14:paraId="0D0BF1B7" w14:textId="3BDB627D">
      <w:pPr>
        <w:spacing w:line="259" w:lineRule="auto"/>
        <w:rPr>
          <w:rFonts w:ascii="Calibri" w:hAnsi="Calibri" w:cs="Calibri"/>
          <w:sz w:val="22"/>
          <w:szCs w:val="22"/>
        </w:rPr>
      </w:pPr>
      <w:r w:rsidRPr="00655DBF">
        <w:rPr>
          <w:rFonts w:ascii="Calibri" w:hAnsi="Calibri" w:cs="Calibri"/>
          <w:sz w:val="22"/>
          <w:szCs w:val="22"/>
        </w:rPr>
        <w:t>Ewing sarkom og rabdomyosarkom vil ofte inkluderes i studier (INTER-Ewing-1 og FAR-RMS). For de aller fleste bløtvevssarkomer vil fotonbehandling foretrekkes, men i trunkus lokaliserte, paraspinale, ØNH lokalisert og hos barn og unge voksne kan protoner vurderes.</w:t>
      </w:r>
    </w:p>
    <w:p w:rsidR="00655DBF" w:rsidP="00655DBF" w14:paraId="77012136" w14:textId="77777777">
      <w:pPr>
        <w:spacing w:line="259" w:lineRule="auto"/>
        <w:rPr>
          <w:rFonts w:ascii="Calibri" w:hAnsi="Calibri" w:cs="Calibri"/>
          <w:sz w:val="22"/>
          <w:szCs w:val="22"/>
        </w:rPr>
      </w:pPr>
    </w:p>
    <w:p w:rsidR="00610B7B" w:rsidP="00610B7B" w14:paraId="31991AB0" w14:textId="1EC38A07">
      <w:pPr>
        <w:pStyle w:val="Caption"/>
        <w:keepNext/>
      </w:pPr>
      <w:r>
        <w:t xml:space="preserve">Tabell </w:t>
      </w:r>
      <w:r w:rsidR="00EB53AF">
        <w:fldChar w:fldCharType="begin"/>
      </w:r>
      <w:r w:rsidR="00EB53AF">
        <w:instrText xml:space="preserve"> SEQ Tabell \* ARABIC </w:instrText>
      </w:r>
      <w:r w:rsidR="00EB53AF">
        <w:fldChar w:fldCharType="separate"/>
      </w:r>
      <w:r w:rsidR="00EB53AF">
        <w:t>1</w:t>
      </w:r>
      <w:r w:rsidR="00EB53AF">
        <w:rPr>
          <w:noProof/>
        </w:rPr>
        <w:fldChar w:fldCharType="end"/>
      </w:r>
      <w:r>
        <w:t>: Oversikt over fraksjonering for de vanligste diagnosegruppene.</w:t>
      </w:r>
    </w:p>
    <w:tbl>
      <w:tblPr>
        <w:tblStyle w:val="GridTable4Accent1"/>
        <w:tblW w:w="0" w:type="auto"/>
        <w:tblLook w:val="04A0"/>
      </w:tblPr>
      <w:tblGrid>
        <w:gridCol w:w="1696"/>
        <w:gridCol w:w="7365"/>
      </w:tblGrid>
      <w:tr w14:paraId="3D4BC814" w14:textId="77777777" w:rsidTr="000104B4">
        <w:tblPrEx>
          <w:tblW w:w="0" w:type="auto"/>
          <w:tblLook w:val="04A0"/>
        </w:tblPrEx>
        <w:tc>
          <w:tcPr>
            <w:tcW w:w="1696" w:type="dxa"/>
          </w:tcPr>
          <w:p w:rsidR="00655DBF" w:rsidRPr="000104B4" w:rsidP="00655DBF" w14:paraId="596FDE57" w14:textId="6667CD0C">
            <w:pPr>
              <w:spacing w:line="259" w:lineRule="auto"/>
              <w:rPr>
                <w:rFonts w:ascii="Calibri" w:hAnsi="Calibri" w:cs="Calibri"/>
                <w:sz w:val="18"/>
                <w:szCs w:val="18"/>
              </w:rPr>
            </w:pPr>
            <w:r w:rsidRPr="000104B4">
              <w:rPr>
                <w:rFonts w:ascii="Calibri" w:hAnsi="Calibri" w:cs="Calibri"/>
                <w:sz w:val="18"/>
                <w:szCs w:val="18"/>
              </w:rPr>
              <w:t>Diagnosegruppe</w:t>
            </w:r>
          </w:p>
        </w:tc>
        <w:tc>
          <w:tcPr>
            <w:tcW w:w="7365" w:type="dxa"/>
          </w:tcPr>
          <w:p w:rsidR="00655DBF" w:rsidRPr="000104B4" w:rsidP="00655DBF" w14:paraId="33B18BC5" w14:textId="7028DAFC">
            <w:pPr>
              <w:spacing w:line="259" w:lineRule="auto"/>
              <w:rPr>
                <w:rFonts w:ascii="Calibri" w:hAnsi="Calibri" w:cs="Calibri"/>
                <w:sz w:val="18"/>
                <w:szCs w:val="18"/>
              </w:rPr>
            </w:pPr>
            <w:r w:rsidRPr="000104B4">
              <w:rPr>
                <w:rFonts w:ascii="Calibri" w:hAnsi="Calibri" w:cs="Calibri"/>
                <w:sz w:val="18"/>
                <w:szCs w:val="18"/>
              </w:rPr>
              <w:t>Fraksjonering</w:t>
            </w:r>
          </w:p>
        </w:tc>
      </w:tr>
      <w:tr w14:paraId="274C7735" w14:textId="77777777" w:rsidTr="000104B4">
        <w:tblPrEx>
          <w:tblW w:w="0" w:type="auto"/>
          <w:tblLook w:val="04A0"/>
        </w:tblPrEx>
        <w:tc>
          <w:tcPr>
            <w:tcW w:w="1696" w:type="dxa"/>
          </w:tcPr>
          <w:p w:rsidR="00655DBF" w:rsidRPr="000104B4" w:rsidP="00655DBF" w14:paraId="1F4773FF" w14:textId="24F16E42">
            <w:pPr>
              <w:spacing w:line="259" w:lineRule="auto"/>
              <w:rPr>
                <w:rFonts w:ascii="Calibri" w:hAnsi="Calibri" w:cs="Calibri"/>
                <w:sz w:val="18"/>
                <w:szCs w:val="18"/>
              </w:rPr>
            </w:pPr>
            <w:r w:rsidRPr="000104B4">
              <w:rPr>
                <w:rFonts w:ascii="Calibri" w:hAnsi="Calibri" w:cs="Calibri"/>
                <w:sz w:val="18"/>
                <w:szCs w:val="18"/>
              </w:rPr>
              <w:t>Ewings sarkom</w:t>
            </w:r>
          </w:p>
        </w:tc>
        <w:tc>
          <w:tcPr>
            <w:tcW w:w="7365" w:type="dxa"/>
          </w:tcPr>
          <w:p w:rsidR="009D10A4" w:rsidRPr="000104B4" w:rsidP="00655DBF" w14:paraId="0EF9F04E" w14:textId="77777777">
            <w:pPr>
              <w:spacing w:line="259" w:lineRule="auto"/>
              <w:rPr>
                <w:rFonts w:ascii="Calibri" w:hAnsi="Calibri" w:cs="Calibri"/>
                <w:sz w:val="18"/>
                <w:szCs w:val="18"/>
              </w:rPr>
            </w:pPr>
            <w:r w:rsidRPr="000104B4">
              <w:rPr>
                <w:rFonts w:ascii="Calibri" w:hAnsi="Calibri" w:cs="Calibri"/>
                <w:sz w:val="18"/>
                <w:szCs w:val="18"/>
              </w:rPr>
              <w:t>Preoperativ radioterapi</w:t>
            </w:r>
          </w:p>
          <w:p w:rsidR="00655DBF" w:rsidRPr="000104B4" w:rsidP="009D10A4" w14:paraId="0BB76047" w14:textId="1022F800">
            <w:pPr>
              <w:pStyle w:val="ListParagraph"/>
              <w:numPr>
                <w:ilvl w:val="0"/>
                <w:numId w:val="56"/>
              </w:numPr>
              <w:spacing w:line="259" w:lineRule="auto"/>
              <w:rPr>
                <w:rFonts w:ascii="Calibri" w:hAnsi="Calibri" w:cs="Calibri"/>
                <w:sz w:val="18"/>
                <w:szCs w:val="18"/>
              </w:rPr>
            </w:pPr>
            <w:r w:rsidRPr="000104B4">
              <w:rPr>
                <w:rFonts w:ascii="Calibri" w:hAnsi="Calibri" w:cs="Calibri"/>
                <w:sz w:val="18"/>
                <w:szCs w:val="18"/>
              </w:rPr>
              <w:t>50.4 Gy (RBE) / 28fx</w:t>
            </w:r>
          </w:p>
          <w:p w:rsidR="00655DBF" w:rsidRPr="000104B4" w:rsidP="00655DBF" w14:paraId="397A006B" w14:textId="77777777">
            <w:pPr>
              <w:spacing w:line="259" w:lineRule="auto"/>
              <w:rPr>
                <w:rFonts w:ascii="Calibri" w:hAnsi="Calibri" w:cs="Calibri"/>
                <w:sz w:val="18"/>
                <w:szCs w:val="18"/>
              </w:rPr>
            </w:pPr>
            <w:r w:rsidRPr="000104B4">
              <w:rPr>
                <w:rFonts w:ascii="Calibri" w:hAnsi="Calibri" w:cs="Calibri"/>
                <w:sz w:val="18"/>
                <w:szCs w:val="18"/>
              </w:rPr>
              <w:t>Postoperativ radioterapi</w:t>
            </w:r>
          </w:p>
          <w:p w:rsidR="00655DBF" w:rsidRPr="000104B4" w:rsidP="00655DBF" w14:paraId="34A8754A" w14:textId="77777777">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R1 reseksjon 54 Gy</w:t>
            </w:r>
            <w:r w:rsidRPr="000104B4" w:rsidR="009D10A4">
              <w:rPr>
                <w:rFonts w:ascii="Calibri" w:hAnsi="Calibri" w:cs="Calibri"/>
                <w:sz w:val="18"/>
                <w:szCs w:val="18"/>
              </w:rPr>
              <w:t xml:space="preserve"> (RBE) / 30fx</w:t>
            </w:r>
          </w:p>
          <w:p w:rsidR="009D10A4" w:rsidRPr="000104B4" w:rsidP="00655DBF" w14:paraId="1339B11E" w14:textId="63D3877C">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R0 reksjon 45 Gy (RBE) / 25 fx</w:t>
            </w:r>
          </w:p>
        </w:tc>
      </w:tr>
      <w:tr w14:paraId="72D0925F" w14:textId="77777777" w:rsidTr="000104B4">
        <w:tblPrEx>
          <w:tblW w:w="0" w:type="auto"/>
          <w:tblLook w:val="04A0"/>
        </w:tblPrEx>
        <w:tc>
          <w:tcPr>
            <w:tcW w:w="1696" w:type="dxa"/>
          </w:tcPr>
          <w:p w:rsidR="00655DBF" w:rsidRPr="000104B4" w:rsidP="00655DBF" w14:paraId="3B8605A5" w14:textId="21BEE0F6">
            <w:pPr>
              <w:spacing w:line="259" w:lineRule="auto"/>
              <w:rPr>
                <w:rFonts w:ascii="Calibri" w:hAnsi="Calibri" w:cs="Calibri"/>
                <w:sz w:val="18"/>
                <w:szCs w:val="18"/>
              </w:rPr>
            </w:pPr>
            <w:r w:rsidRPr="000104B4">
              <w:rPr>
                <w:rFonts w:ascii="Calibri" w:hAnsi="Calibri" w:cs="Calibri"/>
                <w:sz w:val="18"/>
                <w:szCs w:val="18"/>
              </w:rPr>
              <w:t>Desmoid</w:t>
            </w:r>
          </w:p>
        </w:tc>
        <w:tc>
          <w:tcPr>
            <w:tcW w:w="7365" w:type="dxa"/>
          </w:tcPr>
          <w:p w:rsidR="00655DBF" w:rsidRPr="000104B4" w:rsidP="00655DBF" w14:paraId="1F93592B" w14:textId="3E77A1B1">
            <w:pPr>
              <w:spacing w:line="259" w:lineRule="auto"/>
              <w:rPr>
                <w:rFonts w:ascii="Calibri" w:hAnsi="Calibri" w:cs="Calibri"/>
                <w:sz w:val="18"/>
                <w:szCs w:val="18"/>
              </w:rPr>
            </w:pPr>
            <w:r w:rsidRPr="000104B4">
              <w:rPr>
                <w:rFonts w:ascii="Calibri" w:hAnsi="Calibri" w:cs="Calibri"/>
                <w:sz w:val="18"/>
                <w:szCs w:val="18"/>
              </w:rPr>
              <w:t>56 Gy (RBE) / 28 fx</w:t>
            </w:r>
          </w:p>
        </w:tc>
      </w:tr>
      <w:tr w14:paraId="6ED96786" w14:textId="77777777" w:rsidTr="000104B4">
        <w:tblPrEx>
          <w:tblW w:w="0" w:type="auto"/>
          <w:tblLook w:val="04A0"/>
        </w:tblPrEx>
        <w:tc>
          <w:tcPr>
            <w:tcW w:w="1696" w:type="dxa"/>
          </w:tcPr>
          <w:p w:rsidR="00655DBF" w:rsidRPr="000104B4" w:rsidP="00655DBF" w14:paraId="468C38DA" w14:textId="04227F24">
            <w:pPr>
              <w:spacing w:line="259" w:lineRule="auto"/>
              <w:rPr>
                <w:rFonts w:ascii="Calibri" w:hAnsi="Calibri" w:cs="Calibri"/>
                <w:sz w:val="18"/>
                <w:szCs w:val="18"/>
              </w:rPr>
            </w:pPr>
            <w:r w:rsidRPr="000104B4">
              <w:rPr>
                <w:rFonts w:ascii="Calibri" w:hAnsi="Calibri" w:cs="Calibri"/>
                <w:sz w:val="18"/>
                <w:szCs w:val="18"/>
              </w:rPr>
              <w:t>Osteosarkom</w:t>
            </w:r>
          </w:p>
        </w:tc>
        <w:tc>
          <w:tcPr>
            <w:tcW w:w="7365" w:type="dxa"/>
          </w:tcPr>
          <w:p w:rsidR="00655DBF" w:rsidRPr="000104B4" w:rsidP="009D10A4" w14:paraId="58174CC4" w14:textId="32816C33">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56-62 Gy (RBE) etter mikroskopisk ufri margin</w:t>
            </w:r>
          </w:p>
          <w:p w:rsidR="009D10A4" w:rsidRPr="000104B4" w:rsidP="009D10A4" w14:paraId="726C6470" w14:textId="7AB036DA">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64-72 Gy (RBE) til makroskopisk tumor</w:t>
            </w:r>
          </w:p>
          <w:p w:rsidR="009D10A4" w:rsidRPr="000104B4" w:rsidP="00655DBF" w14:paraId="0C6DE43B" w14:textId="2280A290">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1.8-2 Gy (RBE) fraksjoner</w:t>
            </w:r>
          </w:p>
        </w:tc>
      </w:tr>
      <w:tr w14:paraId="73E80556" w14:textId="77777777" w:rsidTr="000104B4">
        <w:tblPrEx>
          <w:tblW w:w="0" w:type="auto"/>
          <w:tblLook w:val="04A0"/>
        </w:tblPrEx>
        <w:tc>
          <w:tcPr>
            <w:tcW w:w="1696" w:type="dxa"/>
          </w:tcPr>
          <w:p w:rsidR="00655DBF" w:rsidRPr="000104B4" w:rsidP="00655DBF" w14:paraId="25657372" w14:textId="450AD32E">
            <w:pPr>
              <w:spacing w:line="259" w:lineRule="auto"/>
              <w:rPr>
                <w:rFonts w:ascii="Calibri" w:hAnsi="Calibri" w:cs="Calibri"/>
                <w:sz w:val="18"/>
                <w:szCs w:val="18"/>
              </w:rPr>
            </w:pPr>
            <w:r w:rsidRPr="000104B4">
              <w:rPr>
                <w:rFonts w:ascii="Calibri" w:hAnsi="Calibri" w:cs="Calibri"/>
                <w:sz w:val="18"/>
                <w:szCs w:val="18"/>
              </w:rPr>
              <w:t>Chordom</w:t>
            </w:r>
          </w:p>
        </w:tc>
        <w:tc>
          <w:tcPr>
            <w:tcW w:w="7365" w:type="dxa"/>
          </w:tcPr>
          <w:p w:rsidR="00655DBF" w:rsidRPr="000104B4" w:rsidP="009D10A4" w14:paraId="29171C5E" w14:textId="617313A6">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 64Gy (RBE) i 1.8-2 Gy fraksjoner postoperativ</w:t>
            </w:r>
          </w:p>
          <w:p w:rsidR="009D10A4" w:rsidRPr="000104B4" w:rsidP="009D10A4" w14:paraId="400AA851" w14:textId="519009AC">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70-72 Gy (RBE)</w:t>
            </w:r>
          </w:p>
        </w:tc>
      </w:tr>
      <w:tr w14:paraId="682DA600" w14:textId="77777777" w:rsidTr="000104B4">
        <w:tblPrEx>
          <w:tblW w:w="0" w:type="auto"/>
          <w:tblLook w:val="04A0"/>
        </w:tblPrEx>
        <w:tc>
          <w:tcPr>
            <w:tcW w:w="1696" w:type="dxa"/>
          </w:tcPr>
          <w:p w:rsidR="00655DBF" w:rsidRPr="000104B4" w:rsidP="00655DBF" w14:paraId="2721B33F" w14:textId="139E0324">
            <w:pPr>
              <w:spacing w:line="259" w:lineRule="auto"/>
              <w:rPr>
                <w:rFonts w:ascii="Calibri" w:hAnsi="Calibri" w:cs="Calibri"/>
                <w:sz w:val="18"/>
                <w:szCs w:val="18"/>
              </w:rPr>
            </w:pPr>
            <w:r w:rsidRPr="000104B4">
              <w:rPr>
                <w:rFonts w:ascii="Calibri" w:hAnsi="Calibri" w:cs="Calibri"/>
                <w:sz w:val="18"/>
                <w:szCs w:val="18"/>
              </w:rPr>
              <w:t>RMS</w:t>
            </w:r>
          </w:p>
        </w:tc>
        <w:tc>
          <w:tcPr>
            <w:tcW w:w="7365" w:type="dxa"/>
          </w:tcPr>
          <w:p w:rsidR="00655DBF" w:rsidRPr="000104B4" w:rsidP="00655DBF" w14:paraId="603D20C5" w14:textId="77777777">
            <w:pPr>
              <w:spacing w:line="259" w:lineRule="auto"/>
              <w:rPr>
                <w:rFonts w:ascii="Calibri" w:hAnsi="Calibri" w:cs="Calibri"/>
                <w:sz w:val="18"/>
                <w:szCs w:val="18"/>
              </w:rPr>
            </w:pPr>
            <w:r w:rsidRPr="000104B4">
              <w:rPr>
                <w:rFonts w:ascii="Calibri" w:hAnsi="Calibri" w:cs="Calibri"/>
                <w:sz w:val="18"/>
                <w:szCs w:val="18"/>
              </w:rPr>
              <w:t>FaR-RMS protokoll, 3 randomiseringer:</w:t>
            </w:r>
          </w:p>
          <w:p w:rsidR="009D10A4" w:rsidP="009D10A4" w14:paraId="7ABC5114" w14:textId="77777777">
            <w:pPr>
              <w:pStyle w:val="ListParagraph"/>
              <w:numPr>
                <w:ilvl w:val="0"/>
                <w:numId w:val="55"/>
              </w:numPr>
              <w:spacing w:line="259" w:lineRule="auto"/>
              <w:rPr>
                <w:rFonts w:ascii="Calibri" w:hAnsi="Calibri" w:cs="Calibri"/>
                <w:sz w:val="18"/>
                <w:szCs w:val="18"/>
              </w:rPr>
            </w:pPr>
            <w:r w:rsidRPr="000104B4">
              <w:rPr>
                <w:rFonts w:ascii="Calibri" w:hAnsi="Calibri" w:cs="Calibri"/>
                <w:sz w:val="18"/>
                <w:szCs w:val="18"/>
              </w:rPr>
              <w:t>RT1a preop vs. Postop RT til primær</w:t>
            </w:r>
            <w:r w:rsidRPr="000104B4" w:rsidR="000104B4">
              <w:rPr>
                <w:rFonts w:ascii="Calibri" w:hAnsi="Calibri" w:cs="Calibri"/>
                <w:sz w:val="18"/>
                <w:szCs w:val="18"/>
              </w:rPr>
              <w:t xml:space="preserve"> tumor/tumor site 41.4 Gy (RBE) / 23 fx</w:t>
            </w:r>
          </w:p>
          <w:p w:rsidR="000104B4" w:rsidP="009D10A4" w14:paraId="24A4D4F9" w14:textId="16130E55">
            <w:pPr>
              <w:pStyle w:val="ListParagraph"/>
              <w:numPr>
                <w:ilvl w:val="0"/>
                <w:numId w:val="55"/>
              </w:numPr>
              <w:spacing w:line="259" w:lineRule="auto"/>
              <w:rPr>
                <w:rFonts w:ascii="Calibri" w:hAnsi="Calibri" w:cs="Calibri"/>
                <w:sz w:val="18"/>
                <w:szCs w:val="18"/>
              </w:rPr>
            </w:pPr>
            <w:r>
              <w:rPr>
                <w:rFonts w:ascii="Calibri" w:hAnsi="Calibri" w:cs="Calibri"/>
                <w:sz w:val="18"/>
                <w:szCs w:val="18"/>
              </w:rPr>
              <w:t>RT1b doseeskalering 41.4 Gy (RBE) / 23 fx vs</w:t>
            </w:r>
            <w:r w:rsidR="00610B7B">
              <w:rPr>
                <w:rFonts w:ascii="Calibri" w:hAnsi="Calibri" w:cs="Calibri"/>
                <w:sz w:val="18"/>
                <w:szCs w:val="18"/>
              </w:rPr>
              <w:t>.</w:t>
            </w:r>
            <w:r>
              <w:rPr>
                <w:rFonts w:ascii="Calibri" w:hAnsi="Calibri" w:cs="Calibri"/>
                <w:sz w:val="18"/>
                <w:szCs w:val="18"/>
              </w:rPr>
              <w:t xml:space="preserve"> 50.4 G</w:t>
            </w:r>
            <w:r w:rsidR="00610B7B">
              <w:rPr>
                <w:rFonts w:ascii="Calibri" w:hAnsi="Calibri" w:cs="Calibri"/>
                <w:sz w:val="18"/>
                <w:szCs w:val="18"/>
              </w:rPr>
              <w:t>y</w:t>
            </w:r>
            <w:r>
              <w:rPr>
                <w:rFonts w:ascii="Calibri" w:hAnsi="Calibri" w:cs="Calibri"/>
                <w:sz w:val="18"/>
                <w:szCs w:val="18"/>
              </w:rPr>
              <w:t xml:space="preserve"> (RBE) / 28 fx for pasienter med høy risiko av lokalt residiv</w:t>
            </w:r>
          </w:p>
          <w:p w:rsidR="000104B4" w:rsidRPr="000104B4" w:rsidP="009D10A4" w14:paraId="52E64D3B" w14:textId="716D750E">
            <w:pPr>
              <w:pStyle w:val="ListParagraph"/>
              <w:numPr>
                <w:ilvl w:val="0"/>
                <w:numId w:val="55"/>
              </w:numPr>
              <w:spacing w:line="259" w:lineRule="auto"/>
              <w:rPr>
                <w:rFonts w:ascii="Calibri" w:hAnsi="Calibri" w:cs="Calibri"/>
                <w:sz w:val="18"/>
                <w:szCs w:val="18"/>
              </w:rPr>
            </w:pPr>
            <w:r>
              <w:rPr>
                <w:rFonts w:ascii="Calibri" w:hAnsi="Calibri" w:cs="Calibri"/>
                <w:sz w:val="18"/>
                <w:szCs w:val="18"/>
              </w:rPr>
              <w:t>RT1c doseeskalering 41.4 Gy (RBE)</w:t>
            </w:r>
            <w:r w:rsidR="00610B7B">
              <w:rPr>
                <w:rFonts w:ascii="Calibri" w:hAnsi="Calibri" w:cs="Calibri"/>
                <w:sz w:val="18"/>
                <w:szCs w:val="18"/>
              </w:rPr>
              <w:t xml:space="preserve"> / 23 fx vs. 50.4 Gy (RBE) / 28 fx for definitiv RT</w:t>
            </w:r>
          </w:p>
        </w:tc>
      </w:tr>
      <w:tr w14:paraId="6FCC6368" w14:textId="77777777" w:rsidTr="000104B4">
        <w:tblPrEx>
          <w:tblW w:w="0" w:type="auto"/>
          <w:tblLook w:val="04A0"/>
        </w:tblPrEx>
        <w:tc>
          <w:tcPr>
            <w:tcW w:w="1696" w:type="dxa"/>
          </w:tcPr>
          <w:p w:rsidR="00655DBF" w:rsidRPr="000104B4" w:rsidP="00655DBF" w14:paraId="3A463879" w14:textId="792B4C39">
            <w:pPr>
              <w:spacing w:line="259" w:lineRule="auto"/>
              <w:rPr>
                <w:rFonts w:ascii="Calibri" w:hAnsi="Calibri" w:cs="Calibri"/>
                <w:sz w:val="18"/>
                <w:szCs w:val="18"/>
              </w:rPr>
            </w:pPr>
            <w:r>
              <w:rPr>
                <w:rFonts w:ascii="Calibri" w:hAnsi="Calibri" w:cs="Calibri"/>
                <w:sz w:val="18"/>
                <w:szCs w:val="18"/>
              </w:rPr>
              <w:t>Bløtvevssarkom</w:t>
            </w:r>
          </w:p>
        </w:tc>
        <w:tc>
          <w:tcPr>
            <w:tcW w:w="7365" w:type="dxa"/>
          </w:tcPr>
          <w:p w:rsidR="00655DBF" w:rsidP="00610B7B" w14:paraId="14238DDC" w14:textId="77777777">
            <w:pPr>
              <w:pStyle w:val="ListParagraph"/>
              <w:numPr>
                <w:ilvl w:val="0"/>
                <w:numId w:val="55"/>
              </w:numPr>
              <w:spacing w:line="259" w:lineRule="auto"/>
              <w:rPr>
                <w:rFonts w:ascii="Calibri" w:hAnsi="Calibri" w:cs="Calibri"/>
                <w:sz w:val="18"/>
                <w:szCs w:val="18"/>
              </w:rPr>
            </w:pPr>
            <w:r>
              <w:rPr>
                <w:rFonts w:ascii="Calibri" w:hAnsi="Calibri" w:cs="Calibri"/>
                <w:sz w:val="18"/>
                <w:szCs w:val="18"/>
              </w:rPr>
              <w:t>Preoperativ radioterapi 50-50.4 Gy (RBE) i 1.8-2 Gy (RBE) fraksjoner, unntak av myxoid liposarkom (36 Gy (RBE) i 2 Gy (RBE) fraksjoner)</w:t>
            </w:r>
          </w:p>
          <w:p w:rsidR="00610B7B" w:rsidP="00610B7B" w14:paraId="661637D5" w14:textId="77777777">
            <w:pPr>
              <w:pStyle w:val="ListParagraph"/>
              <w:numPr>
                <w:ilvl w:val="0"/>
                <w:numId w:val="55"/>
              </w:numPr>
              <w:spacing w:line="259" w:lineRule="auto"/>
              <w:rPr>
                <w:rFonts w:ascii="Calibri" w:hAnsi="Calibri" w:cs="Calibri"/>
                <w:sz w:val="18"/>
                <w:szCs w:val="18"/>
              </w:rPr>
            </w:pPr>
            <w:r w:rsidRPr="00610B7B">
              <w:rPr>
                <w:rFonts w:ascii="Calibri" w:hAnsi="Calibri" w:cs="Calibri"/>
                <w:sz w:val="18"/>
                <w:szCs w:val="18"/>
              </w:rPr>
              <w:t>Hypofraksjonert preoperativ radioterapi kan vurderes - Roohani et al. (2024)</w:t>
            </w:r>
          </w:p>
          <w:p w:rsidR="00610B7B" w:rsidP="00610B7B" w14:paraId="7DB88AAD" w14:textId="77777777">
            <w:pPr>
              <w:pStyle w:val="ListParagraph"/>
              <w:numPr>
                <w:ilvl w:val="0"/>
                <w:numId w:val="55"/>
              </w:numPr>
              <w:spacing w:line="259" w:lineRule="auto"/>
              <w:rPr>
                <w:rFonts w:ascii="Calibri" w:hAnsi="Calibri" w:cs="Calibri"/>
                <w:sz w:val="18"/>
                <w:szCs w:val="18"/>
              </w:rPr>
            </w:pPr>
            <w:r w:rsidRPr="00610B7B">
              <w:rPr>
                <w:rFonts w:ascii="Calibri" w:hAnsi="Calibri" w:cs="Calibri"/>
                <w:sz w:val="18"/>
                <w:szCs w:val="18"/>
              </w:rPr>
              <w:t>Postoperativ radioterapi 50 Gy (RBE) i 1.8-2 Gy (RBE) fraksjone</w:t>
            </w:r>
            <w:r>
              <w:rPr>
                <w:rFonts w:ascii="Calibri" w:hAnsi="Calibri" w:cs="Calibri"/>
                <w:sz w:val="18"/>
                <w:szCs w:val="18"/>
              </w:rPr>
              <w:t>r</w:t>
            </w:r>
          </w:p>
          <w:p w:rsidR="00610B7B" w:rsidRPr="00610B7B" w:rsidP="00610B7B" w14:paraId="32F15811" w14:textId="79174191">
            <w:pPr>
              <w:pStyle w:val="ListParagraph"/>
              <w:numPr>
                <w:ilvl w:val="0"/>
                <w:numId w:val="55"/>
              </w:numPr>
              <w:spacing w:line="259" w:lineRule="auto"/>
              <w:rPr>
                <w:rFonts w:ascii="Calibri" w:hAnsi="Calibri" w:cs="Calibri"/>
                <w:sz w:val="18"/>
                <w:szCs w:val="18"/>
              </w:rPr>
            </w:pPr>
            <w:r w:rsidRPr="00610B7B">
              <w:rPr>
                <w:rFonts w:ascii="Calibri" w:hAnsi="Calibri" w:cs="Calibri"/>
                <w:sz w:val="18"/>
                <w:szCs w:val="18"/>
              </w:rPr>
              <w:t>Definitiv radioterapi 64-66 Gy I 1.8-2 Gy (RBE) fraksjoner - Wiltink et al. (2024)</w:t>
            </w:r>
          </w:p>
        </w:tc>
      </w:tr>
    </w:tbl>
    <w:p w:rsidR="00655DBF" w:rsidRPr="009D10A4" w:rsidP="00655DBF" w14:paraId="54E39F78" w14:textId="77777777">
      <w:pPr>
        <w:spacing w:line="259" w:lineRule="auto"/>
        <w:rPr>
          <w:rFonts w:ascii="Calibri" w:hAnsi="Calibri" w:cs="Calibri"/>
          <w:sz w:val="22"/>
          <w:szCs w:val="22"/>
        </w:rPr>
      </w:pPr>
    </w:p>
    <w:p w:rsidR="00DF7BA8" w:rsidRPr="00360258" w:rsidP="00066A58" w14:paraId="7EAD1982" w14:textId="77777777">
      <w:pPr>
        <w:spacing w:line="259" w:lineRule="auto"/>
        <w:rPr>
          <w:rFonts w:cstheme="minorHAnsi"/>
        </w:rPr>
      </w:pPr>
      <w:r w:rsidRPr="00360258">
        <w:rPr>
          <w:rFonts w:cstheme="minorHAnsi"/>
        </w:rPr>
        <w:t xml:space="preserve">  </w:t>
      </w:r>
    </w:p>
    <w:p w:rsidR="002014B5" w14:paraId="4D7F39DC" w14:textId="77777777">
      <w:pPr>
        <w:rPr>
          <w:rFonts w:asciiTheme="majorHAnsi" w:hAnsiTheme="majorHAnsi"/>
          <w:color w:val="365F91"/>
          <w:sz w:val="32"/>
        </w:rPr>
      </w:pPr>
      <w:r>
        <w:br w:type="page"/>
      </w:r>
    </w:p>
    <w:p w:rsidR="00510BDF" w:rsidP="00066A58" w14:paraId="51B8808B" w14:textId="5D8835A7">
      <w:pPr>
        <w:pStyle w:val="Heading1"/>
        <w:spacing w:line="259" w:lineRule="auto"/>
      </w:pPr>
      <w:bookmarkStart w:id="1" w:name="_Toc256000001"/>
      <w:r>
        <w:t>Ansvar</w:t>
      </w:r>
      <w:bookmarkEnd w:id="1"/>
      <w:r>
        <w:t xml:space="preserve"> </w:t>
      </w:r>
    </w:p>
    <w:p w:rsidR="00935DE6" w:rsidRPr="002947CC" w:rsidP="002947CC" w14:paraId="5824584A" w14:textId="5A3FCC8E">
      <w:pPr>
        <w:textAlignment w:val="baseline"/>
        <w:rPr>
          <w:rFonts w:ascii="Calibri" w:hAnsi="Calibri" w:cs="Calibri"/>
          <w:sz w:val="22"/>
          <w:szCs w:val="22"/>
        </w:rPr>
      </w:pPr>
      <w:r w:rsidRPr="001A3D0A">
        <w:rPr>
          <w:rFonts w:ascii="Calibri" w:hAnsi="Calibri" w:cs="Calibri"/>
          <w:sz w:val="22"/>
          <w:szCs w:val="22"/>
        </w:rPr>
        <w:t>Denne retningslinjen er utviklet av en gruppe bestående av sentrale fagpersoner innenfor strålebehandling av sarkom ved Oslo Universitetssykehus og Haukeland Universitetssykehus. Retningslinjen er avstemt ved stråleterapimiljøer på St. Olavs hospital og Universitetssykehuset Nord-Norge. </w:t>
      </w:r>
    </w:p>
    <w:p w:rsidR="00DF7BA8" w:rsidRPr="00DF7BA8" w:rsidP="00066A58" w14:paraId="055BFCA8" w14:textId="77777777">
      <w:pPr>
        <w:spacing w:line="259" w:lineRule="auto"/>
        <w:rPr>
          <w:rFonts w:cstheme="minorHAnsi"/>
        </w:rPr>
      </w:pPr>
    </w:p>
    <w:p w:rsidR="001A3D0A" w:rsidRPr="00561498" w:rsidP="00561498" w14:paraId="34F8707B" w14:textId="77777777">
      <w:pPr>
        <w:pStyle w:val="Heading1"/>
        <w:spacing w:line="259" w:lineRule="auto"/>
      </w:pPr>
      <w:bookmarkStart w:id="2" w:name="_Toc256000002"/>
      <w:r>
        <w:t>Bildegrunnlag og fiksering</w:t>
      </w:r>
      <w:bookmarkEnd w:id="2"/>
    </w:p>
    <w:p w:rsidR="001A3D0A" w:rsidRPr="001A3D0A" w:rsidP="001A3D0A" w14:paraId="39FFE20B" w14:textId="662C86ED">
      <w:pPr>
        <w:textAlignment w:val="baseline"/>
        <w:rPr>
          <w:rFonts w:ascii="Calibri" w:hAnsi="Calibri" w:cs="Calibri"/>
          <w:sz w:val="22"/>
          <w:szCs w:val="22"/>
        </w:rPr>
      </w:pPr>
      <w:r w:rsidRPr="001A3D0A">
        <w:rPr>
          <w:rFonts w:ascii="Calibri" w:hAnsi="Calibri" w:cs="Calibri"/>
          <w:sz w:val="22"/>
          <w:szCs w:val="22"/>
        </w:rPr>
        <w:t>Se generelle prosedyrer for avbildning</w:t>
      </w:r>
      <w:r w:rsidR="00527FF5">
        <w:rPr>
          <w:rFonts w:ascii="Calibri" w:hAnsi="Calibri" w:cs="Calibri"/>
          <w:sz w:val="22"/>
          <w:szCs w:val="22"/>
        </w:rPr>
        <w:t xml:space="preserve"> (</w:t>
      </w:r>
      <w:r w:rsidR="00527FF5">
        <w:rPr>
          <w:rFonts w:ascii="Calibri" w:hAnsi="Calibri" w:cs="Calibri"/>
          <w:color w:val="0000FF"/>
          <w:sz w:val="22"/>
          <w:szCs w:val="22"/>
        </w:rPr>
        <w:t xml:space="preserve">Nasjonal retningslinje for avbildning ved planlegging av protonterapi) </w:t>
      </w:r>
      <w:r w:rsidRPr="001A3D0A">
        <w:rPr>
          <w:rFonts w:ascii="Calibri" w:hAnsi="Calibri" w:cs="Calibri"/>
          <w:sz w:val="22"/>
          <w:szCs w:val="22"/>
        </w:rPr>
        <w:t xml:space="preserve">og </w:t>
      </w:r>
      <w:r w:rsidR="00527FF5">
        <w:rPr>
          <w:rFonts w:ascii="Calibri" w:hAnsi="Calibri" w:cs="Calibri"/>
          <w:sz w:val="22"/>
          <w:szCs w:val="22"/>
        </w:rPr>
        <w:t>fiksering (</w:t>
      </w:r>
      <w:r w:rsidR="00527FF5">
        <w:rPr>
          <w:rFonts w:ascii="Calibri" w:hAnsi="Calibri" w:cs="Calibri"/>
          <w:color w:val="0000FF"/>
          <w:sz w:val="22"/>
          <w:szCs w:val="22"/>
        </w:rPr>
        <w:t>Nasjonal overordnet oversikt for proton</w:t>
      </w:r>
      <w:r w:rsidRPr="001A3D0A">
        <w:rPr>
          <w:rFonts w:ascii="Calibri" w:hAnsi="Calibri" w:cs="Calibri"/>
          <w:color w:val="0000FF"/>
          <w:sz w:val="22"/>
          <w:szCs w:val="22"/>
        </w:rPr>
        <w:t>f</w:t>
      </w:r>
      <w:r w:rsidRPr="00655DBF">
        <w:rPr>
          <w:rFonts w:ascii="Calibri" w:hAnsi="Calibri" w:cs="Calibri"/>
          <w:color w:val="0000FF"/>
          <w:sz w:val="22"/>
          <w:szCs w:val="22"/>
        </w:rPr>
        <w:t>ikseri</w:t>
      </w:r>
      <w:r w:rsidRPr="001A3D0A">
        <w:rPr>
          <w:rFonts w:ascii="Calibri" w:hAnsi="Calibri" w:cs="Calibri"/>
          <w:color w:val="0000FF"/>
          <w:sz w:val="22"/>
          <w:szCs w:val="22"/>
        </w:rPr>
        <w:t>ng</w:t>
      </w:r>
      <w:r w:rsidRPr="00527FF5" w:rsidR="00527FF5">
        <w:rPr>
          <w:rFonts w:ascii="Calibri" w:hAnsi="Calibri" w:cs="Calibri"/>
          <w:sz w:val="22"/>
          <w:szCs w:val="22"/>
        </w:rPr>
        <w:t>)</w:t>
      </w:r>
      <w:r w:rsidRPr="001A3D0A">
        <w:rPr>
          <w:rFonts w:ascii="Calibri" w:hAnsi="Calibri" w:cs="Calibri"/>
          <w:sz w:val="22"/>
          <w:szCs w:val="22"/>
        </w:rPr>
        <w:t>. Pasienten skal fikseres med hensiktsmessig protonfiksering for det aktuelle behandlingsområde. Ved metallimplantater og/eller artefakter se generelle prosedyrer [</w:t>
      </w:r>
      <w:r w:rsidRPr="001A3D0A">
        <w:rPr>
          <w:rFonts w:ascii="Calibri" w:hAnsi="Calibri" w:cs="Calibri"/>
          <w:color w:val="0000FF"/>
          <w:sz w:val="22"/>
          <w:szCs w:val="22"/>
        </w:rPr>
        <w:t>REF! &lt;metall og artefakter&gt;</w:t>
      </w:r>
      <w:r w:rsidRPr="001A3D0A">
        <w:rPr>
          <w:rFonts w:ascii="Calibri" w:hAnsi="Calibri" w:cs="Calibri"/>
          <w:sz w:val="22"/>
          <w:szCs w:val="22"/>
        </w:rPr>
        <w:t>]. </w:t>
      </w:r>
    </w:p>
    <w:p w:rsidR="001A3D0A" w:rsidP="001A3D0A" w14:paraId="288FA527" w14:textId="77777777">
      <w:pPr>
        <w:textAlignment w:val="baseline"/>
        <w:rPr>
          <w:rFonts w:ascii="Calibri" w:hAnsi="Calibri" w:cs="Calibri"/>
          <w:sz w:val="22"/>
          <w:szCs w:val="22"/>
        </w:rPr>
      </w:pPr>
      <w:r w:rsidRPr="001A3D0A">
        <w:rPr>
          <w:rFonts w:ascii="Calibri" w:hAnsi="Calibri" w:cs="Calibri"/>
          <w:b/>
          <w:bCs/>
          <w:sz w:val="22"/>
          <w:szCs w:val="22"/>
        </w:rPr>
        <w:t>NB: Ved sykehus som skal utføre sammenliknende doseplanlegging, men som ikke har tilgjengelig utstyr for fiksering til protonbehandling, brukes standard fikseringsutstyr som ved konvensjonell strålebehandling. Ved henvisning til protonbehandling tas ny CT og ny fiksering utføres ved behandlende protonsenter.</w:t>
      </w:r>
      <w:r w:rsidRPr="001A3D0A">
        <w:rPr>
          <w:rFonts w:ascii="Calibri" w:hAnsi="Calibri" w:cs="Calibri"/>
          <w:sz w:val="22"/>
          <w:szCs w:val="22"/>
        </w:rPr>
        <w:t> </w:t>
      </w:r>
    </w:p>
    <w:p w:rsidR="00561498" w:rsidRPr="001A3D0A" w:rsidP="001A3D0A" w14:paraId="29BF84E3" w14:textId="77777777">
      <w:pPr>
        <w:textAlignment w:val="baseline"/>
        <w:rPr>
          <w:rFonts w:ascii="Calibri" w:hAnsi="Calibri" w:cs="Calibri"/>
          <w:sz w:val="22"/>
          <w:szCs w:val="22"/>
        </w:rPr>
      </w:pPr>
    </w:p>
    <w:p w:rsidR="001A3D0A" w:rsidRPr="001A3D0A" w:rsidP="00561498" w14:paraId="3359C963" w14:textId="77777777">
      <w:pPr>
        <w:pStyle w:val="Heading1"/>
      </w:pPr>
      <w:bookmarkStart w:id="3" w:name="_Toc256000003"/>
      <w:r w:rsidRPr="001A3D0A">
        <w:t>Inntegning av volumer</w:t>
      </w:r>
      <w:bookmarkEnd w:id="3"/>
      <w:r w:rsidRPr="001A3D0A">
        <w:t> </w:t>
      </w:r>
    </w:p>
    <w:p w:rsidR="001A3D0A" w:rsidRPr="001A3D0A" w:rsidP="00EF1D20" w14:paraId="168FBB67" w14:textId="77777777">
      <w:pPr>
        <w:pStyle w:val="Heading2"/>
      </w:pPr>
      <w:bookmarkStart w:id="4" w:name="_Toc256000004"/>
      <w:r w:rsidRPr="001A3D0A">
        <w:t>Risikoorgan og andre strukturer</w:t>
      </w:r>
      <w:bookmarkEnd w:id="4"/>
      <w:r w:rsidRPr="001A3D0A">
        <w:t> </w:t>
      </w:r>
    </w:p>
    <w:p w:rsidR="00183B08" w:rsidP="001A3D0A" w14:paraId="27B8BA34" w14:textId="1CC45875">
      <w:pPr>
        <w:textAlignment w:val="baseline"/>
        <w:rPr>
          <w:rFonts w:ascii="Calibri" w:hAnsi="Calibri" w:cs="Calibri"/>
          <w:sz w:val="22"/>
          <w:szCs w:val="22"/>
        </w:rPr>
      </w:pPr>
      <w:r w:rsidRPr="001A3D0A">
        <w:rPr>
          <w:rFonts w:ascii="Calibri" w:hAnsi="Calibri" w:cs="Calibri"/>
          <w:sz w:val="22"/>
          <w:szCs w:val="22"/>
        </w:rPr>
        <w:t xml:space="preserve">Hvilke risikoorganer som skal tegnes må vurderes individuelt avhengig av diagnose, målvolumets lokalisasjon, behandlingsintensjon, fraksjonering og totaldose. Merk at tabell </w:t>
      </w:r>
      <w:r w:rsidR="00245A17">
        <w:rPr>
          <w:rFonts w:ascii="Calibri" w:hAnsi="Calibri" w:cs="Calibri"/>
          <w:sz w:val="22"/>
          <w:szCs w:val="22"/>
        </w:rPr>
        <w:t>2</w:t>
      </w:r>
      <w:r w:rsidRPr="001A3D0A">
        <w:rPr>
          <w:rFonts w:ascii="Calibri" w:hAnsi="Calibri" w:cs="Calibri"/>
          <w:sz w:val="22"/>
          <w:szCs w:val="22"/>
        </w:rPr>
        <w:t xml:space="preserve"> ikke nødvendigvis er utfyllende og andre risikoområder som ikke dekkes her kan være aktuelle å tegne. I tabellen refereres det til andre diagnosespesifikke retningslinjer for protonplanlegging der det er aktuelt.</w:t>
      </w:r>
    </w:p>
    <w:p w:rsidR="001A3D0A" w:rsidRPr="001A3D0A" w:rsidP="001A3D0A" w14:paraId="23150921" w14:textId="6833D67F">
      <w:pPr>
        <w:textAlignment w:val="baseline"/>
        <w:rPr>
          <w:rFonts w:ascii="Calibri" w:hAnsi="Calibri" w:cs="Calibri"/>
          <w:sz w:val="22"/>
          <w:szCs w:val="22"/>
        </w:rPr>
      </w:pPr>
      <w:r w:rsidRPr="001A3D0A">
        <w:rPr>
          <w:rFonts w:ascii="Calibri" w:hAnsi="Calibri" w:cs="Calibri"/>
          <w:sz w:val="22"/>
          <w:szCs w:val="22"/>
        </w:rPr>
        <w:t> </w:t>
      </w:r>
    </w:p>
    <w:p w:rsidR="00183B08" w:rsidP="00183B08" w14:paraId="615D376E" w14:textId="3BF7891D">
      <w:pPr>
        <w:pStyle w:val="Caption"/>
        <w:keepNext/>
      </w:pPr>
      <w:r>
        <w:t xml:space="preserve">Tabell </w:t>
      </w:r>
      <w:r w:rsidR="00EB53AF">
        <w:fldChar w:fldCharType="begin"/>
      </w:r>
      <w:r w:rsidR="00EB53AF">
        <w:instrText xml:space="preserve"> SEQ Tabell \* ARABIC </w:instrText>
      </w:r>
      <w:r w:rsidR="00EB53AF">
        <w:fldChar w:fldCharType="separate"/>
      </w:r>
      <w:r w:rsidR="00EB53AF">
        <w:t>2</w:t>
      </w:r>
      <w:r w:rsidR="00EB53AF">
        <w:rPr>
          <w:noProof/>
        </w:rPr>
        <w:fldChar w:fldCharType="end"/>
      </w:r>
      <w:r>
        <w:t>: Risikoorganer og strukturer som kan være aktuelt å tegne inn.</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5"/>
        <w:gridCol w:w="1531"/>
        <w:gridCol w:w="2954"/>
        <w:gridCol w:w="3405"/>
      </w:tblGrid>
      <w:tr w14:paraId="3EEEC547" w14:textId="77777777" w:rsidTr="002947CC">
        <w:tblPrEx>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155" w:type="dxa"/>
            <w:tcBorders>
              <w:top w:val="single" w:sz="6" w:space="0" w:color="4F81BD"/>
              <w:left w:val="single" w:sz="6" w:space="0" w:color="4F81BD"/>
              <w:bottom w:val="single" w:sz="6" w:space="0" w:color="4F81BD"/>
              <w:right w:val="nil"/>
            </w:tcBorders>
            <w:shd w:val="clear" w:color="auto" w:fill="4F81BD"/>
            <w:hideMark/>
          </w:tcPr>
          <w:p w:rsidR="001A3D0A" w:rsidRPr="00527FF5" w:rsidP="001A3D0A" w14:paraId="5C424577" w14:textId="77777777">
            <w:pPr>
              <w:textAlignment w:val="baseline"/>
              <w:rPr>
                <w:rFonts w:ascii="Times New Roman" w:hAnsi="Times New Roman"/>
                <w:sz w:val="18"/>
                <w:szCs w:val="18"/>
              </w:rPr>
            </w:pPr>
            <w:r w:rsidRPr="00527FF5">
              <w:rPr>
                <w:rFonts w:ascii="Calibri" w:hAnsi="Calibri" w:cs="Calibri"/>
                <w:b/>
                <w:bCs/>
                <w:color w:val="FFFFFF"/>
                <w:sz w:val="18"/>
                <w:szCs w:val="18"/>
              </w:rPr>
              <w:t>Region </w:t>
            </w:r>
            <w:r w:rsidRPr="00527FF5">
              <w:rPr>
                <w:rFonts w:ascii="Calibri" w:hAnsi="Calibri" w:cs="Calibri"/>
                <w:color w:val="FFFFFF"/>
                <w:sz w:val="18"/>
                <w:szCs w:val="18"/>
              </w:rPr>
              <w:t> </w:t>
            </w:r>
          </w:p>
        </w:tc>
        <w:tc>
          <w:tcPr>
            <w:tcW w:w="1531" w:type="dxa"/>
            <w:tcBorders>
              <w:top w:val="single" w:sz="6" w:space="0" w:color="4F81BD"/>
              <w:left w:val="nil"/>
              <w:bottom w:val="single" w:sz="6" w:space="0" w:color="4F81BD"/>
              <w:right w:val="nil"/>
            </w:tcBorders>
            <w:shd w:val="clear" w:color="auto" w:fill="4F81BD"/>
            <w:hideMark/>
          </w:tcPr>
          <w:p w:rsidR="001A3D0A" w:rsidRPr="00527FF5" w:rsidP="001A3D0A" w14:paraId="756FD559" w14:textId="77777777">
            <w:pPr>
              <w:textAlignment w:val="baseline"/>
              <w:rPr>
                <w:rFonts w:ascii="Times New Roman" w:hAnsi="Times New Roman"/>
                <w:sz w:val="18"/>
                <w:szCs w:val="18"/>
              </w:rPr>
            </w:pPr>
            <w:r w:rsidRPr="00527FF5">
              <w:rPr>
                <w:rFonts w:ascii="Calibri" w:hAnsi="Calibri" w:cs="Calibri"/>
                <w:b/>
                <w:bCs/>
                <w:color w:val="FFFFFF"/>
                <w:sz w:val="18"/>
                <w:szCs w:val="18"/>
              </w:rPr>
              <w:t>Struktur  </w:t>
            </w:r>
            <w:r w:rsidRPr="00527FF5">
              <w:rPr>
                <w:rFonts w:ascii="Calibri" w:hAnsi="Calibri" w:cs="Calibri"/>
                <w:color w:val="FFFFFF"/>
                <w:sz w:val="18"/>
                <w:szCs w:val="18"/>
              </w:rPr>
              <w:t> </w:t>
            </w:r>
          </w:p>
        </w:tc>
        <w:tc>
          <w:tcPr>
            <w:tcW w:w="2954" w:type="dxa"/>
            <w:tcBorders>
              <w:top w:val="single" w:sz="6" w:space="0" w:color="4F81BD"/>
              <w:left w:val="nil"/>
              <w:bottom w:val="single" w:sz="6" w:space="0" w:color="4F81BD"/>
              <w:right w:val="nil"/>
            </w:tcBorders>
            <w:shd w:val="clear" w:color="auto" w:fill="4F81BD"/>
            <w:hideMark/>
          </w:tcPr>
          <w:p w:rsidR="001A3D0A" w:rsidRPr="00527FF5" w:rsidP="001A3D0A" w14:paraId="5E589F7B" w14:textId="77777777">
            <w:pPr>
              <w:textAlignment w:val="baseline"/>
              <w:rPr>
                <w:rFonts w:ascii="Times New Roman" w:hAnsi="Times New Roman"/>
                <w:sz w:val="18"/>
                <w:szCs w:val="18"/>
              </w:rPr>
            </w:pPr>
            <w:r w:rsidRPr="00527FF5">
              <w:rPr>
                <w:rFonts w:ascii="Calibri" w:hAnsi="Calibri" w:cs="Calibri"/>
                <w:b/>
                <w:bCs/>
                <w:color w:val="FFFFFF"/>
                <w:sz w:val="18"/>
                <w:szCs w:val="18"/>
              </w:rPr>
              <w:t>Beskrivelse/merknad </w:t>
            </w:r>
            <w:r w:rsidRPr="00527FF5">
              <w:rPr>
                <w:rFonts w:ascii="Calibri" w:hAnsi="Calibri" w:cs="Calibri"/>
                <w:color w:val="FFFFFF"/>
                <w:sz w:val="18"/>
                <w:szCs w:val="18"/>
              </w:rPr>
              <w:t> </w:t>
            </w:r>
          </w:p>
        </w:tc>
        <w:tc>
          <w:tcPr>
            <w:tcW w:w="3405" w:type="dxa"/>
            <w:tcBorders>
              <w:top w:val="single" w:sz="6" w:space="0" w:color="4F81BD"/>
              <w:left w:val="nil"/>
              <w:bottom w:val="single" w:sz="6" w:space="0" w:color="4F81BD"/>
              <w:right w:val="single" w:sz="6" w:space="0" w:color="4F81BD"/>
            </w:tcBorders>
            <w:shd w:val="clear" w:color="auto" w:fill="4F81BD"/>
            <w:hideMark/>
          </w:tcPr>
          <w:p w:rsidR="001A3D0A" w:rsidRPr="00527FF5" w:rsidP="001A3D0A" w14:paraId="08EB1E1C" w14:textId="77777777">
            <w:pPr>
              <w:textAlignment w:val="baseline"/>
              <w:rPr>
                <w:rFonts w:ascii="Times New Roman" w:hAnsi="Times New Roman"/>
                <w:sz w:val="18"/>
                <w:szCs w:val="18"/>
              </w:rPr>
            </w:pPr>
            <w:r w:rsidRPr="00527FF5">
              <w:rPr>
                <w:rFonts w:ascii="Calibri" w:hAnsi="Calibri" w:cs="Calibri"/>
                <w:b/>
                <w:bCs/>
                <w:color w:val="FFFFFF"/>
                <w:sz w:val="18"/>
                <w:szCs w:val="18"/>
              </w:rPr>
              <w:t>Retningslinje </w:t>
            </w:r>
            <w:r w:rsidRPr="00527FF5">
              <w:rPr>
                <w:rFonts w:ascii="Calibri" w:hAnsi="Calibri" w:cs="Calibri"/>
                <w:color w:val="FFFFFF"/>
                <w:sz w:val="18"/>
                <w:szCs w:val="18"/>
              </w:rPr>
              <w:t> </w:t>
            </w:r>
          </w:p>
        </w:tc>
      </w:tr>
      <w:tr w14:paraId="04DC2EA4" w14:textId="77777777" w:rsidTr="002947CC">
        <w:tblPrEx>
          <w:tblW w:w="9045" w:type="dxa"/>
          <w:tblCellMar>
            <w:left w:w="0" w:type="dxa"/>
            <w:right w:w="0" w:type="dxa"/>
          </w:tblCellMar>
          <w:tblLook w:val="04A0"/>
        </w:tblPrEx>
        <w:trPr>
          <w:trHeight w:val="300"/>
        </w:trPr>
        <w:tc>
          <w:tcPr>
            <w:tcW w:w="1155" w:type="dxa"/>
            <w:vMerge w:val="restart"/>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69131BF8" w14:textId="77777777">
            <w:pPr>
              <w:jc w:val="center"/>
              <w:textAlignment w:val="baseline"/>
              <w:rPr>
                <w:rFonts w:ascii="Times New Roman" w:hAnsi="Times New Roman"/>
                <w:sz w:val="18"/>
                <w:szCs w:val="18"/>
              </w:rPr>
            </w:pPr>
            <w:r w:rsidRPr="00527FF5">
              <w:rPr>
                <w:rFonts w:ascii="Calibri" w:hAnsi="Calibri" w:cs="Calibri"/>
                <w:b/>
                <w:bCs/>
                <w:sz w:val="18"/>
                <w:szCs w:val="18"/>
              </w:rPr>
              <w:t>Generelt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1D24D781" w14:textId="77777777">
            <w:pPr>
              <w:textAlignment w:val="baseline"/>
              <w:rPr>
                <w:rFonts w:ascii="Times New Roman" w:hAnsi="Times New Roman"/>
                <w:sz w:val="18"/>
                <w:szCs w:val="18"/>
              </w:rPr>
            </w:pPr>
            <w:r w:rsidRPr="00527FF5">
              <w:rPr>
                <w:rFonts w:ascii="Calibri" w:hAnsi="Calibri" w:cs="Calibri"/>
                <w:b/>
                <w:bCs/>
                <w:sz w:val="18"/>
                <w:szCs w:val="18"/>
              </w:rPr>
              <w:t>External</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296C449C"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3990D8DB" w14:textId="77777777">
            <w:pPr>
              <w:textAlignment w:val="baseline"/>
              <w:rPr>
                <w:rFonts w:ascii="Times New Roman" w:hAnsi="Times New Roman"/>
                <w:sz w:val="18"/>
                <w:szCs w:val="18"/>
              </w:rPr>
            </w:pPr>
            <w:r w:rsidRPr="00527FF5">
              <w:rPr>
                <w:rFonts w:ascii="Calibri" w:hAnsi="Calibri" w:cs="Calibri"/>
                <w:sz w:val="18"/>
                <w:szCs w:val="18"/>
              </w:rPr>
              <w:t>Inkluderer hele pasienten med all relevant fiksering inklusiv puter og bordtoppen. Kalles Body i Eclipse.  </w:t>
            </w:r>
          </w:p>
        </w:tc>
      </w:tr>
      <w:tr w14:paraId="6866D666" w14:textId="77777777" w:rsidTr="002947CC">
        <w:tblPrEx>
          <w:tblW w:w="9045" w:type="dxa"/>
          <w:tblCellMar>
            <w:left w:w="0" w:type="dxa"/>
            <w:right w:w="0" w:type="dxa"/>
          </w:tblCellMar>
          <w:tblLook w:val="04A0"/>
        </w:tblPrEx>
        <w:trPr>
          <w:trHeight w:val="45"/>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0DF5FE55"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312AB18F" w14:textId="77777777">
            <w:pPr>
              <w:textAlignment w:val="baseline"/>
              <w:rPr>
                <w:rFonts w:ascii="Times New Roman" w:hAnsi="Times New Roman"/>
                <w:sz w:val="18"/>
                <w:szCs w:val="18"/>
              </w:rPr>
            </w:pPr>
            <w:r w:rsidRPr="00527FF5">
              <w:rPr>
                <w:rFonts w:ascii="Calibri" w:hAnsi="Calibri" w:cs="Calibri"/>
                <w:b/>
                <w:bCs/>
                <w:sz w:val="18"/>
                <w:szCs w:val="18"/>
              </w:rPr>
              <w:t>Body</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4DEA9B02"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3C497052" w14:textId="77777777">
            <w:pPr>
              <w:textAlignment w:val="baseline"/>
              <w:rPr>
                <w:rFonts w:ascii="Times New Roman" w:hAnsi="Times New Roman"/>
                <w:sz w:val="18"/>
                <w:szCs w:val="18"/>
                <w:lang w:val="nn-NO"/>
              </w:rPr>
            </w:pPr>
            <w:r w:rsidRPr="00527FF5">
              <w:rPr>
                <w:rFonts w:ascii="Calibri" w:hAnsi="Calibri" w:cs="Calibri"/>
                <w:sz w:val="18"/>
                <w:szCs w:val="18"/>
              </w:rPr>
              <w:t xml:space="preserve">Inkluderer alt innenfor pasientens hud. </w:t>
            </w:r>
            <w:r w:rsidRPr="00527FF5">
              <w:rPr>
                <w:rFonts w:ascii="Calibri" w:hAnsi="Calibri" w:cs="Calibri"/>
                <w:sz w:val="18"/>
                <w:szCs w:val="18"/>
                <w:lang w:val="nn-NO"/>
              </w:rPr>
              <w:t>Kalles BodySurface i Eclipse.  </w:t>
            </w:r>
          </w:p>
        </w:tc>
      </w:tr>
      <w:tr w14:paraId="372DC898" w14:textId="77777777" w:rsidTr="002947CC">
        <w:tblPrEx>
          <w:tblW w:w="9045" w:type="dxa"/>
          <w:tblCellMar>
            <w:left w:w="0" w:type="dxa"/>
            <w:right w:w="0" w:type="dxa"/>
          </w:tblCellMar>
          <w:tblLook w:val="04A0"/>
        </w:tblPrEx>
        <w:trPr>
          <w:trHeight w:val="300"/>
        </w:trPr>
        <w:tc>
          <w:tcPr>
            <w:tcW w:w="1155" w:type="dxa"/>
            <w:tcBorders>
              <w:top w:val="single" w:sz="6" w:space="0" w:color="95B3D7"/>
              <w:left w:val="single" w:sz="6" w:space="0" w:color="95B3D7"/>
              <w:bottom w:val="single" w:sz="6" w:space="0" w:color="95B3D7"/>
              <w:right w:val="single" w:sz="6" w:space="0" w:color="95B3D7"/>
            </w:tcBorders>
            <w:shd w:val="clear" w:color="auto" w:fill="A6A6A6"/>
            <w:vAlign w:val="center"/>
            <w:hideMark/>
          </w:tcPr>
          <w:p w:rsidR="001A3D0A" w:rsidRPr="00527FF5" w:rsidP="001A3D0A" w14:paraId="4C3BF460" w14:textId="77777777">
            <w:pPr>
              <w:jc w:val="cente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6A6A6"/>
            <w:vAlign w:val="center"/>
            <w:hideMark/>
          </w:tcPr>
          <w:p w:rsidR="001A3D0A" w:rsidRPr="00527FF5" w:rsidP="001A3D0A" w14:paraId="331AE13D" w14:textId="77777777">
            <w:pPr>
              <w:textAlignment w:val="baseline"/>
              <w:rPr>
                <w:rFonts w:ascii="Times New Roman" w:hAnsi="Times New Roman"/>
                <w:sz w:val="18"/>
                <w:szCs w:val="18"/>
              </w:rPr>
            </w:pP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293FBD40" w14:textId="77777777">
            <w:pPr>
              <w:textAlignment w:val="baseline"/>
              <w:rPr>
                <w:rFonts w:ascii="Times New Roman" w:hAnsi="Times New Roman"/>
                <w:sz w:val="18"/>
                <w:szCs w:val="18"/>
              </w:rPr>
            </w:pPr>
            <w:r w:rsidRPr="00527FF5">
              <w:rPr>
                <w:rFonts w:ascii="Calibri" w:hAnsi="Calibri" w:cs="Calibri"/>
                <w:sz w:val="18"/>
                <w:szCs w:val="18"/>
              </w:rPr>
              <w:t>  </w:t>
            </w:r>
          </w:p>
        </w:tc>
        <w:tc>
          <w:tcPr>
            <w:tcW w:w="3405" w:type="dxa"/>
            <w:tcBorders>
              <w:top w:val="single" w:sz="6" w:space="0" w:color="95B3D7"/>
              <w:left w:val="single" w:sz="6" w:space="0" w:color="95B3D7"/>
              <w:bottom w:val="single" w:sz="6" w:space="0" w:color="95B3D7"/>
              <w:right w:val="single" w:sz="6" w:space="0" w:color="95B3D7"/>
            </w:tcBorders>
            <w:shd w:val="clear" w:color="auto" w:fill="A6A6A6"/>
            <w:vAlign w:val="center"/>
            <w:hideMark/>
          </w:tcPr>
          <w:p w:rsidR="001A3D0A" w:rsidRPr="00527FF5" w:rsidP="001A3D0A" w14:paraId="0D4BFCCC" w14:textId="77777777">
            <w:pPr>
              <w:textAlignment w:val="baseline"/>
              <w:rPr>
                <w:rFonts w:ascii="Times New Roman" w:hAnsi="Times New Roman"/>
                <w:sz w:val="18"/>
                <w:szCs w:val="18"/>
              </w:rPr>
            </w:pPr>
            <w:r w:rsidRPr="00527FF5">
              <w:rPr>
                <w:rFonts w:ascii="Calibri" w:hAnsi="Calibri" w:cs="Calibri"/>
                <w:sz w:val="18"/>
                <w:szCs w:val="18"/>
              </w:rPr>
              <w:t>  </w:t>
            </w:r>
          </w:p>
        </w:tc>
      </w:tr>
      <w:tr w14:paraId="20FC31FE" w14:textId="77777777" w:rsidTr="002947CC">
        <w:tblPrEx>
          <w:tblW w:w="9045" w:type="dxa"/>
          <w:tblCellMar>
            <w:left w:w="0" w:type="dxa"/>
            <w:right w:w="0" w:type="dxa"/>
          </w:tblCellMar>
          <w:tblLook w:val="04A0"/>
        </w:tblPrEx>
        <w:trPr>
          <w:trHeight w:val="300"/>
        </w:trPr>
        <w:tc>
          <w:tcPr>
            <w:tcW w:w="1155" w:type="dxa"/>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727548AE" w14:textId="77777777">
            <w:pPr>
              <w:jc w:val="center"/>
              <w:textAlignment w:val="baseline"/>
              <w:rPr>
                <w:rFonts w:ascii="Times New Roman" w:hAnsi="Times New Roman"/>
                <w:sz w:val="18"/>
                <w:szCs w:val="18"/>
              </w:rPr>
            </w:pPr>
            <w:r w:rsidRPr="00527FF5">
              <w:rPr>
                <w:rFonts w:ascii="Calibri" w:hAnsi="Calibri" w:cs="Calibri"/>
                <w:b/>
                <w:bCs/>
                <w:sz w:val="18"/>
                <w:szCs w:val="18"/>
              </w:rPr>
              <w:t>Hode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87236C5" w14:textId="77777777">
            <w:pPr>
              <w:jc w:val="center"/>
              <w:textAlignment w:val="baseline"/>
              <w:rPr>
                <w:rFonts w:ascii="Times New Roman" w:hAnsi="Times New Roman"/>
                <w:sz w:val="18"/>
                <w:szCs w:val="18"/>
              </w:rPr>
            </w:pPr>
            <w:r w:rsidRPr="00527FF5">
              <w:rPr>
                <w:rFonts w:ascii="Calibri" w:hAnsi="Calibri" w:cs="Calibri"/>
                <w:b/>
                <w:bCs/>
                <w:sz w:val="18"/>
                <w:szCs w:val="18"/>
              </w:rPr>
              <w:t>-</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70ABEB45" w14:textId="77777777">
            <w:pPr>
              <w:jc w:val="center"/>
              <w:textAlignment w:val="baseline"/>
              <w:rPr>
                <w:rFonts w:ascii="Times New Roman" w:hAnsi="Times New Roman"/>
                <w:sz w:val="18"/>
                <w:szCs w:val="18"/>
              </w:rPr>
            </w:pPr>
            <w:r w:rsidRPr="00527FF5">
              <w:rPr>
                <w:rFonts w:ascii="Calibri" w:hAnsi="Calibri" w:cs="Calibri"/>
                <w:sz w:val="18"/>
                <w:szCs w:val="18"/>
              </w:rPr>
              <w:t>- </w:t>
            </w:r>
          </w:p>
        </w:tc>
        <w:tc>
          <w:tcPr>
            <w:tcW w:w="340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0E6DAFC1" w14:textId="77777777">
            <w:pPr>
              <w:textAlignment w:val="baseline"/>
              <w:rPr>
                <w:rFonts w:ascii="Times New Roman" w:hAnsi="Times New Roman"/>
                <w:sz w:val="18"/>
                <w:szCs w:val="18"/>
              </w:rPr>
            </w:pPr>
            <w:r w:rsidRPr="00527FF5">
              <w:rPr>
                <w:rFonts w:ascii="Calibri" w:hAnsi="Calibri" w:cs="Calibri"/>
                <w:sz w:val="18"/>
                <w:szCs w:val="18"/>
              </w:rPr>
              <w:t xml:space="preserve">Se </w:t>
            </w:r>
            <w:r w:rsidRPr="00527FF5">
              <w:rPr>
                <w:rFonts w:ascii="Calibri" w:hAnsi="Calibri" w:cs="Calibri"/>
                <w:color w:val="0000FF"/>
                <w:sz w:val="18"/>
                <w:szCs w:val="18"/>
              </w:rPr>
              <w:t>retningslinje for protonplanlegging av tumor cerebri  </w:t>
            </w:r>
          </w:p>
        </w:tc>
      </w:tr>
      <w:tr w14:paraId="2CA7714F" w14:textId="77777777" w:rsidTr="00610B7B">
        <w:tblPrEx>
          <w:tblW w:w="9045" w:type="dxa"/>
          <w:tblCellMar>
            <w:left w:w="0" w:type="dxa"/>
            <w:right w:w="0" w:type="dxa"/>
          </w:tblCellMar>
          <w:tblLook w:val="04A0"/>
        </w:tblPrEx>
        <w:trPr>
          <w:trHeight w:val="300"/>
        </w:trPr>
        <w:tc>
          <w:tcPr>
            <w:tcW w:w="9045" w:type="dxa"/>
            <w:gridSpan w:val="4"/>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06169D91" w14:textId="77777777">
            <w:pPr>
              <w:jc w:val="center"/>
              <w:textAlignment w:val="baseline"/>
              <w:rPr>
                <w:rFonts w:ascii="Times New Roman" w:hAnsi="Times New Roman"/>
                <w:sz w:val="18"/>
                <w:szCs w:val="18"/>
              </w:rPr>
            </w:pPr>
            <w:r w:rsidRPr="00527FF5">
              <w:rPr>
                <w:rFonts w:ascii="Times New Roman" w:hAnsi="Times New Roman"/>
                <w:sz w:val="18"/>
                <w:szCs w:val="18"/>
              </w:rPr>
              <w:t> </w:t>
            </w:r>
          </w:p>
        </w:tc>
      </w:tr>
      <w:tr w14:paraId="043F8569" w14:textId="77777777" w:rsidTr="002947CC">
        <w:tblPrEx>
          <w:tblW w:w="9045" w:type="dxa"/>
          <w:tblCellMar>
            <w:left w:w="0" w:type="dxa"/>
            <w:right w:w="0" w:type="dxa"/>
          </w:tblCellMar>
          <w:tblLook w:val="04A0"/>
        </w:tblPrEx>
        <w:trPr>
          <w:trHeight w:val="300"/>
        </w:trPr>
        <w:tc>
          <w:tcPr>
            <w:tcW w:w="1155" w:type="dxa"/>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2EB2AEEE" w14:textId="77777777">
            <w:pPr>
              <w:jc w:val="center"/>
              <w:textAlignment w:val="baseline"/>
              <w:rPr>
                <w:rFonts w:ascii="Times New Roman" w:hAnsi="Times New Roman"/>
                <w:sz w:val="18"/>
                <w:szCs w:val="18"/>
              </w:rPr>
            </w:pPr>
            <w:r w:rsidRPr="00527FF5">
              <w:rPr>
                <w:rFonts w:ascii="Calibri" w:hAnsi="Calibri" w:cs="Calibri"/>
                <w:b/>
                <w:bCs/>
                <w:sz w:val="18"/>
                <w:szCs w:val="18"/>
              </w:rPr>
              <w:t>Hode-hals</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7EDA207" w14:textId="77777777">
            <w:pPr>
              <w:jc w:val="center"/>
              <w:textAlignment w:val="baseline"/>
              <w:rPr>
                <w:rFonts w:ascii="Times New Roman" w:hAnsi="Times New Roman"/>
                <w:sz w:val="18"/>
                <w:szCs w:val="18"/>
              </w:rPr>
            </w:pPr>
            <w:r w:rsidRPr="00527FF5">
              <w:rPr>
                <w:rFonts w:ascii="Calibri" w:hAnsi="Calibri" w:cs="Calibri"/>
                <w:b/>
                <w:bCs/>
                <w:sz w:val="18"/>
                <w:szCs w:val="18"/>
              </w:rPr>
              <w:t>-</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26D978D" w14:textId="77777777">
            <w:pPr>
              <w:jc w:val="center"/>
              <w:textAlignment w:val="baseline"/>
              <w:rPr>
                <w:rFonts w:ascii="Times New Roman" w:hAnsi="Times New Roman"/>
                <w:sz w:val="18"/>
                <w:szCs w:val="18"/>
              </w:rPr>
            </w:pPr>
            <w:r w:rsidRPr="00527FF5">
              <w:rPr>
                <w:rFonts w:ascii="Calibri" w:hAnsi="Calibri" w:cs="Calibri"/>
                <w:sz w:val="18"/>
                <w:szCs w:val="18"/>
              </w:rPr>
              <w:t>- </w:t>
            </w:r>
          </w:p>
        </w:tc>
        <w:tc>
          <w:tcPr>
            <w:tcW w:w="340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15BA7C2" w14:textId="77777777">
            <w:pPr>
              <w:textAlignment w:val="baseline"/>
              <w:rPr>
                <w:rFonts w:ascii="Times New Roman" w:hAnsi="Times New Roman"/>
                <w:sz w:val="18"/>
                <w:szCs w:val="18"/>
              </w:rPr>
            </w:pPr>
            <w:r w:rsidRPr="00527FF5">
              <w:rPr>
                <w:rFonts w:ascii="Calibri" w:hAnsi="Calibri" w:cs="Calibri"/>
                <w:sz w:val="18"/>
                <w:szCs w:val="18"/>
              </w:rPr>
              <w:t xml:space="preserve">Se </w:t>
            </w:r>
            <w:r w:rsidRPr="00527FF5">
              <w:rPr>
                <w:rFonts w:ascii="Calibri" w:hAnsi="Calibri" w:cs="Calibri"/>
                <w:color w:val="0000FF"/>
                <w:sz w:val="18"/>
                <w:szCs w:val="18"/>
              </w:rPr>
              <w:t>retningslinje for protonplanlegging av hode-hals kreft  </w:t>
            </w:r>
          </w:p>
        </w:tc>
      </w:tr>
      <w:tr w14:paraId="51F0105A" w14:textId="77777777" w:rsidTr="002947CC">
        <w:tblPrEx>
          <w:tblW w:w="9045" w:type="dxa"/>
          <w:tblCellMar>
            <w:left w:w="0" w:type="dxa"/>
            <w:right w:w="0" w:type="dxa"/>
          </w:tblCellMar>
          <w:tblLook w:val="04A0"/>
        </w:tblPrEx>
        <w:trPr>
          <w:trHeight w:val="300"/>
        </w:trPr>
        <w:tc>
          <w:tcPr>
            <w:tcW w:w="1155"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13EDCF02" w14:textId="77777777">
            <w:pP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252B4C9B" w14:textId="77777777">
            <w:pPr>
              <w:textAlignment w:val="baseline"/>
              <w:rPr>
                <w:rFonts w:ascii="Times New Roman" w:hAnsi="Times New Roman"/>
                <w:sz w:val="18"/>
                <w:szCs w:val="18"/>
              </w:rPr>
            </w:pP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092697BA" w14:textId="77777777">
            <w:pPr>
              <w:textAlignment w:val="baseline"/>
              <w:rPr>
                <w:rFonts w:ascii="Times New Roman" w:hAnsi="Times New Roman"/>
                <w:sz w:val="18"/>
                <w:szCs w:val="18"/>
              </w:rPr>
            </w:pPr>
            <w:r w:rsidRPr="00527FF5">
              <w:rPr>
                <w:rFonts w:ascii="Calibri" w:hAnsi="Calibri" w:cs="Calibri"/>
                <w:sz w:val="18"/>
                <w:szCs w:val="18"/>
              </w:rPr>
              <w:t>  </w:t>
            </w:r>
          </w:p>
        </w:tc>
        <w:tc>
          <w:tcPr>
            <w:tcW w:w="3405"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28975DA3" w14:textId="77777777">
            <w:pPr>
              <w:textAlignment w:val="baseline"/>
              <w:rPr>
                <w:rFonts w:ascii="Times New Roman" w:hAnsi="Times New Roman"/>
                <w:sz w:val="18"/>
                <w:szCs w:val="18"/>
              </w:rPr>
            </w:pPr>
            <w:r w:rsidRPr="00527FF5">
              <w:rPr>
                <w:rFonts w:ascii="Calibri" w:hAnsi="Calibri" w:cs="Calibri"/>
                <w:sz w:val="18"/>
                <w:szCs w:val="18"/>
              </w:rPr>
              <w:t>  </w:t>
            </w:r>
          </w:p>
        </w:tc>
      </w:tr>
      <w:tr w14:paraId="20F49E0A" w14:textId="77777777" w:rsidTr="002947CC">
        <w:tblPrEx>
          <w:tblW w:w="9045" w:type="dxa"/>
          <w:tblCellMar>
            <w:left w:w="0" w:type="dxa"/>
            <w:right w:w="0" w:type="dxa"/>
          </w:tblCellMar>
          <w:tblLook w:val="04A0"/>
        </w:tblPrEx>
        <w:trPr>
          <w:trHeight w:val="300"/>
        </w:trPr>
        <w:tc>
          <w:tcPr>
            <w:tcW w:w="1155" w:type="dxa"/>
            <w:vMerge w:val="restart"/>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01B03A3F" w14:textId="77777777">
            <w:pPr>
              <w:jc w:val="center"/>
              <w:textAlignment w:val="baseline"/>
              <w:rPr>
                <w:rFonts w:ascii="Times New Roman" w:hAnsi="Times New Roman"/>
                <w:sz w:val="18"/>
                <w:szCs w:val="18"/>
              </w:rPr>
            </w:pPr>
            <w:r w:rsidRPr="00527FF5">
              <w:rPr>
                <w:rFonts w:ascii="Calibri" w:hAnsi="Calibri" w:cs="Calibri"/>
                <w:b/>
                <w:bCs/>
                <w:sz w:val="18"/>
                <w:szCs w:val="18"/>
              </w:rPr>
              <w:t>Thorax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60B7256D" w14:textId="77777777">
            <w:pPr>
              <w:textAlignment w:val="baseline"/>
              <w:rPr>
                <w:rFonts w:ascii="Times New Roman" w:hAnsi="Times New Roman"/>
                <w:sz w:val="18"/>
                <w:szCs w:val="18"/>
              </w:rPr>
            </w:pPr>
            <w:r w:rsidRPr="00527FF5">
              <w:rPr>
                <w:rFonts w:ascii="Calibri" w:hAnsi="Calibri" w:cs="Calibri"/>
                <w:b/>
                <w:bCs/>
                <w:sz w:val="18"/>
                <w:szCs w:val="18"/>
              </w:rPr>
              <w:t>SpinalCord</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6D23BCAF"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0F0A809C" w14:textId="59A59E93">
            <w:pPr>
              <w:textAlignment w:val="baseline"/>
              <w:rPr>
                <w:rFonts w:ascii="Calibri" w:hAnsi="Calibri" w:cs="Calibri"/>
                <w:sz w:val="18"/>
                <w:szCs w:val="18"/>
              </w:rPr>
            </w:pPr>
            <w:r w:rsidRPr="00527FF5">
              <w:rPr>
                <w:rFonts w:ascii="Calibri" w:hAnsi="Calibri" w:cs="Calibri"/>
                <w:sz w:val="18"/>
                <w:szCs w:val="18"/>
              </w:rPr>
              <w:t>Feng, M. et al. (2011)</w:t>
            </w:r>
            <w:r w:rsidRPr="00527FF5">
              <w:rPr>
                <w:rFonts w:ascii="Calibri" w:hAnsi="Calibri" w:cs="Calibri"/>
                <w:sz w:val="18"/>
                <w:szCs w:val="18"/>
              </w:rPr>
              <w:br/>
              <w:t>Duane, F., et al. (2017)</w:t>
            </w:r>
          </w:p>
        </w:tc>
      </w:tr>
      <w:tr w14:paraId="292383D6"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610B7B" w:rsidRPr="00527FF5" w:rsidP="00610B7B" w14:paraId="635FB667"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69E58646" w14:textId="77777777">
            <w:pPr>
              <w:textAlignment w:val="baseline"/>
              <w:rPr>
                <w:rFonts w:ascii="Times New Roman" w:hAnsi="Times New Roman"/>
                <w:sz w:val="18"/>
                <w:szCs w:val="18"/>
              </w:rPr>
            </w:pPr>
            <w:r w:rsidRPr="00527FF5">
              <w:rPr>
                <w:rFonts w:ascii="Calibri" w:hAnsi="Calibri" w:cs="Calibri"/>
                <w:b/>
                <w:bCs/>
                <w:sz w:val="18"/>
                <w:szCs w:val="18"/>
              </w:rPr>
              <w:t>Lung_L/R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255D2B1C"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024B986F" w14:textId="31281F28">
            <w:pPr>
              <w:textAlignment w:val="baseline"/>
              <w:rPr>
                <w:rFonts w:ascii="Times New Roman" w:hAnsi="Times New Roman"/>
                <w:sz w:val="18"/>
                <w:szCs w:val="18"/>
              </w:rPr>
            </w:pPr>
            <w:r w:rsidRPr="00527FF5">
              <w:rPr>
                <w:rFonts w:ascii="Calibri" w:hAnsi="Calibri" w:cs="Calibri"/>
                <w:sz w:val="18"/>
                <w:szCs w:val="18"/>
              </w:rPr>
              <w:t>Feng, M. et al. (2011)</w:t>
            </w:r>
            <w:r w:rsidRPr="00527FF5">
              <w:rPr>
                <w:rFonts w:ascii="Calibri" w:hAnsi="Calibri" w:cs="Calibri"/>
                <w:sz w:val="18"/>
                <w:szCs w:val="18"/>
              </w:rPr>
              <w:br/>
              <w:t>Duane, F., et al. (2017)</w:t>
            </w:r>
          </w:p>
        </w:tc>
      </w:tr>
      <w:tr w14:paraId="5522337B"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610B7B" w:rsidRPr="00527FF5" w:rsidP="00610B7B" w14:paraId="52857459"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64CD4F60" w14:textId="77777777">
            <w:pPr>
              <w:textAlignment w:val="baseline"/>
              <w:rPr>
                <w:rFonts w:ascii="Times New Roman" w:hAnsi="Times New Roman"/>
                <w:sz w:val="18"/>
                <w:szCs w:val="18"/>
              </w:rPr>
            </w:pPr>
            <w:r w:rsidRPr="00527FF5">
              <w:rPr>
                <w:rFonts w:ascii="Calibri" w:hAnsi="Calibri" w:cs="Calibri"/>
                <w:b/>
                <w:bCs/>
                <w:sz w:val="18"/>
                <w:szCs w:val="18"/>
              </w:rPr>
              <w:t>Lung</w:t>
            </w:r>
            <w:r w:rsidRPr="00527FF5">
              <w:rPr>
                <w:rFonts w:ascii="Calibri" w:hAnsi="Calibri" w:cs="Calibri"/>
                <w:b/>
                <w:bCs/>
                <w:sz w:val="18"/>
                <w:szCs w:val="18"/>
                <w:u w:val="single"/>
              </w:rPr>
              <w:t>s</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336AF5EF"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2969A66C" w14:textId="14B4A534">
            <w:pPr>
              <w:textAlignment w:val="baseline"/>
              <w:rPr>
                <w:rFonts w:ascii="Times New Roman" w:hAnsi="Times New Roman"/>
                <w:sz w:val="18"/>
                <w:szCs w:val="18"/>
              </w:rPr>
            </w:pPr>
            <w:r w:rsidRPr="00527FF5">
              <w:rPr>
                <w:rFonts w:ascii="Calibri" w:hAnsi="Calibri" w:cs="Calibri"/>
                <w:sz w:val="18"/>
                <w:szCs w:val="18"/>
              </w:rPr>
              <w:t>Feng, M. et al. (2011)</w:t>
            </w:r>
            <w:r w:rsidRPr="00527FF5">
              <w:rPr>
                <w:rFonts w:ascii="Calibri" w:hAnsi="Calibri" w:cs="Calibri"/>
                <w:sz w:val="18"/>
                <w:szCs w:val="18"/>
              </w:rPr>
              <w:br/>
              <w:t>Duane, F., et al. (2017)</w:t>
            </w:r>
          </w:p>
        </w:tc>
      </w:tr>
      <w:tr w14:paraId="1244610A"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610B7B" w:rsidRPr="00527FF5" w:rsidP="00610B7B" w14:paraId="1C1DE302"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419A77BA" w14:textId="77777777">
            <w:pPr>
              <w:textAlignment w:val="baseline"/>
              <w:rPr>
                <w:rFonts w:ascii="Times New Roman" w:hAnsi="Times New Roman"/>
                <w:sz w:val="18"/>
                <w:szCs w:val="18"/>
              </w:rPr>
            </w:pPr>
            <w:r w:rsidRPr="00527FF5">
              <w:rPr>
                <w:rFonts w:ascii="Calibri" w:hAnsi="Calibri" w:cs="Calibri"/>
                <w:b/>
                <w:bCs/>
                <w:sz w:val="18"/>
                <w:szCs w:val="18"/>
              </w:rPr>
              <w:t>Heart</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5DEFF6A8"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610B7B" w:rsidRPr="00527FF5" w:rsidP="00610B7B" w14:paraId="59D66DEF" w14:textId="3AA18FE2">
            <w:pPr>
              <w:textAlignment w:val="baseline"/>
              <w:rPr>
                <w:rFonts w:ascii="Times New Roman" w:hAnsi="Times New Roman"/>
                <w:sz w:val="18"/>
                <w:szCs w:val="18"/>
              </w:rPr>
            </w:pPr>
            <w:r w:rsidRPr="00527FF5">
              <w:rPr>
                <w:rFonts w:ascii="Calibri" w:hAnsi="Calibri" w:cs="Calibri"/>
                <w:sz w:val="18"/>
                <w:szCs w:val="18"/>
              </w:rPr>
              <w:t>Feng, M. et al. (2011)</w:t>
            </w:r>
            <w:r w:rsidRPr="00527FF5">
              <w:rPr>
                <w:rFonts w:ascii="Calibri" w:hAnsi="Calibri" w:cs="Calibri"/>
                <w:sz w:val="18"/>
                <w:szCs w:val="18"/>
              </w:rPr>
              <w:br/>
              <w:t>Duane, F., et al. (2017)</w:t>
            </w:r>
          </w:p>
        </w:tc>
      </w:tr>
      <w:tr w14:paraId="6C61E4B6"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610B7B" w:rsidRPr="00527FF5" w:rsidP="00610B7B" w14:paraId="644B6FBB"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3D0A547E" w14:textId="77777777">
            <w:pPr>
              <w:textAlignment w:val="baseline"/>
              <w:rPr>
                <w:rFonts w:ascii="Times New Roman" w:hAnsi="Times New Roman"/>
                <w:sz w:val="18"/>
                <w:szCs w:val="18"/>
              </w:rPr>
            </w:pPr>
            <w:r w:rsidRPr="00527FF5">
              <w:rPr>
                <w:rFonts w:ascii="Calibri" w:hAnsi="Calibri" w:cs="Calibri"/>
                <w:b/>
                <w:bCs/>
                <w:sz w:val="18"/>
                <w:szCs w:val="18"/>
              </w:rPr>
              <w:t>Esophagus</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50582D67" w14:textId="77777777">
            <w:pPr>
              <w:textAlignment w:val="baseline"/>
              <w:rPr>
                <w:rFonts w:ascii="Times New Roman" w:hAnsi="Times New Roman"/>
                <w:sz w:val="18"/>
                <w:szCs w:val="18"/>
              </w:rPr>
            </w:pPr>
            <w:r w:rsidRPr="00527FF5">
              <w:rPr>
                <w:rFonts w:ascii="Calibri" w:hAnsi="Calibri" w:cs="Calibri"/>
                <w:sz w:val="18"/>
                <w:szCs w:val="18"/>
              </w:rPr>
              <w:t>Hele øsofagus tegnes ved nærhet til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610B7B" w:rsidRPr="00527FF5" w:rsidP="00610B7B" w14:paraId="61D2BB22" w14:textId="6CA29B7E">
            <w:pPr>
              <w:textAlignment w:val="baseline"/>
              <w:rPr>
                <w:rFonts w:ascii="Times New Roman" w:hAnsi="Times New Roman"/>
                <w:sz w:val="18"/>
                <w:szCs w:val="18"/>
              </w:rPr>
            </w:pPr>
            <w:r w:rsidRPr="00527FF5">
              <w:rPr>
                <w:rFonts w:ascii="Calibri" w:hAnsi="Calibri" w:cs="Calibri"/>
                <w:sz w:val="18"/>
                <w:szCs w:val="18"/>
              </w:rPr>
              <w:t>Feng, M. et al. (2011)</w:t>
            </w:r>
            <w:r w:rsidRPr="00527FF5">
              <w:rPr>
                <w:rFonts w:ascii="Calibri" w:hAnsi="Calibri" w:cs="Calibri"/>
                <w:sz w:val="18"/>
                <w:szCs w:val="18"/>
              </w:rPr>
              <w:br/>
              <w:t>Duane, F., et al. (2017)</w:t>
            </w:r>
          </w:p>
        </w:tc>
      </w:tr>
      <w:tr w14:paraId="672C7C9E"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02900066"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96BFA48" w14:textId="77777777">
            <w:pPr>
              <w:textAlignment w:val="baseline"/>
              <w:rPr>
                <w:rFonts w:ascii="Times New Roman" w:hAnsi="Times New Roman"/>
                <w:sz w:val="18"/>
                <w:szCs w:val="18"/>
              </w:rPr>
            </w:pPr>
            <w:r w:rsidRPr="00527FF5">
              <w:rPr>
                <w:rFonts w:ascii="Calibri" w:hAnsi="Calibri" w:cs="Calibri"/>
                <w:b/>
                <w:bCs/>
                <w:sz w:val="18"/>
                <w:szCs w:val="18"/>
              </w:rPr>
              <w:t>BrachialPlexus_L/R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E6D82F5"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A45E9EF" w14:textId="77777777">
            <w:pPr>
              <w:textAlignment w:val="baseline"/>
              <w:rPr>
                <w:rFonts w:ascii="Times New Roman" w:hAnsi="Times New Roman"/>
                <w:sz w:val="18"/>
                <w:szCs w:val="18"/>
              </w:rPr>
            </w:pPr>
            <w:r w:rsidRPr="00527FF5">
              <w:rPr>
                <w:rFonts w:ascii="Calibri" w:hAnsi="Calibri" w:cs="Calibri"/>
                <w:sz w:val="18"/>
                <w:szCs w:val="18"/>
              </w:rPr>
              <w:t>Kong et al. (2011)</w:t>
            </w:r>
            <w:r w:rsidRPr="00527FF5">
              <w:rPr>
                <w:rFonts w:ascii="Calibri" w:hAnsi="Calibri" w:cs="Calibri"/>
                <w:sz w:val="18"/>
                <w:szCs w:val="18"/>
                <w:vertAlign w:val="superscript"/>
              </w:rPr>
              <w:t>3</w:t>
            </w:r>
            <w:r w:rsidRPr="00527FF5">
              <w:rPr>
                <w:rFonts w:ascii="Calibri" w:hAnsi="Calibri" w:cs="Calibri"/>
                <w:sz w:val="18"/>
                <w:szCs w:val="18"/>
              </w:rPr>
              <w:t> </w:t>
            </w:r>
          </w:p>
        </w:tc>
      </w:tr>
      <w:tr w14:paraId="71BC349E"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30B5B0E9"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4550A99E" w14:textId="77777777">
            <w:pPr>
              <w:textAlignment w:val="baseline"/>
              <w:rPr>
                <w:rFonts w:ascii="Times New Roman" w:hAnsi="Times New Roman"/>
                <w:sz w:val="18"/>
                <w:szCs w:val="18"/>
              </w:rPr>
            </w:pPr>
            <w:r w:rsidRPr="00527FF5">
              <w:rPr>
                <w:rFonts w:ascii="Calibri" w:hAnsi="Calibri" w:cs="Calibri"/>
                <w:b/>
                <w:bCs/>
                <w:sz w:val="18"/>
                <w:szCs w:val="18"/>
              </w:rPr>
              <w:t>Brea</w:t>
            </w:r>
            <w:r w:rsidRPr="00527FF5">
              <w:rPr>
                <w:rFonts w:ascii="Calibri" w:hAnsi="Calibri" w:cs="Calibri"/>
                <w:b/>
                <w:bCs/>
                <w:color w:val="0078D4"/>
                <w:sz w:val="18"/>
                <w:szCs w:val="18"/>
                <w:u w:val="single"/>
              </w:rPr>
              <w:t>s</w:t>
            </w:r>
            <w:r w:rsidRPr="00527FF5">
              <w:rPr>
                <w:rFonts w:ascii="Calibri" w:hAnsi="Calibri" w:cs="Calibri"/>
                <w:b/>
                <w:bCs/>
                <w:sz w:val="18"/>
                <w:szCs w:val="18"/>
              </w:rPr>
              <w:t>t_L/R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4287FD79"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7613D416" w14:textId="77777777">
            <w:pPr>
              <w:textAlignment w:val="baseline"/>
              <w:rPr>
                <w:rFonts w:ascii="Times New Roman" w:hAnsi="Times New Roman"/>
                <w:sz w:val="18"/>
                <w:szCs w:val="18"/>
              </w:rPr>
            </w:pPr>
            <w:r w:rsidRPr="00527FF5">
              <w:rPr>
                <w:rFonts w:ascii="Calibri" w:hAnsi="Calibri" w:cs="Calibri"/>
                <w:sz w:val="18"/>
                <w:szCs w:val="18"/>
              </w:rPr>
              <w:t>  </w:t>
            </w:r>
          </w:p>
        </w:tc>
      </w:tr>
      <w:tr w14:paraId="1E85A50A" w14:textId="77777777" w:rsidTr="002947CC">
        <w:tblPrEx>
          <w:tblW w:w="9045" w:type="dxa"/>
          <w:tblCellMar>
            <w:left w:w="0" w:type="dxa"/>
            <w:right w:w="0" w:type="dxa"/>
          </w:tblCellMar>
          <w:tblLook w:val="04A0"/>
        </w:tblPrEx>
        <w:trPr>
          <w:trHeight w:val="48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5C3B8F80"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3FD164F" w14:textId="77777777">
            <w:pPr>
              <w:textAlignment w:val="baseline"/>
              <w:rPr>
                <w:rFonts w:ascii="Times New Roman" w:hAnsi="Times New Roman"/>
                <w:sz w:val="18"/>
                <w:szCs w:val="18"/>
              </w:rPr>
            </w:pPr>
            <w:r w:rsidRPr="00527FF5">
              <w:rPr>
                <w:rFonts w:ascii="Calibri" w:hAnsi="Calibri" w:cs="Calibri"/>
                <w:b/>
                <w:bCs/>
                <w:sz w:val="18"/>
                <w:szCs w:val="18"/>
              </w:rPr>
              <w:t>kVue One</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4F4DDBB8"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8F307F8" w14:textId="77777777">
            <w:pPr>
              <w:textAlignment w:val="baseline"/>
              <w:rPr>
                <w:rFonts w:ascii="Times New Roman" w:hAnsi="Times New Roman"/>
                <w:sz w:val="18"/>
                <w:szCs w:val="18"/>
              </w:rPr>
            </w:pPr>
            <w:r w:rsidRPr="00527FF5">
              <w:rPr>
                <w:rFonts w:ascii="Calibri" w:hAnsi="Calibri" w:cs="Calibri"/>
                <w:color w:val="0000FF"/>
                <w:sz w:val="18"/>
                <w:szCs w:val="18"/>
                <w:u w:val="single"/>
              </w:rPr>
              <w:t>[REF! &lt;Fikseringsutstyr og bordtemplat ved doseplanlegging med protoner&gt;]</w:t>
            </w:r>
            <w:r w:rsidRPr="00527FF5">
              <w:rPr>
                <w:rFonts w:ascii="Calibri" w:hAnsi="Calibri" w:cs="Calibri"/>
                <w:color w:val="0000FF"/>
                <w:sz w:val="18"/>
                <w:szCs w:val="18"/>
              </w:rPr>
              <w:t> </w:t>
            </w:r>
          </w:p>
        </w:tc>
      </w:tr>
      <w:tr w14:paraId="04839469" w14:textId="77777777" w:rsidTr="002947CC">
        <w:tblPrEx>
          <w:tblW w:w="9045" w:type="dxa"/>
          <w:tblCellMar>
            <w:left w:w="0" w:type="dxa"/>
            <w:right w:w="0" w:type="dxa"/>
          </w:tblCellMar>
          <w:tblLook w:val="04A0"/>
        </w:tblPrEx>
        <w:trPr>
          <w:trHeight w:val="300"/>
        </w:trPr>
        <w:tc>
          <w:tcPr>
            <w:tcW w:w="1155"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08193280" w14:textId="77777777">
            <w:pP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49B2FF03" w14:textId="77777777">
            <w:pPr>
              <w:textAlignment w:val="baseline"/>
              <w:rPr>
                <w:rFonts w:ascii="Times New Roman" w:hAnsi="Times New Roman"/>
                <w:sz w:val="18"/>
                <w:szCs w:val="18"/>
              </w:rPr>
            </w:pP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72EDFDDD" w14:textId="77777777">
            <w:pPr>
              <w:textAlignment w:val="baseline"/>
              <w:rPr>
                <w:rFonts w:ascii="Times New Roman" w:hAnsi="Times New Roman"/>
                <w:sz w:val="18"/>
                <w:szCs w:val="18"/>
              </w:rPr>
            </w:pPr>
            <w:r w:rsidRPr="00527FF5">
              <w:rPr>
                <w:rFonts w:ascii="Calibri" w:hAnsi="Calibri" w:cs="Calibri"/>
                <w:sz w:val="18"/>
                <w:szCs w:val="18"/>
              </w:rPr>
              <w:t>  </w:t>
            </w:r>
          </w:p>
        </w:tc>
        <w:tc>
          <w:tcPr>
            <w:tcW w:w="3405"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2F30F714" w14:textId="77777777">
            <w:pPr>
              <w:textAlignment w:val="baseline"/>
              <w:rPr>
                <w:rFonts w:ascii="Times New Roman" w:hAnsi="Times New Roman"/>
                <w:sz w:val="18"/>
                <w:szCs w:val="18"/>
              </w:rPr>
            </w:pPr>
            <w:r w:rsidRPr="00527FF5">
              <w:rPr>
                <w:rFonts w:ascii="Calibri" w:hAnsi="Calibri" w:cs="Calibri"/>
                <w:sz w:val="18"/>
                <w:szCs w:val="18"/>
              </w:rPr>
              <w:t>  </w:t>
            </w:r>
          </w:p>
        </w:tc>
      </w:tr>
      <w:tr w14:paraId="52E2F1A0" w14:textId="77777777" w:rsidTr="002947CC">
        <w:tblPrEx>
          <w:tblW w:w="9045" w:type="dxa"/>
          <w:tblCellMar>
            <w:left w:w="0" w:type="dxa"/>
            <w:right w:w="0" w:type="dxa"/>
          </w:tblCellMar>
          <w:tblLook w:val="04A0"/>
        </w:tblPrEx>
        <w:trPr>
          <w:trHeight w:val="300"/>
        </w:trPr>
        <w:tc>
          <w:tcPr>
            <w:tcW w:w="1155" w:type="dxa"/>
            <w:vMerge w:val="restart"/>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46E120F7" w14:textId="77777777">
            <w:pPr>
              <w:jc w:val="center"/>
              <w:textAlignment w:val="baseline"/>
              <w:rPr>
                <w:rFonts w:ascii="Times New Roman" w:hAnsi="Times New Roman"/>
                <w:sz w:val="18"/>
                <w:szCs w:val="18"/>
              </w:rPr>
            </w:pPr>
            <w:r w:rsidRPr="00527FF5">
              <w:rPr>
                <w:rFonts w:ascii="Calibri" w:hAnsi="Calibri" w:cs="Calibri"/>
                <w:b/>
                <w:bCs/>
                <w:sz w:val="18"/>
                <w:szCs w:val="18"/>
              </w:rPr>
              <w:t>Abdomen / Bekken </w:t>
            </w:r>
            <w:r w:rsidRPr="00527FF5">
              <w:rPr>
                <w:rFonts w:ascii="Calibri" w:hAnsi="Calibri" w:cs="Calibri"/>
                <w:sz w:val="18"/>
                <w:szCs w:val="18"/>
              </w:rPr>
              <w:t> </w:t>
            </w: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45BA6CA3" w14:textId="77777777">
            <w:pPr>
              <w:textAlignment w:val="baseline"/>
              <w:rPr>
                <w:rFonts w:ascii="Times New Roman" w:hAnsi="Times New Roman"/>
                <w:sz w:val="18"/>
                <w:szCs w:val="18"/>
              </w:rPr>
            </w:pPr>
            <w:r w:rsidRPr="00527FF5">
              <w:rPr>
                <w:rFonts w:ascii="Calibri" w:hAnsi="Calibri" w:cs="Calibri"/>
                <w:b/>
                <w:bCs/>
                <w:sz w:val="18"/>
                <w:szCs w:val="18"/>
              </w:rPr>
              <w:t>Ovary_L/R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1BE678F1" w14:textId="77777777">
            <w:pPr>
              <w:textAlignment w:val="baseline"/>
              <w:rPr>
                <w:rFonts w:ascii="Times New Roman" w:hAnsi="Times New Roman"/>
                <w:sz w:val="18"/>
                <w:szCs w:val="18"/>
              </w:rPr>
            </w:pPr>
            <w:r w:rsidRPr="00527FF5">
              <w:rPr>
                <w:rFonts w:ascii="Calibri" w:hAnsi="Calibri" w:cs="Calibri"/>
                <w:sz w:val="18"/>
                <w:szCs w:val="18"/>
              </w:rPr>
              <w:t>For alle kvinnelige pasienter under 40 år uavhengig av behandlingsregion, såfremt ovariene er med i CT-grunnlaget.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3BA7337" w14:textId="72012F3C">
            <w:pPr>
              <w:textAlignment w:val="baseline"/>
              <w:rPr>
                <w:rFonts w:ascii="Times New Roman" w:hAnsi="Times New Roman"/>
                <w:sz w:val="18"/>
                <w:szCs w:val="18"/>
              </w:rPr>
            </w:pPr>
            <w:r w:rsidRPr="00527FF5">
              <w:rPr>
                <w:rFonts w:ascii="Calibri" w:hAnsi="Calibri" w:cs="Calibri"/>
                <w:sz w:val="18"/>
                <w:szCs w:val="18"/>
              </w:rPr>
              <w:t>Gay et al. (2012b)</w:t>
            </w:r>
          </w:p>
        </w:tc>
      </w:tr>
      <w:tr w14:paraId="0347BDAD"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675C6FA6"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60341C0E" w14:textId="77777777">
            <w:pPr>
              <w:textAlignment w:val="baseline"/>
              <w:rPr>
                <w:rFonts w:ascii="Times New Roman" w:hAnsi="Times New Roman"/>
                <w:sz w:val="18"/>
                <w:szCs w:val="18"/>
              </w:rPr>
            </w:pPr>
            <w:r w:rsidRPr="00527FF5">
              <w:rPr>
                <w:rFonts w:ascii="Calibri" w:hAnsi="Calibri" w:cs="Calibri"/>
                <w:b/>
                <w:bCs/>
                <w:sz w:val="18"/>
                <w:szCs w:val="18"/>
              </w:rPr>
              <w:t>Testis_L/R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4A251C61" w14:textId="77777777">
            <w:pPr>
              <w:textAlignment w:val="baseline"/>
              <w:rPr>
                <w:rFonts w:ascii="Times New Roman" w:hAnsi="Times New Roman"/>
                <w:sz w:val="18"/>
                <w:szCs w:val="18"/>
              </w:rPr>
            </w:pPr>
            <w:r w:rsidRPr="00527FF5">
              <w:rPr>
                <w:rFonts w:ascii="Calibri" w:hAnsi="Calibri" w:cs="Calibri"/>
                <w:sz w:val="18"/>
                <w:szCs w:val="18"/>
              </w:rPr>
              <w:t>For alle mannlige pasienter under 50 år uavhengig av behandlingsregion, såfremt testiklene er med i CT-grunnlaget. Ved strålebehandling mot bekkenregionen skal testikler alltid tegnes, uavhengig av pasientens alder.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0CBE802C" w14:textId="694F08CF">
            <w:pPr>
              <w:textAlignment w:val="baseline"/>
              <w:rPr>
                <w:rFonts w:ascii="Times New Roman" w:hAnsi="Times New Roman"/>
                <w:sz w:val="18"/>
                <w:szCs w:val="18"/>
              </w:rPr>
            </w:pPr>
            <w:r w:rsidRPr="00527FF5">
              <w:rPr>
                <w:rFonts w:ascii="Calibri" w:hAnsi="Calibri" w:cs="Calibri"/>
                <w:sz w:val="18"/>
                <w:szCs w:val="18"/>
              </w:rPr>
              <w:t>Gay et al. (2012a)</w:t>
            </w:r>
          </w:p>
        </w:tc>
      </w:tr>
      <w:tr w14:paraId="1562DEE6"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72445755"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42D74EA5" w14:textId="77777777">
            <w:pPr>
              <w:textAlignment w:val="baseline"/>
              <w:rPr>
                <w:rFonts w:ascii="Times New Roman" w:hAnsi="Times New Roman"/>
                <w:sz w:val="18"/>
                <w:szCs w:val="18"/>
              </w:rPr>
            </w:pPr>
            <w:r w:rsidRPr="00527FF5">
              <w:rPr>
                <w:rFonts w:ascii="Calibri" w:hAnsi="Calibri" w:cs="Calibri"/>
                <w:b/>
                <w:bCs/>
                <w:sz w:val="18"/>
                <w:szCs w:val="18"/>
              </w:rPr>
              <w:t>BowelBag</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58F0D699"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A3D0A" w14:paraId="554FD0C0" w14:textId="77777777">
            <w:pPr>
              <w:textAlignment w:val="baseline"/>
              <w:rPr>
                <w:rFonts w:ascii="Calibri" w:hAnsi="Calibri" w:cs="Calibri"/>
                <w:sz w:val="18"/>
                <w:szCs w:val="18"/>
              </w:rPr>
            </w:pPr>
            <w:r w:rsidRPr="00527FF5">
              <w:rPr>
                <w:rFonts w:ascii="Calibri" w:hAnsi="Calibri" w:cs="Calibri"/>
                <w:sz w:val="18"/>
                <w:szCs w:val="18"/>
              </w:rPr>
              <w:t xml:space="preserve">Gay et al. (2012a) </w:t>
            </w:r>
          </w:p>
          <w:p w:rsidR="00183B08" w:rsidRPr="00527FF5" w:rsidP="001A3D0A" w14:paraId="41F9444A" w14:textId="77777777">
            <w:pPr>
              <w:textAlignment w:val="baseline"/>
              <w:rPr>
                <w:rFonts w:ascii="Calibri" w:hAnsi="Calibri" w:cs="Calibri"/>
                <w:sz w:val="18"/>
                <w:szCs w:val="18"/>
              </w:rPr>
            </w:pPr>
            <w:r w:rsidRPr="00527FF5">
              <w:rPr>
                <w:rFonts w:ascii="Calibri" w:hAnsi="Calibri" w:cs="Calibri"/>
                <w:sz w:val="18"/>
                <w:szCs w:val="18"/>
              </w:rPr>
              <w:t xml:space="preserve">Gay et al. (2012b) </w:t>
            </w:r>
          </w:p>
          <w:p w:rsidR="001A3D0A" w:rsidRPr="00527FF5" w:rsidP="001A3D0A" w14:paraId="2A659070" w14:textId="720842D8">
            <w:pPr>
              <w:textAlignment w:val="baseline"/>
              <w:rPr>
                <w:rFonts w:ascii="Times New Roman" w:hAnsi="Times New Roman"/>
                <w:sz w:val="18"/>
                <w:szCs w:val="18"/>
              </w:rPr>
            </w:pPr>
            <w:r w:rsidRPr="00527FF5">
              <w:rPr>
                <w:rFonts w:ascii="Calibri" w:hAnsi="Calibri" w:cs="Calibri"/>
                <w:sz w:val="18"/>
                <w:szCs w:val="18"/>
              </w:rPr>
              <w:t>Gay et al. (2012c)</w:t>
            </w:r>
          </w:p>
        </w:tc>
      </w:tr>
      <w:tr w14:paraId="5A2B267F"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83B08" w:rsidRPr="00527FF5" w:rsidP="00183B08" w14:paraId="0D0DD89A"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673B4484" w14:textId="77777777">
            <w:pPr>
              <w:textAlignment w:val="baseline"/>
              <w:rPr>
                <w:rFonts w:ascii="Times New Roman" w:hAnsi="Times New Roman"/>
                <w:sz w:val="18"/>
                <w:szCs w:val="18"/>
              </w:rPr>
            </w:pPr>
            <w:r w:rsidRPr="00527FF5">
              <w:rPr>
                <w:rFonts w:ascii="Calibri" w:hAnsi="Calibri" w:cs="Calibri"/>
                <w:b/>
                <w:bCs/>
                <w:sz w:val="18"/>
                <w:szCs w:val="18"/>
              </w:rPr>
              <w:t>Rectum</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67C05B1C"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15A72CEF" w14:textId="77777777">
            <w:pPr>
              <w:textAlignment w:val="baseline"/>
              <w:rPr>
                <w:rFonts w:ascii="Calibri" w:hAnsi="Calibri" w:cs="Calibri"/>
                <w:sz w:val="18"/>
                <w:szCs w:val="18"/>
              </w:rPr>
            </w:pPr>
            <w:r w:rsidRPr="00527FF5">
              <w:rPr>
                <w:rFonts w:ascii="Calibri" w:hAnsi="Calibri" w:cs="Calibri"/>
                <w:sz w:val="18"/>
                <w:szCs w:val="18"/>
              </w:rPr>
              <w:t xml:space="preserve">Gay et al. (2012a) </w:t>
            </w:r>
          </w:p>
          <w:p w:rsidR="00183B08" w:rsidRPr="00527FF5" w:rsidP="00183B08" w14:paraId="49737CB4" w14:textId="77777777">
            <w:pPr>
              <w:textAlignment w:val="baseline"/>
              <w:rPr>
                <w:rFonts w:ascii="Calibri" w:hAnsi="Calibri" w:cs="Calibri"/>
                <w:sz w:val="18"/>
                <w:szCs w:val="18"/>
              </w:rPr>
            </w:pPr>
            <w:r w:rsidRPr="00527FF5">
              <w:rPr>
                <w:rFonts w:ascii="Calibri" w:hAnsi="Calibri" w:cs="Calibri"/>
                <w:sz w:val="18"/>
                <w:szCs w:val="18"/>
              </w:rPr>
              <w:t xml:space="preserve">Gay et al. (2012b) </w:t>
            </w:r>
          </w:p>
          <w:p w:rsidR="00183B08" w:rsidRPr="00527FF5" w:rsidP="00183B08" w14:paraId="5974353C" w14:textId="6E83E1DA">
            <w:pPr>
              <w:textAlignment w:val="baseline"/>
              <w:rPr>
                <w:rFonts w:ascii="Times New Roman" w:hAnsi="Times New Roman"/>
                <w:sz w:val="18"/>
                <w:szCs w:val="18"/>
              </w:rPr>
            </w:pPr>
            <w:r w:rsidRPr="00527FF5">
              <w:rPr>
                <w:rFonts w:ascii="Calibri" w:hAnsi="Calibri" w:cs="Calibri"/>
                <w:sz w:val="18"/>
                <w:szCs w:val="18"/>
              </w:rPr>
              <w:t>Gay et al. (2012c)</w:t>
            </w:r>
          </w:p>
        </w:tc>
      </w:tr>
      <w:tr w14:paraId="7109D199"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83B08" w:rsidRPr="00527FF5" w:rsidP="00183B08" w14:paraId="4470BEF6"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345AC1A1" w14:textId="77777777">
            <w:pPr>
              <w:textAlignment w:val="baseline"/>
              <w:rPr>
                <w:rFonts w:ascii="Times New Roman" w:hAnsi="Times New Roman"/>
                <w:sz w:val="18"/>
                <w:szCs w:val="18"/>
              </w:rPr>
            </w:pPr>
            <w:r w:rsidRPr="00527FF5">
              <w:rPr>
                <w:rFonts w:ascii="Calibri" w:hAnsi="Calibri" w:cs="Calibri"/>
                <w:b/>
                <w:bCs/>
                <w:sz w:val="18"/>
                <w:szCs w:val="18"/>
              </w:rPr>
              <w:t>Liver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18C3044C"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3ED2DB72" w14:textId="77777777">
            <w:pPr>
              <w:textAlignment w:val="baseline"/>
              <w:rPr>
                <w:rFonts w:ascii="Calibri" w:hAnsi="Calibri" w:cs="Calibri"/>
                <w:sz w:val="18"/>
                <w:szCs w:val="18"/>
              </w:rPr>
            </w:pPr>
            <w:r w:rsidRPr="00527FF5">
              <w:rPr>
                <w:rFonts w:ascii="Calibri" w:hAnsi="Calibri" w:cs="Calibri"/>
                <w:sz w:val="18"/>
                <w:szCs w:val="18"/>
              </w:rPr>
              <w:t xml:space="preserve">Gay et al. (2012a) </w:t>
            </w:r>
          </w:p>
          <w:p w:rsidR="00183B08" w:rsidRPr="00527FF5" w:rsidP="00183B08" w14:paraId="3A3986B8" w14:textId="77777777">
            <w:pPr>
              <w:textAlignment w:val="baseline"/>
              <w:rPr>
                <w:rFonts w:ascii="Calibri" w:hAnsi="Calibri" w:cs="Calibri"/>
                <w:sz w:val="18"/>
                <w:szCs w:val="18"/>
              </w:rPr>
            </w:pPr>
            <w:r w:rsidRPr="00527FF5">
              <w:rPr>
                <w:rFonts w:ascii="Calibri" w:hAnsi="Calibri" w:cs="Calibri"/>
                <w:sz w:val="18"/>
                <w:szCs w:val="18"/>
              </w:rPr>
              <w:t xml:space="preserve">Gay et al. (2012b) </w:t>
            </w:r>
          </w:p>
          <w:p w:rsidR="00183B08" w:rsidRPr="00527FF5" w:rsidP="00183B08" w14:paraId="0C88A40A" w14:textId="4BF226AC">
            <w:pPr>
              <w:textAlignment w:val="baseline"/>
              <w:rPr>
                <w:rFonts w:ascii="Times New Roman" w:hAnsi="Times New Roman"/>
                <w:sz w:val="18"/>
                <w:szCs w:val="18"/>
              </w:rPr>
            </w:pPr>
            <w:r w:rsidRPr="00527FF5">
              <w:rPr>
                <w:rFonts w:ascii="Calibri" w:hAnsi="Calibri" w:cs="Calibri"/>
                <w:sz w:val="18"/>
                <w:szCs w:val="18"/>
              </w:rPr>
              <w:t>Gay et al. (2012c)</w:t>
            </w:r>
          </w:p>
        </w:tc>
      </w:tr>
      <w:tr w14:paraId="412F113C"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83B08" w:rsidRPr="00527FF5" w:rsidP="00183B08" w14:paraId="20BABCBE"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36E776B4" w14:textId="77777777">
            <w:pPr>
              <w:textAlignment w:val="baseline"/>
              <w:rPr>
                <w:rFonts w:ascii="Times New Roman" w:hAnsi="Times New Roman"/>
                <w:sz w:val="18"/>
                <w:szCs w:val="18"/>
              </w:rPr>
            </w:pPr>
            <w:r w:rsidRPr="00527FF5">
              <w:rPr>
                <w:rFonts w:ascii="Calibri" w:hAnsi="Calibri" w:cs="Calibri"/>
                <w:b/>
                <w:bCs/>
                <w:sz w:val="18"/>
                <w:szCs w:val="18"/>
              </w:rPr>
              <w:t>Bladder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68C19B46"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83B08" w:rsidRPr="00527FF5" w:rsidP="00183B08" w14:paraId="7431E1C8" w14:textId="77777777">
            <w:pPr>
              <w:textAlignment w:val="baseline"/>
              <w:rPr>
                <w:rFonts w:ascii="Calibri" w:hAnsi="Calibri" w:cs="Calibri"/>
                <w:sz w:val="18"/>
                <w:szCs w:val="18"/>
              </w:rPr>
            </w:pPr>
            <w:r w:rsidRPr="00527FF5">
              <w:rPr>
                <w:rFonts w:ascii="Calibri" w:hAnsi="Calibri" w:cs="Calibri"/>
                <w:sz w:val="18"/>
                <w:szCs w:val="18"/>
              </w:rPr>
              <w:t xml:space="preserve">Gay et al. (2012a) </w:t>
            </w:r>
          </w:p>
          <w:p w:rsidR="00183B08" w:rsidRPr="00527FF5" w:rsidP="00183B08" w14:paraId="38AF9976" w14:textId="77777777">
            <w:pPr>
              <w:textAlignment w:val="baseline"/>
              <w:rPr>
                <w:rFonts w:ascii="Calibri" w:hAnsi="Calibri" w:cs="Calibri"/>
                <w:sz w:val="18"/>
                <w:szCs w:val="18"/>
              </w:rPr>
            </w:pPr>
            <w:r w:rsidRPr="00527FF5">
              <w:rPr>
                <w:rFonts w:ascii="Calibri" w:hAnsi="Calibri" w:cs="Calibri"/>
                <w:sz w:val="18"/>
                <w:szCs w:val="18"/>
              </w:rPr>
              <w:t xml:space="preserve">Gay et al. (2012b) </w:t>
            </w:r>
          </w:p>
          <w:p w:rsidR="00183B08" w:rsidRPr="00527FF5" w:rsidP="00183B08" w14:paraId="666EBBFF" w14:textId="439F1B9C">
            <w:pPr>
              <w:textAlignment w:val="baseline"/>
              <w:rPr>
                <w:rFonts w:ascii="Times New Roman" w:hAnsi="Times New Roman"/>
                <w:sz w:val="18"/>
                <w:szCs w:val="18"/>
              </w:rPr>
            </w:pPr>
            <w:r w:rsidRPr="00527FF5">
              <w:rPr>
                <w:rFonts w:ascii="Calibri" w:hAnsi="Calibri" w:cs="Calibri"/>
                <w:sz w:val="18"/>
                <w:szCs w:val="18"/>
              </w:rPr>
              <w:t>Gay et al. (2012c)</w:t>
            </w:r>
          </w:p>
        </w:tc>
      </w:tr>
      <w:tr w14:paraId="5F1401C6"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83B08" w:rsidRPr="00527FF5" w:rsidP="00183B08" w14:paraId="45B4FE58"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4B8E3DC0" w14:textId="77777777">
            <w:pPr>
              <w:textAlignment w:val="baseline"/>
              <w:rPr>
                <w:rFonts w:ascii="Times New Roman" w:hAnsi="Times New Roman"/>
                <w:sz w:val="18"/>
                <w:szCs w:val="18"/>
              </w:rPr>
            </w:pPr>
            <w:r w:rsidRPr="00527FF5">
              <w:rPr>
                <w:rFonts w:ascii="Calibri" w:hAnsi="Calibri" w:cs="Calibri"/>
                <w:b/>
                <w:bCs/>
                <w:sz w:val="18"/>
                <w:szCs w:val="18"/>
              </w:rPr>
              <w:t>Kidney_L/R</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2AE3C90A"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83B08" w:rsidRPr="00527FF5" w:rsidP="00183B08" w14:paraId="0A08EC0D" w14:textId="77777777">
            <w:pPr>
              <w:textAlignment w:val="baseline"/>
              <w:rPr>
                <w:rFonts w:ascii="Calibri" w:hAnsi="Calibri" w:cs="Calibri"/>
                <w:sz w:val="18"/>
                <w:szCs w:val="18"/>
              </w:rPr>
            </w:pPr>
            <w:r w:rsidRPr="00527FF5">
              <w:rPr>
                <w:rFonts w:ascii="Calibri" w:hAnsi="Calibri" w:cs="Calibri"/>
                <w:sz w:val="18"/>
                <w:szCs w:val="18"/>
              </w:rPr>
              <w:t xml:space="preserve">Gay et al. (2012a) </w:t>
            </w:r>
          </w:p>
          <w:p w:rsidR="00183B08" w:rsidRPr="00527FF5" w:rsidP="00183B08" w14:paraId="13547276" w14:textId="77777777">
            <w:pPr>
              <w:textAlignment w:val="baseline"/>
              <w:rPr>
                <w:rFonts w:ascii="Calibri" w:hAnsi="Calibri" w:cs="Calibri"/>
                <w:sz w:val="18"/>
                <w:szCs w:val="18"/>
              </w:rPr>
            </w:pPr>
            <w:r w:rsidRPr="00527FF5">
              <w:rPr>
                <w:rFonts w:ascii="Calibri" w:hAnsi="Calibri" w:cs="Calibri"/>
                <w:sz w:val="18"/>
                <w:szCs w:val="18"/>
              </w:rPr>
              <w:t xml:space="preserve">Gay et al. (2012b) </w:t>
            </w:r>
          </w:p>
          <w:p w:rsidR="00183B08" w:rsidRPr="00527FF5" w:rsidP="00183B08" w14:paraId="7FA459BF" w14:textId="29B7D423">
            <w:pPr>
              <w:textAlignment w:val="baseline"/>
              <w:rPr>
                <w:rFonts w:ascii="Times New Roman" w:hAnsi="Times New Roman"/>
                <w:sz w:val="18"/>
                <w:szCs w:val="18"/>
              </w:rPr>
            </w:pPr>
            <w:r w:rsidRPr="00527FF5">
              <w:rPr>
                <w:rFonts w:ascii="Calibri" w:hAnsi="Calibri" w:cs="Calibri"/>
                <w:sz w:val="18"/>
                <w:szCs w:val="18"/>
              </w:rPr>
              <w:t>Gay et al. (2012c)</w:t>
            </w:r>
          </w:p>
        </w:tc>
      </w:tr>
      <w:tr w14:paraId="6D07FF92" w14:textId="77777777" w:rsidTr="002947CC">
        <w:tblPrEx>
          <w:tblW w:w="9045" w:type="dxa"/>
          <w:tblCellMar>
            <w:left w:w="0" w:type="dxa"/>
            <w:right w:w="0" w:type="dxa"/>
          </w:tblCellMar>
          <w:tblLook w:val="04A0"/>
        </w:tblPrEx>
        <w:trPr>
          <w:trHeight w:val="30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D94FFD8"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7827BF0F" w14:textId="77777777">
            <w:pPr>
              <w:textAlignment w:val="baseline"/>
              <w:rPr>
                <w:rFonts w:ascii="Times New Roman" w:hAnsi="Times New Roman"/>
                <w:sz w:val="18"/>
                <w:szCs w:val="18"/>
              </w:rPr>
            </w:pPr>
            <w:r w:rsidRPr="00527FF5">
              <w:rPr>
                <w:rFonts w:ascii="Calibri" w:hAnsi="Calibri" w:cs="Calibri"/>
                <w:b/>
                <w:bCs/>
                <w:sz w:val="18"/>
                <w:szCs w:val="18"/>
              </w:rPr>
              <w:t>Kidneys</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27D98821"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5F482032" w14:textId="77777777">
            <w:pPr>
              <w:textAlignment w:val="baseline"/>
              <w:rPr>
                <w:rFonts w:ascii="Times New Roman" w:hAnsi="Times New Roman"/>
                <w:sz w:val="18"/>
                <w:szCs w:val="18"/>
              </w:rPr>
            </w:pPr>
            <w:r w:rsidRPr="00527FF5">
              <w:rPr>
                <w:rFonts w:ascii="Times New Roman" w:hAnsi="Times New Roman"/>
                <w:sz w:val="18"/>
                <w:szCs w:val="18"/>
              </w:rPr>
              <w:t> </w:t>
            </w:r>
          </w:p>
        </w:tc>
      </w:tr>
      <w:tr w14:paraId="0D2FFFC3" w14:textId="77777777" w:rsidTr="002947CC">
        <w:tblPrEx>
          <w:tblW w:w="9045" w:type="dxa"/>
          <w:tblCellMar>
            <w:left w:w="0" w:type="dxa"/>
            <w:right w:w="0" w:type="dxa"/>
          </w:tblCellMar>
          <w:tblLook w:val="04A0"/>
        </w:tblPrEx>
        <w:trPr>
          <w:trHeight w:val="66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66E462F9"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2B5C9B0" w14:textId="77777777">
            <w:pPr>
              <w:textAlignment w:val="baseline"/>
              <w:rPr>
                <w:rFonts w:ascii="Times New Roman" w:hAnsi="Times New Roman"/>
                <w:sz w:val="18"/>
                <w:szCs w:val="18"/>
              </w:rPr>
            </w:pPr>
            <w:r w:rsidRPr="00527FF5">
              <w:rPr>
                <w:rFonts w:ascii="Calibri" w:hAnsi="Calibri" w:cs="Calibri"/>
                <w:b/>
                <w:bCs/>
                <w:sz w:val="18"/>
                <w:szCs w:val="18"/>
              </w:rPr>
              <w:t>CaudaEquina</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3075FF8" w14:textId="77777777">
            <w:pPr>
              <w:textAlignment w:val="baseline"/>
              <w:rPr>
                <w:rFonts w:ascii="Times New Roman" w:hAnsi="Times New Roman"/>
                <w:sz w:val="18"/>
                <w:szCs w:val="18"/>
              </w:rPr>
            </w:pPr>
            <w:r w:rsidRPr="00527FF5">
              <w:rPr>
                <w:rFonts w:ascii="Calibri" w:hAnsi="Calibri" w:cs="Calibri"/>
                <w:sz w:val="18"/>
                <w:szCs w:val="18"/>
              </w:rPr>
              <w:t>Tegnes dersom nært målvolum.  </w:t>
            </w:r>
          </w:p>
        </w:tc>
        <w:tc>
          <w:tcPr>
            <w:tcW w:w="3405"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7CF990AC" w14:textId="4343FA99">
            <w:pPr>
              <w:textAlignment w:val="baseline"/>
              <w:rPr>
                <w:rFonts w:ascii="Times New Roman" w:hAnsi="Times New Roman"/>
                <w:sz w:val="18"/>
                <w:szCs w:val="18"/>
              </w:rPr>
            </w:pPr>
            <w:r w:rsidRPr="00527FF5">
              <w:rPr>
                <w:rFonts w:ascii="Calibri" w:hAnsi="Calibri" w:cs="Calibri"/>
                <w:sz w:val="18"/>
                <w:szCs w:val="18"/>
              </w:rPr>
              <w:t>Volumet fra foramen magnum til sacrum som spinal cord.  Overgang L2-L3, flere velger å definere hele  </w:t>
            </w:r>
          </w:p>
        </w:tc>
      </w:tr>
      <w:tr w14:paraId="7B8F13F0" w14:textId="77777777" w:rsidTr="002947CC">
        <w:tblPrEx>
          <w:tblW w:w="9045" w:type="dxa"/>
          <w:tblCellMar>
            <w:left w:w="0" w:type="dxa"/>
            <w:right w:w="0" w:type="dxa"/>
          </w:tblCellMar>
          <w:tblLook w:val="04A0"/>
        </w:tblPrEx>
        <w:trPr>
          <w:trHeight w:val="480"/>
        </w:trPr>
        <w:tc>
          <w:tcPr>
            <w:tcW w:w="0" w:type="auto"/>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05739743" w14:textId="77777777">
            <w:pPr>
              <w:rPr>
                <w:rFonts w:ascii="Times New Roman" w:hAnsi="Times New Roman"/>
                <w:sz w:val="18"/>
                <w:szCs w:val="18"/>
              </w:rPr>
            </w:pPr>
          </w:p>
        </w:tc>
        <w:tc>
          <w:tcPr>
            <w:tcW w:w="153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3E7E9A64" w14:textId="77777777">
            <w:pPr>
              <w:textAlignment w:val="baseline"/>
              <w:rPr>
                <w:rFonts w:ascii="Times New Roman" w:hAnsi="Times New Roman"/>
                <w:sz w:val="18"/>
                <w:szCs w:val="18"/>
              </w:rPr>
            </w:pPr>
            <w:r w:rsidRPr="00527FF5">
              <w:rPr>
                <w:rFonts w:ascii="Calibri" w:hAnsi="Calibri" w:cs="Calibri"/>
                <w:b/>
                <w:bCs/>
                <w:sz w:val="18"/>
                <w:szCs w:val="18"/>
              </w:rPr>
              <w:t>kVue One</w:t>
            </w:r>
            <w:r w:rsidRPr="00527FF5">
              <w:rPr>
                <w:rFonts w:ascii="Calibri" w:hAnsi="Calibri" w:cs="Calibri"/>
                <w:sz w:val="18"/>
                <w:szCs w:val="18"/>
              </w:rPr>
              <w:t>  </w:t>
            </w:r>
          </w:p>
        </w:tc>
        <w:tc>
          <w:tcPr>
            <w:tcW w:w="2954"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19F5B8E2" w14:textId="77777777">
            <w:pPr>
              <w:textAlignment w:val="baseline"/>
              <w:rPr>
                <w:rFonts w:ascii="Times New Roman" w:hAnsi="Times New Roman"/>
                <w:sz w:val="18"/>
                <w:szCs w:val="18"/>
              </w:rPr>
            </w:pPr>
            <w:r w:rsidRPr="00527FF5">
              <w:rPr>
                <w:rFonts w:ascii="Calibri" w:hAnsi="Calibri" w:cs="Calibri"/>
                <w:sz w:val="18"/>
                <w:szCs w:val="18"/>
              </w:rPr>
              <w:t>Skal tegnes  </w:t>
            </w:r>
          </w:p>
        </w:tc>
        <w:tc>
          <w:tcPr>
            <w:tcW w:w="3405"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02C285AE" w14:textId="77777777">
            <w:pPr>
              <w:textAlignment w:val="baseline"/>
              <w:rPr>
                <w:rFonts w:ascii="Times New Roman" w:hAnsi="Times New Roman"/>
                <w:sz w:val="18"/>
                <w:szCs w:val="18"/>
              </w:rPr>
            </w:pPr>
            <w:r w:rsidRPr="00527FF5">
              <w:rPr>
                <w:rFonts w:ascii="Calibri" w:hAnsi="Calibri" w:cs="Calibri"/>
                <w:color w:val="0000FF"/>
                <w:sz w:val="18"/>
                <w:szCs w:val="18"/>
                <w:u w:val="single"/>
              </w:rPr>
              <w:t>[REF! &lt;Fikseringsutstyr og bordtemplat ved doseplanlegging med protoner&gt;]</w:t>
            </w:r>
            <w:r w:rsidRPr="00527FF5">
              <w:rPr>
                <w:rFonts w:ascii="Calibri" w:hAnsi="Calibri" w:cs="Calibri"/>
                <w:color w:val="0000FF"/>
                <w:sz w:val="18"/>
                <w:szCs w:val="18"/>
              </w:rPr>
              <w:t> </w:t>
            </w:r>
          </w:p>
        </w:tc>
      </w:tr>
    </w:tbl>
    <w:p w:rsidR="001A3D0A" w:rsidRPr="001A3D0A" w:rsidP="001A3D0A" w14:paraId="3AFCD314" w14:textId="77777777">
      <w:pPr>
        <w:textAlignment w:val="baseline"/>
        <w:rPr>
          <w:rFonts w:ascii="Calibri" w:hAnsi="Calibri" w:cs="Calibri"/>
          <w:sz w:val="22"/>
          <w:szCs w:val="22"/>
        </w:rPr>
      </w:pPr>
      <w:r w:rsidRPr="001A3D0A">
        <w:rPr>
          <w:rFonts w:ascii="Calibri" w:hAnsi="Calibri" w:cs="Calibri"/>
          <w:sz w:val="22"/>
          <w:szCs w:val="22"/>
        </w:rPr>
        <w:t> </w:t>
      </w:r>
    </w:p>
    <w:p w:rsidR="001A3D0A" w:rsidRPr="001A3D0A" w:rsidP="00EF1D20" w14:paraId="103A7E9C" w14:textId="77777777">
      <w:pPr>
        <w:pStyle w:val="Heading2"/>
      </w:pPr>
      <w:bookmarkStart w:id="5" w:name="_Toc256000005"/>
      <w:r w:rsidRPr="001A3D0A">
        <w:t>Målvolum</w:t>
      </w:r>
      <w:bookmarkEnd w:id="5"/>
      <w:r w:rsidRPr="001A3D0A">
        <w:t> </w:t>
      </w:r>
    </w:p>
    <w:p w:rsidR="001A3D0A" w:rsidRPr="001A3D0A" w:rsidP="001A3D0A" w14:paraId="2F17E011" w14:textId="09E8055D">
      <w:pPr>
        <w:textAlignment w:val="baseline"/>
        <w:rPr>
          <w:rFonts w:ascii="Calibri" w:hAnsi="Calibri" w:cs="Calibri"/>
          <w:sz w:val="22"/>
          <w:szCs w:val="22"/>
        </w:rPr>
      </w:pPr>
      <w:r w:rsidRPr="001A3D0A">
        <w:rPr>
          <w:rFonts w:ascii="Calibri" w:hAnsi="Calibri" w:cs="Calibri"/>
          <w:sz w:val="22"/>
          <w:szCs w:val="22"/>
        </w:rPr>
        <w:t xml:space="preserve"> Målvolum for sarkom defineres etter tabell </w:t>
      </w:r>
      <w:r w:rsidR="002947CC">
        <w:rPr>
          <w:rFonts w:ascii="Calibri" w:hAnsi="Calibri" w:cs="Calibri"/>
          <w:sz w:val="22"/>
          <w:szCs w:val="22"/>
        </w:rPr>
        <w:t>3</w:t>
      </w:r>
      <w:r w:rsidRPr="001A3D0A">
        <w:rPr>
          <w:rFonts w:ascii="Calibri" w:hAnsi="Calibri" w:cs="Calibri"/>
          <w:sz w:val="22"/>
          <w:szCs w:val="22"/>
        </w:rPr>
        <w:t>.  </w:t>
      </w:r>
    </w:p>
    <w:p w:rsidR="001A3D0A" w:rsidRPr="001A3D0A" w:rsidP="001A3D0A" w14:paraId="41FBCB43" w14:textId="77777777">
      <w:pPr>
        <w:textAlignment w:val="baseline"/>
        <w:rPr>
          <w:rFonts w:ascii="Calibri" w:hAnsi="Calibri" w:cs="Calibri"/>
          <w:sz w:val="22"/>
          <w:szCs w:val="22"/>
        </w:rPr>
      </w:pPr>
      <w:r w:rsidRPr="001A3D0A">
        <w:rPr>
          <w:rFonts w:ascii="Calibri" w:hAnsi="Calibri" w:cs="Calibri"/>
          <w:szCs w:val="24"/>
        </w:rPr>
        <w:t> </w:t>
      </w:r>
    </w:p>
    <w:p w:rsidR="00183B08" w:rsidP="00183B08" w14:paraId="30C56764" w14:textId="7A5DCCC6">
      <w:pPr>
        <w:pStyle w:val="Caption"/>
        <w:keepNext/>
      </w:pPr>
      <w:r>
        <w:t xml:space="preserve">Tabell </w:t>
      </w:r>
      <w:r w:rsidR="00EB53AF">
        <w:fldChar w:fldCharType="begin"/>
      </w:r>
      <w:r w:rsidR="00EB53AF">
        <w:instrText xml:space="preserve"> SEQ Tabell \* ARABIC </w:instrText>
      </w:r>
      <w:r w:rsidR="00EB53AF">
        <w:fldChar w:fldCharType="separate"/>
      </w:r>
      <w:r w:rsidR="00EB53AF">
        <w:t>3</w:t>
      </w:r>
      <w:r w:rsidR="00EB53AF">
        <w:rPr>
          <w:noProof/>
        </w:rPr>
        <w:fldChar w:fldCharType="end"/>
      </w:r>
      <w:r>
        <w:t>: Beskrivelse for inntegning av målvolum.</w:t>
      </w:r>
    </w:p>
    <w:tbl>
      <w:tblPr>
        <w:tblW w:w="7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6450"/>
      </w:tblGrid>
      <w:tr w14:paraId="3E0A57BD" w14:textId="77777777" w:rsidTr="00183B08">
        <w:tblPrEx>
          <w:tblW w:w="7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90" w:type="dxa"/>
            <w:tcBorders>
              <w:top w:val="single" w:sz="6" w:space="0" w:color="4F81BD"/>
              <w:left w:val="single" w:sz="6" w:space="0" w:color="4F81BD"/>
              <w:bottom w:val="single" w:sz="6" w:space="0" w:color="4F81BD"/>
              <w:right w:val="nil"/>
            </w:tcBorders>
            <w:shd w:val="clear" w:color="auto" w:fill="4F81BD"/>
            <w:vAlign w:val="center"/>
            <w:hideMark/>
          </w:tcPr>
          <w:p w:rsidR="001A3D0A" w:rsidRPr="00527FF5" w:rsidP="001A3D0A" w14:paraId="7DF0EE5C"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Struktur </w:t>
            </w:r>
          </w:p>
        </w:tc>
        <w:tc>
          <w:tcPr>
            <w:tcW w:w="6450" w:type="dxa"/>
            <w:tcBorders>
              <w:top w:val="single" w:sz="6" w:space="0" w:color="4F81BD"/>
              <w:left w:val="nil"/>
              <w:bottom w:val="single" w:sz="6" w:space="0" w:color="4F81BD"/>
              <w:right w:val="single" w:sz="6" w:space="0" w:color="4F81BD"/>
            </w:tcBorders>
            <w:shd w:val="clear" w:color="auto" w:fill="4F81BD"/>
            <w:vAlign w:val="center"/>
            <w:hideMark/>
          </w:tcPr>
          <w:p w:rsidR="001A3D0A" w:rsidRPr="00527FF5" w:rsidP="001A3D0A" w14:paraId="1EF527F3"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Beskrivelse </w:t>
            </w:r>
          </w:p>
        </w:tc>
      </w:tr>
      <w:tr w14:paraId="2BE917ED" w14:textId="77777777" w:rsidTr="00183B08">
        <w:tblPrEx>
          <w:tblW w:w="7740" w:type="dxa"/>
          <w:tblCellMar>
            <w:left w:w="0" w:type="dxa"/>
            <w:right w:w="0" w:type="dxa"/>
          </w:tblCellMar>
          <w:tblLook w:val="04A0"/>
        </w:tblPrEx>
        <w:trPr>
          <w:trHeight w:val="300"/>
        </w:trPr>
        <w:tc>
          <w:tcPr>
            <w:tcW w:w="12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2DD4CBEC" w14:textId="77777777">
            <w:pPr>
              <w:textAlignment w:val="baseline"/>
              <w:rPr>
                <w:rFonts w:ascii="Times New Roman" w:hAnsi="Times New Roman"/>
                <w:b/>
                <w:bCs/>
                <w:sz w:val="18"/>
                <w:szCs w:val="18"/>
              </w:rPr>
            </w:pPr>
            <w:r w:rsidRPr="00527FF5">
              <w:rPr>
                <w:rFonts w:ascii="Calibri" w:hAnsi="Calibri" w:cs="Calibri"/>
                <w:b/>
                <w:bCs/>
                <w:sz w:val="18"/>
                <w:szCs w:val="18"/>
              </w:rPr>
              <w:t>GTVsb </w:t>
            </w:r>
          </w:p>
        </w:tc>
        <w:tc>
          <w:tcPr>
            <w:tcW w:w="64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579FE38A" w14:textId="77777777">
            <w:pPr>
              <w:textAlignment w:val="baseline"/>
              <w:rPr>
                <w:rFonts w:ascii="Times New Roman" w:hAnsi="Times New Roman"/>
                <w:sz w:val="18"/>
                <w:szCs w:val="18"/>
              </w:rPr>
            </w:pPr>
            <w:r w:rsidRPr="00527FF5">
              <w:rPr>
                <w:rFonts w:ascii="Calibri" w:hAnsi="Calibri" w:cs="Calibri"/>
                <w:sz w:val="18"/>
                <w:szCs w:val="18"/>
              </w:rPr>
              <w:t>Tumorseng (sb: surgical bed), når makroskopisk tumor er fjernet kirurgisk </w:t>
            </w:r>
          </w:p>
        </w:tc>
      </w:tr>
      <w:tr w14:paraId="566C11FC" w14:textId="77777777" w:rsidTr="00183B08">
        <w:tblPrEx>
          <w:tblW w:w="7740" w:type="dxa"/>
          <w:tblCellMar>
            <w:left w:w="0" w:type="dxa"/>
            <w:right w:w="0" w:type="dxa"/>
          </w:tblCellMar>
          <w:tblLook w:val="04A0"/>
        </w:tblPrEx>
        <w:trPr>
          <w:trHeight w:val="300"/>
        </w:trPr>
        <w:tc>
          <w:tcPr>
            <w:tcW w:w="129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28479D11" w14:textId="77777777">
            <w:pPr>
              <w:textAlignment w:val="baseline"/>
              <w:rPr>
                <w:rFonts w:ascii="Times New Roman" w:hAnsi="Times New Roman"/>
                <w:b/>
                <w:bCs/>
                <w:sz w:val="18"/>
                <w:szCs w:val="18"/>
              </w:rPr>
            </w:pPr>
            <w:r w:rsidRPr="00527FF5">
              <w:rPr>
                <w:rFonts w:ascii="Calibri" w:hAnsi="Calibri" w:cs="Calibri"/>
                <w:b/>
                <w:bCs/>
                <w:sz w:val="18"/>
                <w:szCs w:val="18"/>
              </w:rPr>
              <w:t>GTV </w:t>
            </w:r>
          </w:p>
        </w:tc>
        <w:tc>
          <w:tcPr>
            <w:tcW w:w="645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5E6150F8" w14:textId="77777777">
            <w:pPr>
              <w:textAlignment w:val="baseline"/>
              <w:rPr>
                <w:rFonts w:ascii="Times New Roman" w:hAnsi="Times New Roman"/>
                <w:sz w:val="18"/>
                <w:szCs w:val="18"/>
              </w:rPr>
            </w:pPr>
            <w:r w:rsidRPr="00527FF5">
              <w:rPr>
                <w:rFonts w:ascii="Calibri" w:hAnsi="Calibri" w:cs="Calibri"/>
                <w:sz w:val="18"/>
                <w:szCs w:val="18"/>
              </w:rPr>
              <w:t>Makroskopisk tumor </w:t>
            </w:r>
          </w:p>
        </w:tc>
      </w:tr>
      <w:tr w14:paraId="421931FF" w14:textId="77777777" w:rsidTr="00183B08">
        <w:tblPrEx>
          <w:tblW w:w="7740" w:type="dxa"/>
          <w:tblCellMar>
            <w:left w:w="0" w:type="dxa"/>
            <w:right w:w="0" w:type="dxa"/>
          </w:tblCellMar>
          <w:tblLook w:val="04A0"/>
        </w:tblPrEx>
        <w:trPr>
          <w:trHeight w:val="300"/>
        </w:trPr>
        <w:tc>
          <w:tcPr>
            <w:tcW w:w="12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0AFACCDD" w14:textId="77777777">
            <w:pPr>
              <w:textAlignment w:val="baseline"/>
              <w:rPr>
                <w:rFonts w:ascii="Times New Roman" w:hAnsi="Times New Roman"/>
                <w:b/>
                <w:bCs/>
                <w:sz w:val="18"/>
                <w:szCs w:val="18"/>
              </w:rPr>
            </w:pPr>
            <w:r w:rsidRPr="00527FF5">
              <w:rPr>
                <w:rFonts w:ascii="Calibri" w:hAnsi="Calibri" w:cs="Calibri"/>
                <w:b/>
                <w:bCs/>
                <w:sz w:val="18"/>
                <w:szCs w:val="18"/>
              </w:rPr>
              <w:t>IGTV </w:t>
            </w:r>
          </w:p>
        </w:tc>
        <w:tc>
          <w:tcPr>
            <w:tcW w:w="64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5291E55E" w14:textId="77777777">
            <w:pPr>
              <w:textAlignment w:val="baseline"/>
              <w:rPr>
                <w:rFonts w:ascii="Times New Roman" w:hAnsi="Times New Roman"/>
                <w:sz w:val="18"/>
                <w:szCs w:val="18"/>
              </w:rPr>
            </w:pPr>
            <w:r w:rsidRPr="00527FF5">
              <w:rPr>
                <w:rFonts w:ascii="Calibri" w:hAnsi="Calibri" w:cs="Calibri"/>
                <w:sz w:val="18"/>
                <w:szCs w:val="18"/>
              </w:rPr>
              <w:t>GTV inklusiv bevegelse definert i alle pustefaser på 4DCT, eventuelt fra flere DIBH serier. Se [REF! &lt;Retningslinje for protonplanlegging ved interfraksjonell bevegelse&gt;]. </w:t>
            </w:r>
          </w:p>
        </w:tc>
      </w:tr>
      <w:tr w14:paraId="69DD0102" w14:textId="77777777" w:rsidTr="00183B08">
        <w:tblPrEx>
          <w:tblW w:w="7740" w:type="dxa"/>
          <w:tblCellMar>
            <w:left w:w="0" w:type="dxa"/>
            <w:right w:w="0" w:type="dxa"/>
          </w:tblCellMar>
          <w:tblLook w:val="04A0"/>
        </w:tblPrEx>
        <w:trPr>
          <w:trHeight w:val="300"/>
        </w:trPr>
        <w:tc>
          <w:tcPr>
            <w:tcW w:w="129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5B9FDE39" w14:textId="77777777">
            <w:pPr>
              <w:textAlignment w:val="baseline"/>
              <w:rPr>
                <w:rFonts w:ascii="Times New Roman" w:hAnsi="Times New Roman"/>
                <w:b/>
                <w:bCs/>
                <w:sz w:val="18"/>
                <w:szCs w:val="18"/>
              </w:rPr>
            </w:pPr>
            <w:r w:rsidRPr="00527FF5">
              <w:rPr>
                <w:rFonts w:ascii="Calibri" w:hAnsi="Calibri" w:cs="Calibri"/>
                <w:b/>
                <w:bCs/>
                <w:sz w:val="18"/>
                <w:szCs w:val="18"/>
              </w:rPr>
              <w:t>CTV_xx </w:t>
            </w:r>
          </w:p>
        </w:tc>
        <w:tc>
          <w:tcPr>
            <w:tcW w:w="645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F1D21B4" w14:textId="77777777">
            <w:pPr>
              <w:textAlignment w:val="baseline"/>
              <w:rPr>
                <w:rFonts w:ascii="Times New Roman" w:hAnsi="Times New Roman"/>
                <w:sz w:val="18"/>
                <w:szCs w:val="18"/>
              </w:rPr>
            </w:pPr>
            <w:r w:rsidRPr="00527FF5">
              <w:rPr>
                <w:rFonts w:ascii="Calibri" w:hAnsi="Calibri" w:cs="Calibri"/>
                <w:sz w:val="18"/>
                <w:szCs w:val="18"/>
              </w:rPr>
              <w:t>Område med mulighet for mikroskopisk sykdom. Margin fra tumorseng/GTV avhenger av blant annet vekstmønster og anatomiske barrierer i kroppen (som fascier og bein). </w:t>
            </w:r>
          </w:p>
          <w:p w:rsidR="001A3D0A" w:rsidRPr="00527FF5" w:rsidP="001A3D0A" w14:paraId="3BA2A692" w14:textId="77777777">
            <w:pPr>
              <w:textAlignment w:val="baseline"/>
              <w:rPr>
                <w:rFonts w:ascii="Times New Roman" w:hAnsi="Times New Roman"/>
                <w:sz w:val="18"/>
                <w:szCs w:val="18"/>
              </w:rPr>
            </w:pPr>
            <w:r w:rsidRPr="00527FF5">
              <w:rPr>
                <w:rFonts w:ascii="Calibri" w:hAnsi="Calibri" w:cs="Calibri"/>
                <w:sz w:val="18"/>
                <w:szCs w:val="18"/>
              </w:rPr>
              <w:t>CTV skal normalt tegnes 5 mm innenfor External. </w:t>
            </w:r>
          </w:p>
        </w:tc>
      </w:tr>
      <w:tr w14:paraId="19944AB5" w14:textId="77777777" w:rsidTr="00183B08">
        <w:tblPrEx>
          <w:tblW w:w="7740" w:type="dxa"/>
          <w:tblCellMar>
            <w:left w:w="0" w:type="dxa"/>
            <w:right w:w="0" w:type="dxa"/>
          </w:tblCellMar>
          <w:tblLook w:val="04A0"/>
        </w:tblPrEx>
        <w:trPr>
          <w:trHeight w:val="300"/>
        </w:trPr>
        <w:tc>
          <w:tcPr>
            <w:tcW w:w="129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5E7C9EFD" w14:textId="77777777">
            <w:pPr>
              <w:textAlignment w:val="baseline"/>
              <w:rPr>
                <w:rFonts w:ascii="Times New Roman" w:hAnsi="Times New Roman"/>
                <w:b/>
                <w:bCs/>
                <w:sz w:val="18"/>
                <w:szCs w:val="18"/>
              </w:rPr>
            </w:pPr>
            <w:r w:rsidRPr="00527FF5">
              <w:rPr>
                <w:rFonts w:ascii="Calibri" w:hAnsi="Calibri" w:cs="Calibri"/>
                <w:b/>
                <w:bCs/>
                <w:sz w:val="18"/>
                <w:szCs w:val="18"/>
              </w:rPr>
              <w:t>ICTV_xx </w:t>
            </w:r>
          </w:p>
        </w:tc>
        <w:tc>
          <w:tcPr>
            <w:tcW w:w="64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6DEC3403" w14:textId="77777777">
            <w:pPr>
              <w:textAlignment w:val="baseline"/>
              <w:rPr>
                <w:rFonts w:ascii="Times New Roman" w:hAnsi="Times New Roman"/>
                <w:sz w:val="18"/>
                <w:szCs w:val="18"/>
              </w:rPr>
            </w:pPr>
            <w:r w:rsidRPr="00527FF5">
              <w:rPr>
                <w:rFonts w:ascii="Calibri" w:hAnsi="Calibri" w:cs="Calibri"/>
                <w:sz w:val="18"/>
                <w:szCs w:val="18"/>
              </w:rPr>
              <w:t>CTV inklusiv bevegelse enten fra 4DCT eller andre øyeblikksopptak fra CT eller andre modaliteter. Se [REF! &lt;Retningslinje for protonplanlegging ved interfraksjonell bevegelse&gt;].  </w:t>
            </w:r>
          </w:p>
        </w:tc>
      </w:tr>
    </w:tbl>
    <w:p w:rsidR="002947CC" w:rsidRPr="00DC4390" w:rsidP="001A3D0A" w14:paraId="35576593" w14:textId="10F14D67">
      <w:pPr>
        <w:textAlignment w:val="baseline"/>
        <w:rPr>
          <w:rFonts w:ascii="Calibri" w:hAnsi="Calibri" w:cs="Calibri"/>
          <w:color w:val="FF0000"/>
          <w:sz w:val="22"/>
          <w:szCs w:val="22"/>
        </w:rPr>
      </w:pPr>
      <w:r w:rsidRPr="001A3D0A">
        <w:rPr>
          <w:rFonts w:ascii="Calibri" w:hAnsi="Calibri" w:cs="Calibri"/>
          <w:color w:val="FF0000"/>
          <w:sz w:val="22"/>
          <w:szCs w:val="22"/>
        </w:rPr>
        <w:t> </w:t>
      </w:r>
    </w:p>
    <w:p w:rsidR="001A3D0A" w:rsidRPr="001A3D0A" w:rsidP="00561498" w14:paraId="2981D800" w14:textId="77777777">
      <w:pPr>
        <w:pStyle w:val="Heading1"/>
      </w:pPr>
      <w:bookmarkStart w:id="6" w:name="_Toc256000006"/>
      <w:r w:rsidRPr="001A3D0A">
        <w:t>Protonplanlegging</w:t>
      </w:r>
      <w:bookmarkEnd w:id="6"/>
      <w:r w:rsidRPr="001A3D0A">
        <w:t> </w:t>
      </w:r>
    </w:p>
    <w:p w:rsidR="001A3D0A" w:rsidRPr="001A3D0A" w:rsidP="00EF1D20" w14:paraId="75484FE3" w14:textId="77777777">
      <w:pPr>
        <w:pStyle w:val="Heading2"/>
      </w:pPr>
      <w:bookmarkStart w:id="7" w:name="_Toc256000007"/>
      <w:r w:rsidRPr="001A3D0A">
        <w:t>Forberedelser</w:t>
      </w:r>
      <w:bookmarkEnd w:id="7"/>
      <w:r w:rsidRPr="001A3D0A">
        <w:t> </w:t>
      </w:r>
    </w:p>
    <w:p w:rsidR="001A3D0A" w:rsidRPr="001A3D0A" w:rsidP="00EF1D20" w14:paraId="722DBA23" w14:textId="77777777">
      <w:pPr>
        <w:pStyle w:val="Heading3"/>
      </w:pPr>
      <w:bookmarkStart w:id="8" w:name="_Toc256000008"/>
      <w:r w:rsidRPr="001A3D0A">
        <w:t>Valg av planleggings-CT</w:t>
      </w:r>
      <w:bookmarkEnd w:id="8"/>
      <w:r w:rsidRPr="001A3D0A">
        <w:t> </w:t>
      </w:r>
    </w:p>
    <w:p w:rsidR="001A3D0A" w:rsidRPr="001A3D0A" w:rsidP="001A3D0A" w14:paraId="5F4AC886" w14:textId="77777777">
      <w:pPr>
        <w:textAlignment w:val="baseline"/>
        <w:rPr>
          <w:rFonts w:ascii="Calibri" w:hAnsi="Calibri" w:cs="Calibri"/>
          <w:sz w:val="22"/>
          <w:szCs w:val="22"/>
        </w:rPr>
      </w:pPr>
      <w:r w:rsidRPr="001A3D0A">
        <w:rPr>
          <w:rFonts w:ascii="Calibri" w:hAnsi="Calibri" w:cs="Calibri"/>
          <w:sz w:val="22"/>
          <w:szCs w:val="22"/>
        </w:rPr>
        <w:t xml:space="preserve">Det skal alltid planlegges på en CT-serie </w:t>
      </w:r>
      <w:r w:rsidRPr="001A3D0A">
        <w:rPr>
          <w:rFonts w:ascii="Calibri" w:hAnsi="Calibri" w:cs="Calibri"/>
          <w:sz w:val="22"/>
          <w:szCs w:val="22"/>
          <w:u w:val="single"/>
        </w:rPr>
        <w:t>uten</w:t>
      </w:r>
      <w:r w:rsidRPr="001A3D0A">
        <w:rPr>
          <w:rFonts w:ascii="Calibri" w:hAnsi="Calibri" w:cs="Calibri"/>
          <w:sz w:val="22"/>
          <w:szCs w:val="22"/>
        </w:rPr>
        <w:t xml:space="preserve"> kontrast. Eventuelle CT-serier med kontrast er til støtte for inntegning. Ved metallartefakter i CT-serien skal det planlegges på CT-serien hvor MAR er tatt i bruk. Påse ellers at all relevant fiksering er tatt med i CT-serien. </w:t>
      </w:r>
    </w:p>
    <w:p w:rsidR="001A3D0A" w:rsidRPr="001A3D0A" w:rsidP="00EF1D20" w14:paraId="52FBA79A" w14:textId="77777777">
      <w:pPr>
        <w:pStyle w:val="Heading3"/>
      </w:pPr>
      <w:bookmarkStart w:id="9" w:name="_Toc256000009"/>
      <w:r w:rsidRPr="001A3D0A">
        <w:t>Materialoverstyring</w:t>
      </w:r>
      <w:bookmarkEnd w:id="9"/>
      <w:r w:rsidRPr="001A3D0A">
        <w:t> </w:t>
      </w:r>
    </w:p>
    <w:p w:rsidR="001A3D0A" w:rsidRPr="001A3D0A" w:rsidP="001A3D0A" w14:paraId="1B59A081" w14:textId="77777777">
      <w:pPr>
        <w:textAlignment w:val="baseline"/>
        <w:rPr>
          <w:rFonts w:ascii="Calibri" w:hAnsi="Calibri" w:cs="Calibri"/>
          <w:sz w:val="22"/>
          <w:szCs w:val="22"/>
        </w:rPr>
      </w:pPr>
      <w:r w:rsidRPr="001A3D0A">
        <w:rPr>
          <w:rFonts w:ascii="Calibri" w:hAnsi="Calibri" w:cs="Calibri"/>
          <w:sz w:val="22"/>
          <w:szCs w:val="22"/>
        </w:rPr>
        <w:t>Materialer i doseplansystemet skal inntegnes og overstyres hvor det er hensiktsmessig ved for eksempel artefakter og/eller implantater som shunt, clips, craniofix, titan mesh og annet. Ved overstyring er det viktig at størrelse og materialkomposisjon er nøyaktig spesifisert slik at usikkerheter i inntegning og valg av materiale i doseplansystemet minimeres. Se [</w:t>
      </w:r>
      <w:r w:rsidRPr="001A3D0A">
        <w:rPr>
          <w:rFonts w:ascii="Calibri" w:hAnsi="Calibri" w:cs="Calibri"/>
          <w:color w:val="0000FF"/>
          <w:sz w:val="22"/>
          <w:szCs w:val="22"/>
        </w:rPr>
        <w:t>REF! &lt;metall og artefakter&gt;</w:t>
      </w:r>
      <w:r w:rsidRPr="001A3D0A">
        <w:rPr>
          <w:rFonts w:ascii="Calibri" w:hAnsi="Calibri" w:cs="Calibri"/>
          <w:sz w:val="22"/>
          <w:szCs w:val="22"/>
        </w:rPr>
        <w:t>] for detaljer. </w:t>
      </w:r>
    </w:p>
    <w:p w:rsidR="001A3D0A" w:rsidRPr="001A3D0A" w:rsidP="00EF1D20" w14:paraId="586F3B5F" w14:textId="77777777">
      <w:pPr>
        <w:pStyle w:val="Heading3"/>
      </w:pPr>
      <w:bookmarkStart w:id="10" w:name="_Toc256000010"/>
      <w:r w:rsidRPr="001A3D0A">
        <w:t>Kalibreringskurve</w:t>
      </w:r>
      <w:bookmarkEnd w:id="10"/>
      <w:r w:rsidRPr="001A3D0A">
        <w:t> </w:t>
      </w:r>
    </w:p>
    <w:p w:rsidR="001A3D0A" w:rsidRPr="001A3D0A" w:rsidP="001A3D0A" w14:paraId="3E45826E" w14:textId="77777777">
      <w:pPr>
        <w:textAlignment w:val="baseline"/>
        <w:rPr>
          <w:rFonts w:ascii="Calibri" w:hAnsi="Calibri" w:cs="Calibri"/>
          <w:sz w:val="22"/>
          <w:szCs w:val="22"/>
        </w:rPr>
      </w:pPr>
      <w:r w:rsidRPr="001A3D0A">
        <w:rPr>
          <w:rFonts w:ascii="Calibri" w:hAnsi="Calibri" w:cs="Calibri"/>
          <w:sz w:val="22"/>
          <w:szCs w:val="22"/>
        </w:rPr>
        <w:t>Ved sammenliknende doseplanlegging mellom protoner og fotoner skal det tas en kopi av CT-serien som skal brukes til planlegging i doseplansystemet. CT-seriene er identiske, men den ene serien skal knyttes til kalibreringskurve for fotonbehandling, mens den andre serien skal knyttes til kalibreringskurve for protonbehandling. Tilse at korrekt CT-serie, med korrekt kalibreringskurve, blir brukt ved protonplanleggingen. De to planleggings-CT-seriene skal navngis slik at de enkelt kan skilles fra hverandre. </w:t>
      </w:r>
    </w:p>
    <w:p w:rsidR="001A3D0A" w:rsidRPr="001A3D0A" w:rsidP="00EF1D20" w14:paraId="0BA9846A" w14:textId="77777777">
      <w:pPr>
        <w:pStyle w:val="Heading2"/>
      </w:pPr>
      <w:bookmarkStart w:id="11" w:name="_Toc256000011"/>
      <w:r w:rsidRPr="001A3D0A">
        <w:t>Strukturer</w:t>
      </w:r>
      <w:bookmarkEnd w:id="11"/>
      <w:r w:rsidRPr="001A3D0A">
        <w:t> </w:t>
      </w:r>
    </w:p>
    <w:p w:rsidR="001A3D0A" w:rsidRPr="001A3D0A" w:rsidP="001A3D0A" w14:paraId="014990CE" w14:textId="77777777">
      <w:pPr>
        <w:textAlignment w:val="baseline"/>
        <w:rPr>
          <w:rFonts w:ascii="Calibri" w:hAnsi="Calibri" w:cs="Calibri"/>
          <w:sz w:val="22"/>
          <w:szCs w:val="22"/>
        </w:rPr>
      </w:pPr>
      <w:r w:rsidRPr="001A3D0A">
        <w:rPr>
          <w:rFonts w:ascii="Calibri" w:hAnsi="Calibri" w:cs="Calibri"/>
          <w:sz w:val="22"/>
          <w:szCs w:val="22"/>
        </w:rPr>
        <w:t>External defineres til å inkludere all relevant fiksering inklusive puter og bordtoppen. Ev. utvidelse med margin brukes hvis hensiktsmessig. Se [</w:t>
      </w:r>
      <w:r w:rsidRPr="001A3D0A">
        <w:rPr>
          <w:rFonts w:ascii="Calibri" w:hAnsi="Calibri" w:cs="Calibri"/>
          <w:color w:val="0000FF"/>
          <w:sz w:val="22"/>
          <w:szCs w:val="22"/>
        </w:rPr>
        <w:t>REF! &lt;Fikseringsutstyr og bordtemplat ved doseplanlegging med protoner&gt;</w:t>
      </w:r>
      <w:r w:rsidRPr="001A3D0A">
        <w:rPr>
          <w:rFonts w:ascii="Calibri" w:hAnsi="Calibri" w:cs="Calibri"/>
          <w:sz w:val="22"/>
          <w:szCs w:val="22"/>
        </w:rPr>
        <w:t>] for detaljer. </w:t>
      </w:r>
    </w:p>
    <w:p w:rsidR="001A3D0A" w:rsidRPr="001A3D0A" w:rsidP="001A3D0A" w14:paraId="7E44EE72" w14:textId="77777777">
      <w:pPr>
        <w:textAlignment w:val="baseline"/>
        <w:rPr>
          <w:rFonts w:ascii="Calibri" w:hAnsi="Calibri" w:cs="Calibri"/>
          <w:sz w:val="22"/>
          <w:szCs w:val="22"/>
        </w:rPr>
      </w:pPr>
      <w:r w:rsidRPr="001A3D0A">
        <w:rPr>
          <w:rFonts w:ascii="Calibri" w:hAnsi="Calibri" w:cs="Calibri"/>
          <w:sz w:val="22"/>
          <w:szCs w:val="22"/>
        </w:rPr>
        <w:t>Ved behandling kaudalt for halsen må kVue One bordtoppen legges til struktursettet. Denne bordtoppen har en kileform ved enden slik at man får en helning. Det er viktig at denne havner i korrekt posisjon, spesielt hvis helningen på bordtoppen er i nærheten av målvolumet. Man kan benytte kort eller lang bordforlenger for å unngå at helningen kommer ved målvolum, se [</w:t>
      </w:r>
      <w:r w:rsidRPr="001A3D0A">
        <w:rPr>
          <w:rFonts w:ascii="Calibri" w:hAnsi="Calibri" w:cs="Calibri"/>
          <w:color w:val="0000FF"/>
          <w:sz w:val="22"/>
          <w:szCs w:val="22"/>
        </w:rPr>
        <w:t xml:space="preserve">REF! &lt;Fikseringsutstyr og bordtemplat ved doseplanlegging med protoner&gt;]. </w:t>
      </w:r>
      <w:r w:rsidRPr="001A3D0A">
        <w:rPr>
          <w:rFonts w:ascii="Calibri" w:hAnsi="Calibri" w:cs="Calibri"/>
          <w:sz w:val="22"/>
          <w:szCs w:val="22"/>
        </w:rPr>
        <w:t>Ved overlapp mellom målvolum og dosebegrensede serielle risikoorganer kan det defineres en hjelpestruktur hvor disse er trukket fra CTV med margin. Margin bør vurderes individuelt. </w:t>
      </w:r>
    </w:p>
    <w:p w:rsidR="001A3D0A" w:rsidRPr="001A3D0A" w:rsidP="00EF1D20" w14:paraId="357C93C9" w14:textId="77777777">
      <w:pPr>
        <w:pStyle w:val="Heading2"/>
      </w:pPr>
      <w:bookmarkStart w:id="12" w:name="_Toc256000012"/>
      <w:r w:rsidRPr="001A3D0A">
        <w:t>Planoppsett</w:t>
      </w:r>
      <w:bookmarkEnd w:id="12"/>
      <w:r w:rsidRPr="001A3D0A">
        <w:t> </w:t>
      </w:r>
    </w:p>
    <w:p w:rsidR="001A3D0A" w:rsidRPr="001A3D0A" w:rsidP="00EF1D20" w14:paraId="073E5B84" w14:textId="77777777">
      <w:pPr>
        <w:pStyle w:val="Heading3"/>
      </w:pPr>
      <w:bookmarkStart w:id="13" w:name="_Toc256000013"/>
      <w:r w:rsidRPr="001A3D0A">
        <w:t>Isosenter plassering</w:t>
      </w:r>
      <w:bookmarkEnd w:id="13"/>
      <w:r w:rsidRPr="001A3D0A">
        <w:t> </w:t>
      </w:r>
    </w:p>
    <w:p w:rsidR="001A3D0A" w:rsidRPr="001A3D0A" w:rsidP="001A3D0A" w14:paraId="67C33EF3" w14:textId="40AB9148">
      <w:pPr>
        <w:textAlignment w:val="baseline"/>
        <w:rPr>
          <w:rFonts w:ascii="Calibri" w:hAnsi="Calibri" w:cs="Calibri"/>
          <w:sz w:val="22"/>
          <w:szCs w:val="22"/>
        </w:rPr>
      </w:pPr>
      <w:r w:rsidRPr="001A3D0A">
        <w:rPr>
          <w:rFonts w:ascii="Calibri" w:hAnsi="Calibri" w:cs="Calibri"/>
          <w:color w:val="000000"/>
          <w:sz w:val="22"/>
          <w:szCs w:val="22"/>
        </w:rPr>
        <w:t>Isosenter plasseres hensiktsmessig, fortrinnsvis sentralt i målvolumet som generelt sett tilsvarer i senter av CTV.  </w:t>
      </w:r>
      <w:r w:rsidR="002947CC">
        <w:rPr>
          <w:rFonts w:ascii="Calibri" w:hAnsi="Calibri" w:cs="Calibri"/>
          <w:i/>
          <w:iCs/>
          <w:color w:val="000000"/>
          <w:sz w:val="22"/>
          <w:szCs w:val="22"/>
        </w:rPr>
        <w:br/>
      </w:r>
      <w:r w:rsidRPr="001A3D0A">
        <w:rPr>
          <w:rFonts w:ascii="Calibri" w:hAnsi="Calibri" w:cs="Calibri"/>
          <w:i/>
          <w:iCs/>
          <w:color w:val="000000"/>
          <w:sz w:val="22"/>
          <w:szCs w:val="22"/>
        </w:rPr>
        <w:t>Unntak</w:t>
      </w:r>
      <w:r w:rsidRPr="001A3D0A">
        <w:rPr>
          <w:rFonts w:ascii="Calibri" w:hAnsi="Calibri" w:cs="Calibri"/>
          <w:color w:val="000000"/>
          <w:sz w:val="22"/>
          <w:szCs w:val="22"/>
        </w:rPr>
        <w:t> </w:t>
      </w:r>
      <w:r w:rsidRPr="001A3D0A">
        <w:rPr>
          <w:rFonts w:ascii="Calibri" w:hAnsi="Calibri" w:cs="Calibri"/>
          <w:color w:val="000000"/>
          <w:sz w:val="22"/>
          <w:szCs w:val="22"/>
        </w:rPr>
        <w:br/>
        <w:t xml:space="preserve">Ved lange målvolum tilstrebes det at hele målvolumet dekkes av hvert felt for å unngå skjøting av felt. Den maksimale feltstørrelse er 25 x 25 cm og inkluderer den geometrisk robusthetsinnstilling. </w:t>
      </w:r>
      <w:r w:rsidRPr="001A3D0A">
        <w:rPr>
          <w:rFonts w:ascii="Calibri" w:hAnsi="Calibri" w:cs="Calibri"/>
          <w:sz w:val="22"/>
          <w:szCs w:val="22"/>
        </w:rPr>
        <w:t>Er målvolumets størrelse nær den maksimale feltstørrelsen er det nødvendig med flere isosentre.</w:t>
      </w:r>
      <w:r w:rsidRPr="001A3D0A">
        <w:rPr>
          <w:rFonts w:ascii="Calibri" w:hAnsi="Calibri" w:cs="Calibri"/>
          <w:color w:val="000000"/>
          <w:sz w:val="22"/>
          <w:szCs w:val="22"/>
        </w:rPr>
        <w:t xml:space="preserve"> Se kapittel 5.3.6 «Skjøting av felter»</w:t>
      </w:r>
      <w:r w:rsidRPr="001A3D0A">
        <w:rPr>
          <w:rFonts w:ascii="Calibri" w:hAnsi="Calibri" w:cs="Calibri"/>
          <w:sz w:val="22"/>
          <w:szCs w:val="22"/>
        </w:rPr>
        <w:t xml:space="preserve"> for veiledning i plasseringen av isosenterene. </w:t>
      </w:r>
    </w:p>
    <w:p w:rsidR="001A3D0A" w:rsidRPr="001A3D0A" w:rsidP="001A3D0A" w14:paraId="4852CF36" w14:textId="77777777">
      <w:pPr>
        <w:textAlignment w:val="baseline"/>
        <w:rPr>
          <w:rFonts w:ascii="Calibri" w:hAnsi="Calibri" w:cs="Calibri"/>
          <w:sz w:val="22"/>
          <w:szCs w:val="22"/>
        </w:rPr>
      </w:pPr>
      <w:r w:rsidRPr="001A3D0A">
        <w:rPr>
          <w:rFonts w:ascii="Calibri" w:hAnsi="Calibri" w:cs="Calibri"/>
          <w:color w:val="000000"/>
          <w:sz w:val="22"/>
          <w:szCs w:val="22"/>
        </w:rPr>
        <w:t>Ved bruk av range shifter for kranielle tumorlokasjoner skal det vurderes om isosenter bør flyttes kranielt for å lettere unngå kollisjon med skuldre.  </w:t>
      </w:r>
    </w:p>
    <w:p w:rsidR="001A3D0A" w:rsidRPr="001A3D0A" w:rsidP="00EF1D20" w14:paraId="2BE429C7" w14:textId="77777777">
      <w:pPr>
        <w:pStyle w:val="Heading3"/>
      </w:pPr>
      <w:bookmarkStart w:id="14" w:name="_Toc256000014"/>
      <w:r w:rsidRPr="001A3D0A">
        <w:t>Planleggingsteknisk</w:t>
      </w:r>
      <w:bookmarkEnd w:id="14"/>
      <w:r w:rsidRPr="001A3D0A">
        <w:t> </w:t>
      </w:r>
    </w:p>
    <w:p w:rsidR="001A3D0A" w:rsidRPr="001A3D0A" w:rsidP="001A3D0A" w14:paraId="6B2384FE" w14:textId="77777777">
      <w:pPr>
        <w:textAlignment w:val="baseline"/>
        <w:rPr>
          <w:rFonts w:ascii="Calibri" w:hAnsi="Calibri" w:cs="Calibri"/>
          <w:sz w:val="22"/>
          <w:szCs w:val="22"/>
        </w:rPr>
      </w:pPr>
      <w:r w:rsidRPr="001A3D0A">
        <w:rPr>
          <w:rFonts w:ascii="Calibri" w:hAnsi="Calibri" w:cs="Calibri"/>
          <w:i/>
          <w:iCs/>
          <w:color w:val="000000"/>
          <w:sz w:val="22"/>
          <w:szCs w:val="22"/>
        </w:rPr>
        <w:t>Multi field optimization</w:t>
      </w:r>
      <w:r w:rsidRPr="001A3D0A">
        <w:rPr>
          <w:rFonts w:ascii="Calibri" w:hAnsi="Calibri" w:cs="Calibri"/>
          <w:color w:val="000000"/>
          <w:sz w:val="22"/>
          <w:szCs w:val="22"/>
        </w:rPr>
        <w:t xml:space="preserve"> med robustoptimering bør fortrinnsvis brukes, spesielt hvor målvolumet ligger tett opp mot kritiske risikoorganer eller nært inhomogene områder. </w:t>
      </w:r>
      <w:r w:rsidRPr="001A3D0A">
        <w:rPr>
          <w:rFonts w:ascii="Calibri" w:hAnsi="Calibri" w:cs="Calibri"/>
          <w:i/>
          <w:iCs/>
          <w:color w:val="000000"/>
          <w:sz w:val="22"/>
          <w:szCs w:val="22"/>
        </w:rPr>
        <w:t>Single field optimization</w:t>
      </w:r>
      <w:r w:rsidRPr="001A3D0A">
        <w:rPr>
          <w:rFonts w:ascii="Calibri" w:hAnsi="Calibri" w:cs="Calibri"/>
          <w:color w:val="000000"/>
          <w:sz w:val="22"/>
          <w:szCs w:val="22"/>
        </w:rPr>
        <w:t xml:space="preserve"> kan vurderes ved enkle feltoppsett i homogene områder med god avstand mellom målvolum og kritiske risikoorganer eller ved intrafraksjonell bevegelse </w:t>
      </w:r>
      <w:r w:rsidRPr="001A3D0A">
        <w:rPr>
          <w:rFonts w:ascii="Calibri" w:hAnsi="Calibri" w:cs="Calibri"/>
          <w:color w:val="0000FF"/>
          <w:sz w:val="22"/>
          <w:szCs w:val="22"/>
        </w:rPr>
        <w:t>([REF! &lt;Retningslinje for protonplanlegging ved intrafraksjonell bevegelse&gt;]</w:t>
      </w:r>
      <w:r w:rsidRPr="001A3D0A">
        <w:rPr>
          <w:rFonts w:ascii="Calibri" w:hAnsi="Calibri" w:cs="Calibri"/>
          <w:color w:val="000000"/>
          <w:sz w:val="22"/>
          <w:szCs w:val="22"/>
        </w:rPr>
        <w:t>). </w:t>
      </w:r>
    </w:p>
    <w:p w:rsidR="001A3D0A" w:rsidRPr="001A3D0A" w:rsidP="001A3D0A" w14:paraId="4CB1EBF9" w14:textId="77777777">
      <w:pPr>
        <w:textAlignment w:val="baseline"/>
        <w:rPr>
          <w:rFonts w:ascii="Calibri" w:hAnsi="Calibri" w:cs="Calibri"/>
          <w:sz w:val="22"/>
          <w:szCs w:val="22"/>
        </w:rPr>
      </w:pPr>
      <w:r w:rsidRPr="001A3D0A">
        <w:rPr>
          <w:rFonts w:ascii="Calibri" w:hAnsi="Calibri" w:cs="Calibri"/>
          <w:sz w:val="22"/>
          <w:szCs w:val="22"/>
        </w:rPr>
        <w:t>Endelig doseberegning skal gjøres med en dosegrid som tilsvarer vokselstørrelsen på CT bildet.  </w:t>
      </w:r>
    </w:p>
    <w:p w:rsidR="001A3D0A" w:rsidRPr="001A3D0A" w:rsidP="00EF1D20" w14:paraId="60B69848" w14:textId="77777777">
      <w:pPr>
        <w:pStyle w:val="Heading3"/>
      </w:pPr>
      <w:bookmarkStart w:id="15" w:name="_Toc256000015"/>
      <w:r w:rsidRPr="001A3D0A">
        <w:t>Valg av feltvinkler</w:t>
      </w:r>
      <w:bookmarkEnd w:id="15"/>
      <w:r w:rsidRPr="001A3D0A">
        <w:t> </w:t>
      </w:r>
    </w:p>
    <w:p w:rsidR="001A3D0A" w:rsidRPr="001A3D0A" w:rsidP="001A3D0A" w14:paraId="57FCE06A" w14:textId="77777777">
      <w:pPr>
        <w:textAlignment w:val="baseline"/>
        <w:rPr>
          <w:rFonts w:ascii="Calibri" w:hAnsi="Calibri" w:cs="Calibri"/>
          <w:sz w:val="22"/>
          <w:szCs w:val="22"/>
        </w:rPr>
      </w:pPr>
      <w:r w:rsidRPr="001A3D0A">
        <w:rPr>
          <w:rFonts w:ascii="Calibri" w:hAnsi="Calibri" w:cs="Calibri"/>
          <w:sz w:val="22"/>
          <w:szCs w:val="22"/>
        </w:rPr>
        <w:t>Feltvinkler må bestemmes individuelt for hver pasient, da feltoppsettet kan variere i stor grad basert på tumorlokasjon, tumorstørrelse, rekvirert dose, nærhet til risikoorganer, inhomogeniteter osv.  </w:t>
      </w:r>
    </w:p>
    <w:p w:rsidR="00EF1D20" w:rsidRPr="00527FF5" w:rsidP="00527FF5" w14:paraId="50200358" w14:textId="0190B588">
      <w:pPr>
        <w:textAlignment w:val="baseline"/>
        <w:rPr>
          <w:rFonts w:ascii="Calibri" w:hAnsi="Calibri" w:cs="Calibri"/>
          <w:sz w:val="22"/>
          <w:szCs w:val="22"/>
        </w:rPr>
      </w:pPr>
      <w:r w:rsidRPr="001A3D0A">
        <w:rPr>
          <w:rFonts w:ascii="Calibri" w:hAnsi="Calibri" w:cs="Calibri"/>
          <w:sz w:val="22"/>
          <w:szCs w:val="22"/>
        </w:rPr>
        <w:t xml:space="preserve">Anbefalinger av feltvinkler er kategorisert etter behandlingsregion. For målvolum i hjernen se </w:t>
      </w:r>
      <w:r w:rsidR="002947CC">
        <w:rPr>
          <w:rFonts w:ascii="Calibri" w:hAnsi="Calibri" w:cs="Calibri"/>
          <w:color w:val="0000FF"/>
          <w:sz w:val="22"/>
          <w:szCs w:val="22"/>
        </w:rPr>
        <w:t>Nasjonal r</w:t>
      </w:r>
      <w:r w:rsidRPr="001A3D0A">
        <w:rPr>
          <w:rFonts w:ascii="Calibri" w:hAnsi="Calibri" w:cs="Calibri"/>
          <w:color w:val="0000FF"/>
          <w:sz w:val="22"/>
          <w:szCs w:val="22"/>
        </w:rPr>
        <w:t>etningslinje for protonplanlegging av tumor cerebri</w:t>
      </w:r>
      <w:r w:rsidR="002947CC">
        <w:rPr>
          <w:rFonts w:ascii="Calibri" w:hAnsi="Calibri" w:cs="Calibri"/>
          <w:color w:val="0000FF"/>
          <w:sz w:val="22"/>
          <w:szCs w:val="22"/>
        </w:rPr>
        <w:t xml:space="preserve"> – del av hjerne</w:t>
      </w:r>
      <w:r w:rsidRPr="001A3D0A">
        <w:rPr>
          <w:rFonts w:ascii="Calibri" w:hAnsi="Calibri" w:cs="Calibri"/>
          <w:sz w:val="22"/>
          <w:szCs w:val="22"/>
        </w:rPr>
        <w:t xml:space="preserve">, for målvolum i hode-hals se </w:t>
      </w:r>
      <w:r w:rsidR="002947CC">
        <w:rPr>
          <w:rFonts w:ascii="Calibri" w:hAnsi="Calibri" w:cs="Calibri"/>
          <w:color w:val="0000FF"/>
          <w:sz w:val="22"/>
          <w:szCs w:val="22"/>
        </w:rPr>
        <w:t>Nasjonal r</w:t>
      </w:r>
      <w:r w:rsidRPr="001A3D0A">
        <w:rPr>
          <w:rFonts w:ascii="Calibri" w:hAnsi="Calibri" w:cs="Calibri"/>
          <w:color w:val="0000FF"/>
          <w:sz w:val="22"/>
          <w:szCs w:val="22"/>
        </w:rPr>
        <w:t xml:space="preserve">etningslinje for protonplanlegging av </w:t>
      </w:r>
      <w:r w:rsidR="002947CC">
        <w:rPr>
          <w:rFonts w:ascii="Calibri" w:hAnsi="Calibri" w:cs="Calibri"/>
          <w:color w:val="0000FF"/>
          <w:sz w:val="22"/>
          <w:szCs w:val="22"/>
        </w:rPr>
        <w:t>ØNH</w:t>
      </w:r>
      <w:r w:rsidRPr="001A3D0A">
        <w:rPr>
          <w:rFonts w:ascii="Calibri" w:hAnsi="Calibri" w:cs="Calibri"/>
          <w:sz w:val="22"/>
          <w:szCs w:val="22"/>
        </w:rPr>
        <w:t>, mens anbefalinger for målvolum i thorax og abdomen/bekken regionen dekkes i dette dokumentet (se tabell 3). Pasientspesifikke hensyn trumfer de generelle anbefalingene. Om det er vanskelig å velge gode feltvinkler bør fysiker involveres. </w:t>
      </w:r>
    </w:p>
    <w:p w:rsidR="002947CC" w14:paraId="1907FF84" w14:textId="6D7D78D0">
      <w:pPr>
        <w:rPr>
          <w:i/>
          <w:iCs/>
          <w:color w:val="1F497D" w:themeColor="text2"/>
          <w:sz w:val="18"/>
          <w:szCs w:val="18"/>
        </w:rPr>
      </w:pPr>
    </w:p>
    <w:p w:rsidR="00EF1D20" w:rsidP="00EF1D20" w14:paraId="090E6968" w14:textId="432A2F97">
      <w:pPr>
        <w:pStyle w:val="Caption"/>
        <w:keepNext/>
      </w:pPr>
      <w:r>
        <w:t xml:space="preserve">Tabell </w:t>
      </w:r>
      <w:r w:rsidR="00EB53AF">
        <w:fldChar w:fldCharType="begin"/>
      </w:r>
      <w:r w:rsidR="00EB53AF">
        <w:instrText xml:space="preserve"> SEQ Tabell \* ARABIC </w:instrText>
      </w:r>
      <w:r w:rsidR="00EB53AF">
        <w:fldChar w:fldCharType="separate"/>
      </w:r>
      <w:r w:rsidR="00EB53AF">
        <w:t>4</w:t>
      </w:r>
      <w:r w:rsidR="00EB53AF">
        <w:rPr>
          <w:noProof/>
        </w:rPr>
        <w:fldChar w:fldCharType="end"/>
      </w:r>
      <w:r>
        <w:t>: Anbefaling for valg av feltvinkler per behandlingsregion.</w:t>
      </w:r>
      <w:bookmarkStart w:id="16" w:name="tempHer"/>
      <w:bookmarkEnd w:id="16"/>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5"/>
        <w:gridCol w:w="943"/>
        <w:gridCol w:w="4749"/>
        <w:gridCol w:w="2378"/>
      </w:tblGrid>
      <w:tr w14:paraId="3CAEC4CA" w14:textId="77777777" w:rsidTr="00542714">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90"/>
        </w:trPr>
        <w:tc>
          <w:tcPr>
            <w:tcW w:w="985" w:type="dxa"/>
            <w:tcBorders>
              <w:top w:val="single" w:sz="6" w:space="0" w:color="4F81BD"/>
              <w:left w:val="single" w:sz="6" w:space="0" w:color="4F81BD"/>
              <w:bottom w:val="single" w:sz="6" w:space="0" w:color="4F81BD"/>
              <w:right w:val="nil"/>
            </w:tcBorders>
            <w:shd w:val="clear" w:color="auto" w:fill="4F81BD"/>
            <w:vAlign w:val="center"/>
            <w:hideMark/>
          </w:tcPr>
          <w:p w:rsidR="001A3D0A" w:rsidRPr="00527FF5" w:rsidP="001A3D0A" w14:paraId="23C03B8C"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Region </w:t>
            </w:r>
          </w:p>
        </w:tc>
        <w:tc>
          <w:tcPr>
            <w:tcW w:w="850" w:type="dxa"/>
            <w:tcBorders>
              <w:top w:val="single" w:sz="6" w:space="0" w:color="4F81BD"/>
              <w:left w:val="nil"/>
              <w:bottom w:val="single" w:sz="6" w:space="0" w:color="4F81BD"/>
              <w:right w:val="nil"/>
            </w:tcBorders>
            <w:shd w:val="clear" w:color="auto" w:fill="4F81BD"/>
            <w:vAlign w:val="center"/>
            <w:hideMark/>
          </w:tcPr>
          <w:p w:rsidR="001A3D0A" w:rsidRPr="00527FF5" w:rsidP="001A3D0A" w14:paraId="20B925A8"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Lokasjon av målvolumet </w:t>
            </w:r>
          </w:p>
        </w:tc>
        <w:tc>
          <w:tcPr>
            <w:tcW w:w="4820" w:type="dxa"/>
            <w:tcBorders>
              <w:top w:val="single" w:sz="6" w:space="0" w:color="4F81BD"/>
              <w:left w:val="nil"/>
              <w:bottom w:val="single" w:sz="6" w:space="0" w:color="4F81BD"/>
              <w:right w:val="nil"/>
            </w:tcBorders>
            <w:shd w:val="clear" w:color="auto" w:fill="4F81BD"/>
            <w:vAlign w:val="center"/>
            <w:hideMark/>
          </w:tcPr>
          <w:p w:rsidR="001A3D0A" w:rsidRPr="00527FF5" w:rsidP="001A3D0A" w14:paraId="79E64F8E"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Feltoppsett </w:t>
            </w:r>
          </w:p>
        </w:tc>
        <w:tc>
          <w:tcPr>
            <w:tcW w:w="2400" w:type="dxa"/>
            <w:tcBorders>
              <w:top w:val="single" w:sz="6" w:space="0" w:color="4F81BD"/>
              <w:left w:val="nil"/>
              <w:bottom w:val="single" w:sz="6" w:space="0" w:color="4F81BD"/>
              <w:right w:val="single" w:sz="6" w:space="0" w:color="4F81BD"/>
            </w:tcBorders>
            <w:shd w:val="clear" w:color="auto" w:fill="4F81BD"/>
            <w:vAlign w:val="center"/>
            <w:hideMark/>
          </w:tcPr>
          <w:p w:rsidR="001A3D0A" w:rsidRPr="00527FF5" w:rsidP="001A3D0A" w14:paraId="1386FD44"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Kommentarer </w:t>
            </w:r>
          </w:p>
        </w:tc>
      </w:tr>
      <w:tr w14:paraId="076C6071" w14:textId="77777777" w:rsidTr="00D27DD8">
        <w:tblPrEx>
          <w:tblW w:w="9055" w:type="dxa"/>
          <w:tblCellMar>
            <w:left w:w="0" w:type="dxa"/>
            <w:right w:w="0" w:type="dxa"/>
          </w:tblCellMar>
          <w:tblLook w:val="04A0"/>
        </w:tblPrEx>
        <w:trPr>
          <w:trHeight w:val="300"/>
        </w:trPr>
        <w:tc>
          <w:tcPr>
            <w:tcW w:w="98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17C03DDF" w14:textId="65ADA998">
            <w:pPr>
              <w:jc w:val="center"/>
              <w:textAlignment w:val="baseline"/>
              <w:rPr>
                <w:rFonts w:ascii="Times New Roman" w:hAnsi="Times New Roman"/>
                <w:b/>
                <w:bCs/>
                <w:sz w:val="18"/>
                <w:szCs w:val="18"/>
              </w:rPr>
            </w:pPr>
            <w:r w:rsidRPr="00527FF5">
              <w:rPr>
                <w:rFonts w:ascii="Calibri" w:hAnsi="Calibri" w:cs="Calibri"/>
                <w:b/>
                <w:bCs/>
                <w:sz w:val="18"/>
                <w:szCs w:val="18"/>
              </w:rPr>
              <w:t>Intrakranielt</w:t>
            </w:r>
          </w:p>
        </w:tc>
        <w:tc>
          <w:tcPr>
            <w:tcW w:w="8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4512483D" w14:textId="3B7125FD">
            <w:pPr>
              <w:jc w:val="center"/>
              <w:textAlignment w:val="baseline"/>
              <w:rPr>
                <w:rFonts w:ascii="Times New Roman" w:hAnsi="Times New Roman"/>
                <w:sz w:val="18"/>
                <w:szCs w:val="18"/>
              </w:rPr>
            </w:pPr>
            <w:r w:rsidRPr="00527FF5">
              <w:rPr>
                <w:rFonts w:ascii="Calibri" w:hAnsi="Calibri" w:cs="Calibri"/>
                <w:sz w:val="18"/>
                <w:szCs w:val="18"/>
              </w:rPr>
              <w:t>-</w:t>
            </w:r>
          </w:p>
        </w:tc>
        <w:tc>
          <w:tcPr>
            <w:tcW w:w="482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96A16C9" w14:textId="77777777">
            <w:pPr>
              <w:textAlignment w:val="baseline"/>
              <w:rPr>
                <w:rFonts w:ascii="Times New Roman" w:hAnsi="Times New Roman"/>
                <w:sz w:val="18"/>
                <w:szCs w:val="18"/>
              </w:rPr>
            </w:pPr>
            <w:r w:rsidRPr="00527FF5">
              <w:rPr>
                <w:rFonts w:ascii="Calibri" w:hAnsi="Calibri" w:cs="Calibri"/>
                <w:sz w:val="18"/>
                <w:szCs w:val="18"/>
              </w:rPr>
              <w:t>Se [</w:t>
            </w:r>
            <w:r w:rsidRPr="00527FF5">
              <w:rPr>
                <w:rFonts w:ascii="Calibri" w:hAnsi="Calibri" w:cs="Calibri"/>
                <w:color w:val="0000FF"/>
                <w:sz w:val="18"/>
                <w:szCs w:val="18"/>
              </w:rPr>
              <w:t>REF! &lt;Retningslinje for protonplanlegging av tumor cerebri&gt;] </w:t>
            </w:r>
          </w:p>
          <w:p w:rsidR="001A3D0A" w:rsidRPr="00527FF5" w:rsidP="001A3D0A" w14:paraId="25F919ED" w14:textId="77777777">
            <w:pPr>
              <w:textAlignment w:val="baseline"/>
              <w:rPr>
                <w:rFonts w:ascii="Times New Roman" w:hAnsi="Times New Roman"/>
                <w:sz w:val="18"/>
                <w:szCs w:val="18"/>
              </w:rPr>
            </w:pPr>
            <w:r w:rsidRPr="00527FF5">
              <w:rPr>
                <w:rFonts w:ascii="Calibri" w:hAnsi="Calibri" w:cs="Calibri"/>
                <w:color w:val="000000"/>
                <w:sz w:val="18"/>
                <w:szCs w:val="18"/>
              </w:rPr>
              <w:t> </w:t>
            </w:r>
          </w:p>
        </w:tc>
        <w:tc>
          <w:tcPr>
            <w:tcW w:w="240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0646B11" w14:textId="77777777">
            <w:pPr>
              <w:textAlignment w:val="baseline"/>
              <w:rPr>
                <w:rFonts w:ascii="Times New Roman" w:hAnsi="Times New Roman"/>
                <w:sz w:val="18"/>
                <w:szCs w:val="18"/>
              </w:rPr>
            </w:pPr>
            <w:r w:rsidRPr="00527FF5">
              <w:rPr>
                <w:rFonts w:ascii="Calibri" w:hAnsi="Calibri" w:cs="Calibri"/>
                <w:sz w:val="18"/>
                <w:szCs w:val="18"/>
              </w:rPr>
              <w:t> </w:t>
            </w:r>
          </w:p>
        </w:tc>
      </w:tr>
      <w:tr w14:paraId="0F57A5BA" w14:textId="77777777" w:rsidTr="00D27DD8">
        <w:tblPrEx>
          <w:tblW w:w="9055" w:type="dxa"/>
          <w:tblCellMar>
            <w:left w:w="0" w:type="dxa"/>
            <w:right w:w="0" w:type="dxa"/>
          </w:tblCellMar>
          <w:tblLook w:val="04A0"/>
        </w:tblPrEx>
        <w:trPr>
          <w:trHeight w:val="1575"/>
        </w:trPr>
        <w:tc>
          <w:tcPr>
            <w:tcW w:w="985" w:type="dxa"/>
            <w:vMerge w:val="restart"/>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D27DD8" w14:paraId="63BC8CCA" w14:textId="52501305">
            <w:pPr>
              <w:jc w:val="center"/>
              <w:textAlignment w:val="baseline"/>
              <w:rPr>
                <w:rFonts w:ascii="Times New Roman" w:hAnsi="Times New Roman"/>
                <w:b/>
                <w:bCs/>
                <w:sz w:val="18"/>
                <w:szCs w:val="18"/>
              </w:rPr>
            </w:pPr>
            <w:r w:rsidRPr="00527FF5">
              <w:rPr>
                <w:rFonts w:ascii="Calibri" w:hAnsi="Calibri" w:cs="Calibri"/>
                <w:b/>
                <w:bCs/>
                <w:sz w:val="18"/>
                <w:szCs w:val="18"/>
              </w:rPr>
              <w:t>Hode-hals</w:t>
            </w:r>
          </w:p>
        </w:tc>
        <w:tc>
          <w:tcPr>
            <w:tcW w:w="85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D27DD8" w:rsidP="00D27DD8" w14:paraId="537214FF" w14:textId="7ECB3A11">
            <w:pPr>
              <w:jc w:val="center"/>
              <w:textAlignment w:val="baseline"/>
              <w:rPr>
                <w:rFonts w:ascii="Times New Roman" w:hAnsi="Times New Roman"/>
                <w:b/>
                <w:bCs/>
                <w:sz w:val="18"/>
                <w:szCs w:val="18"/>
              </w:rPr>
            </w:pPr>
            <w:r w:rsidRPr="00D27DD8">
              <w:rPr>
                <w:rFonts w:ascii="Calibri" w:hAnsi="Calibri" w:cs="Calibri"/>
                <w:b/>
                <w:bCs/>
                <w:sz w:val="18"/>
                <w:szCs w:val="18"/>
              </w:rPr>
              <w:t>Kaudalt</w:t>
            </w:r>
          </w:p>
        </w:tc>
        <w:tc>
          <w:tcPr>
            <w:tcW w:w="4820"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5A9C5EE4" w14:textId="65AD15D7">
            <w:pPr>
              <w:textAlignment w:val="baseline"/>
              <w:rPr>
                <w:rFonts w:ascii="Times New Roman" w:hAnsi="Times New Roman"/>
                <w:sz w:val="18"/>
                <w:szCs w:val="18"/>
              </w:rPr>
            </w:pPr>
            <w:r w:rsidRPr="00527FF5">
              <w:rPr>
                <w:rFonts w:ascii="Calibri" w:hAnsi="Calibri" w:cs="Calibri"/>
                <w:sz w:val="18"/>
                <w:szCs w:val="18"/>
              </w:rPr>
              <w:t xml:space="preserve">Ta utgangspunkt i </w:t>
            </w:r>
            <w:r w:rsidR="00D27DD8">
              <w:rPr>
                <w:rFonts w:ascii="Calibri" w:hAnsi="Calibri" w:cs="Calibri"/>
                <w:color w:val="0000FF"/>
                <w:sz w:val="18"/>
                <w:szCs w:val="18"/>
              </w:rPr>
              <w:t>Nasjonal r</w:t>
            </w:r>
            <w:r w:rsidRPr="00527FF5">
              <w:rPr>
                <w:rFonts w:ascii="Calibri" w:hAnsi="Calibri" w:cs="Calibri"/>
                <w:color w:val="0000FF"/>
                <w:sz w:val="18"/>
                <w:szCs w:val="18"/>
              </w:rPr>
              <w:t xml:space="preserve">etningslinje for protonplanlegging av </w:t>
            </w:r>
            <w:r w:rsidR="00D27DD8">
              <w:rPr>
                <w:rFonts w:ascii="Calibri" w:hAnsi="Calibri" w:cs="Calibri"/>
                <w:color w:val="0000FF"/>
                <w:sz w:val="18"/>
                <w:szCs w:val="18"/>
              </w:rPr>
              <w:t>ØNH</w:t>
            </w:r>
            <w:r w:rsidRPr="00527FF5">
              <w:rPr>
                <w:rFonts w:ascii="Calibri" w:hAnsi="Calibri" w:cs="Calibri"/>
                <w:color w:val="0000FF"/>
                <w:sz w:val="18"/>
                <w:szCs w:val="18"/>
              </w:rPr>
              <w:t xml:space="preserve">. </w:t>
            </w:r>
            <w:r w:rsidRPr="00D27DD8">
              <w:rPr>
                <w:rFonts w:ascii="Calibri" w:hAnsi="Calibri" w:cs="Calibri"/>
                <w:sz w:val="18"/>
                <w:szCs w:val="18"/>
              </w:rPr>
              <w:t>A</w:t>
            </w:r>
            <w:r w:rsidRPr="00527FF5">
              <w:rPr>
                <w:rFonts w:ascii="Calibri" w:hAnsi="Calibri" w:cs="Calibri"/>
                <w:sz w:val="18"/>
                <w:szCs w:val="18"/>
              </w:rPr>
              <w:t>vhengig av lokasjon vil det som oftest være nødvendig med 2-5 felt, slett de som er unødvendige. Juster for individuelle variasjoner hvor det kan være lurt å: </w:t>
            </w:r>
          </w:p>
          <w:p w:rsidR="001A3D0A" w:rsidRPr="00527FF5" w:rsidP="00542714" w14:paraId="3BF12C04" w14:textId="77777777">
            <w:pPr>
              <w:numPr>
                <w:ilvl w:val="0"/>
                <w:numId w:val="26"/>
              </w:numPr>
              <w:tabs>
                <w:tab w:val="clear" w:pos="720"/>
              </w:tabs>
              <w:ind w:left="708" w:hanging="284"/>
              <w:textAlignment w:val="baseline"/>
              <w:rPr>
                <w:rFonts w:ascii="Calibri" w:hAnsi="Calibri" w:cs="Calibri"/>
                <w:sz w:val="18"/>
                <w:szCs w:val="18"/>
              </w:rPr>
            </w:pPr>
            <w:r w:rsidRPr="00527FF5">
              <w:rPr>
                <w:rFonts w:ascii="Calibri" w:hAnsi="Calibri" w:cs="Calibri"/>
                <w:sz w:val="18"/>
                <w:szCs w:val="18"/>
              </w:rPr>
              <w:t>Unngå å stråle fra kontralateral side ved en lateral lokasjon av målvolumet.  </w:t>
            </w:r>
          </w:p>
          <w:p w:rsidR="001A3D0A" w:rsidRPr="00527FF5" w:rsidP="00542714" w14:paraId="2E327177" w14:textId="77777777">
            <w:pPr>
              <w:numPr>
                <w:ilvl w:val="0"/>
                <w:numId w:val="26"/>
              </w:numPr>
              <w:ind w:left="1080" w:hanging="656"/>
              <w:textAlignment w:val="baseline"/>
              <w:rPr>
                <w:rFonts w:ascii="Calibri" w:hAnsi="Calibri" w:cs="Calibri"/>
                <w:sz w:val="18"/>
                <w:szCs w:val="18"/>
              </w:rPr>
            </w:pPr>
            <w:r w:rsidRPr="00527FF5">
              <w:rPr>
                <w:rFonts w:ascii="Calibri" w:hAnsi="Calibri" w:cs="Calibri"/>
                <w:sz w:val="18"/>
                <w:szCs w:val="18"/>
              </w:rPr>
              <w:t>Velg feltvinkler med kort veilengde til målvolumet </w:t>
            </w:r>
          </w:p>
          <w:p w:rsidR="001A3D0A" w:rsidRPr="00527FF5" w:rsidP="001A3D0A" w14:paraId="55874C97" w14:textId="672234AF">
            <w:pPr>
              <w:numPr>
                <w:ilvl w:val="0"/>
                <w:numId w:val="26"/>
              </w:numPr>
              <w:tabs>
                <w:tab w:val="clear" w:pos="720"/>
              </w:tabs>
              <w:ind w:left="708" w:hanging="284"/>
              <w:textAlignment w:val="baseline"/>
              <w:rPr>
                <w:rFonts w:ascii="Calibri" w:hAnsi="Calibri" w:cs="Calibri"/>
                <w:sz w:val="18"/>
                <w:szCs w:val="18"/>
              </w:rPr>
            </w:pPr>
            <w:r w:rsidRPr="00527FF5">
              <w:rPr>
                <w:rFonts w:ascii="Calibri" w:hAnsi="Calibri" w:cs="Calibri"/>
                <w:sz w:val="18"/>
                <w:szCs w:val="18"/>
              </w:rPr>
              <w:t>Unngå å stråle gjennom luftkaviteter, tenner, skuldre og hake om mulig </w:t>
            </w:r>
          </w:p>
          <w:p w:rsidR="001A3D0A" w:rsidRPr="00527FF5" w:rsidP="001A3D0A" w14:paraId="429215F2" w14:textId="77777777">
            <w:pPr>
              <w:textAlignment w:val="baseline"/>
              <w:rPr>
                <w:rFonts w:ascii="Times New Roman" w:hAnsi="Times New Roman"/>
                <w:sz w:val="18"/>
                <w:szCs w:val="18"/>
              </w:rPr>
            </w:pPr>
            <w:r w:rsidRPr="00527FF5">
              <w:rPr>
                <w:rFonts w:ascii="Calibri" w:hAnsi="Calibri" w:cs="Calibri"/>
                <w:sz w:val="18"/>
                <w:szCs w:val="18"/>
              </w:rPr>
              <w:t> </w:t>
            </w:r>
          </w:p>
        </w:tc>
        <w:tc>
          <w:tcPr>
            <w:tcW w:w="2400"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7960BDA0" w14:textId="77777777">
            <w:pPr>
              <w:textAlignment w:val="baseline"/>
              <w:rPr>
                <w:rFonts w:ascii="Times New Roman" w:hAnsi="Times New Roman"/>
                <w:sz w:val="18"/>
                <w:szCs w:val="18"/>
              </w:rPr>
            </w:pPr>
            <w:r w:rsidRPr="00527FF5">
              <w:rPr>
                <w:rFonts w:ascii="Calibri" w:hAnsi="Calibri" w:cs="Calibri"/>
                <w:sz w:val="18"/>
                <w:szCs w:val="18"/>
              </w:rPr>
              <w:t>Hvis det forventes anatomiske forandringer i behandlingsforløpet, bør alle deler av målvolumet dekkes av minimum to felt.   </w:t>
            </w:r>
          </w:p>
        </w:tc>
      </w:tr>
      <w:tr w14:paraId="57F10E25" w14:textId="77777777" w:rsidTr="00D27DD8">
        <w:tblPrEx>
          <w:tblW w:w="9055" w:type="dxa"/>
          <w:tblCellMar>
            <w:left w:w="0" w:type="dxa"/>
            <w:right w:w="0" w:type="dxa"/>
          </w:tblCellMar>
          <w:tblLook w:val="04A0"/>
        </w:tblPrEx>
        <w:trPr>
          <w:trHeight w:val="555"/>
        </w:trPr>
        <w:tc>
          <w:tcPr>
            <w:tcW w:w="985"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D27DD8" w14:paraId="307D9B20" w14:textId="77777777">
            <w:pPr>
              <w:jc w:val="center"/>
              <w:rPr>
                <w:rFonts w:ascii="Times New Roman" w:hAnsi="Times New Roman"/>
                <w:b/>
                <w:bCs/>
                <w:sz w:val="18"/>
                <w:szCs w:val="18"/>
              </w:rPr>
            </w:pPr>
          </w:p>
        </w:tc>
        <w:tc>
          <w:tcPr>
            <w:tcW w:w="850" w:type="dxa"/>
            <w:tcBorders>
              <w:top w:val="single" w:sz="6" w:space="0" w:color="95B3D7"/>
              <w:left w:val="single" w:sz="6" w:space="0" w:color="95B3D7"/>
              <w:bottom w:val="single" w:sz="6" w:space="0" w:color="95B3D7"/>
              <w:right w:val="single" w:sz="6" w:space="0" w:color="95B3D7"/>
            </w:tcBorders>
            <w:shd w:val="clear" w:color="auto" w:fill="FFFFFF" w:themeFill="background1"/>
            <w:vAlign w:val="center"/>
            <w:hideMark/>
          </w:tcPr>
          <w:p w:rsidR="001A3D0A" w:rsidRPr="00D27DD8" w:rsidP="00D27DD8" w14:paraId="5DB4EA33" w14:textId="557F923D">
            <w:pPr>
              <w:jc w:val="center"/>
              <w:textAlignment w:val="baseline"/>
              <w:rPr>
                <w:rFonts w:ascii="Times New Roman" w:hAnsi="Times New Roman"/>
                <w:b/>
                <w:bCs/>
                <w:sz w:val="18"/>
                <w:szCs w:val="18"/>
              </w:rPr>
            </w:pPr>
            <w:r w:rsidRPr="00D27DD8">
              <w:rPr>
                <w:rFonts w:ascii="Calibri" w:hAnsi="Calibri" w:cs="Calibri"/>
                <w:b/>
                <w:bCs/>
                <w:sz w:val="18"/>
                <w:szCs w:val="18"/>
                <w:u w:val="single"/>
              </w:rPr>
              <w:t>Kranielt</w:t>
            </w:r>
          </w:p>
        </w:tc>
        <w:tc>
          <w:tcPr>
            <w:tcW w:w="482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1A3D0A" w:rsidRPr="00527FF5" w:rsidP="001A3D0A" w14:paraId="00897CA0" w14:textId="77777777">
            <w:pPr>
              <w:textAlignment w:val="baseline"/>
              <w:rPr>
                <w:rFonts w:ascii="Times New Roman" w:hAnsi="Times New Roman"/>
                <w:sz w:val="18"/>
                <w:szCs w:val="18"/>
              </w:rPr>
            </w:pPr>
            <w:r w:rsidRPr="00527FF5">
              <w:rPr>
                <w:rFonts w:ascii="Calibri" w:hAnsi="Calibri" w:cs="Calibri"/>
                <w:sz w:val="18"/>
                <w:szCs w:val="18"/>
              </w:rPr>
              <w:t>Ta utgangspunkt i [</w:t>
            </w:r>
            <w:r w:rsidRPr="00527FF5">
              <w:rPr>
                <w:rFonts w:ascii="Calibri" w:hAnsi="Calibri" w:cs="Calibri"/>
                <w:color w:val="0000FF"/>
                <w:sz w:val="18"/>
                <w:szCs w:val="18"/>
              </w:rPr>
              <w:t>REF! &lt; Retningslinje for protonplanlegging av Hode-hals &gt;]</w:t>
            </w:r>
            <w:r w:rsidRPr="00527FF5">
              <w:rPr>
                <w:rFonts w:ascii="Calibri" w:hAnsi="Calibri" w:cs="Calibri"/>
                <w:sz w:val="18"/>
                <w:szCs w:val="18"/>
              </w:rPr>
              <w:t>. Er målvolumet i nærhet til en luftkavitet se spesielt på anbefalingene for sinonasal cancer i dokumentet.  </w:t>
            </w:r>
          </w:p>
        </w:tc>
        <w:tc>
          <w:tcPr>
            <w:tcW w:w="240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1A3D0A" w:rsidRPr="00527FF5" w:rsidP="001A3D0A" w14:paraId="357EAE4A" w14:textId="77777777">
            <w:pPr>
              <w:textAlignment w:val="baseline"/>
              <w:rPr>
                <w:rFonts w:ascii="Times New Roman" w:hAnsi="Times New Roman"/>
                <w:sz w:val="18"/>
                <w:szCs w:val="18"/>
              </w:rPr>
            </w:pPr>
            <w:r w:rsidRPr="00527FF5">
              <w:rPr>
                <w:rFonts w:ascii="Calibri" w:hAnsi="Calibri" w:cs="Calibri"/>
                <w:sz w:val="18"/>
                <w:szCs w:val="18"/>
              </w:rPr>
              <w:t> </w:t>
            </w:r>
          </w:p>
        </w:tc>
      </w:tr>
      <w:tr w14:paraId="4E7AEA69" w14:textId="77777777" w:rsidTr="00D27DD8">
        <w:tblPrEx>
          <w:tblW w:w="9055" w:type="dxa"/>
          <w:tblCellMar>
            <w:left w:w="0" w:type="dxa"/>
            <w:right w:w="0" w:type="dxa"/>
          </w:tblCellMar>
          <w:tblLook w:val="04A0"/>
        </w:tblPrEx>
        <w:trPr>
          <w:trHeight w:val="285"/>
        </w:trPr>
        <w:tc>
          <w:tcPr>
            <w:tcW w:w="98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55B88EC3" w14:textId="64F688BF">
            <w:pPr>
              <w:jc w:val="center"/>
              <w:textAlignment w:val="baseline"/>
              <w:rPr>
                <w:rFonts w:ascii="Times New Roman" w:hAnsi="Times New Roman"/>
                <w:b/>
                <w:bCs/>
                <w:sz w:val="18"/>
                <w:szCs w:val="18"/>
              </w:rPr>
            </w:pPr>
            <w:r w:rsidRPr="00527FF5">
              <w:rPr>
                <w:rFonts w:ascii="Calibri" w:hAnsi="Calibri" w:cs="Calibri"/>
                <w:b/>
                <w:bCs/>
                <w:sz w:val="18"/>
                <w:szCs w:val="18"/>
              </w:rPr>
              <w:t>Columna</w:t>
            </w:r>
          </w:p>
        </w:tc>
        <w:tc>
          <w:tcPr>
            <w:tcW w:w="8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2449A935" w14:textId="1A1A15F0">
            <w:pPr>
              <w:jc w:val="center"/>
              <w:textAlignment w:val="baseline"/>
              <w:rPr>
                <w:rFonts w:ascii="Times New Roman" w:hAnsi="Times New Roman"/>
                <w:sz w:val="18"/>
                <w:szCs w:val="18"/>
              </w:rPr>
            </w:pPr>
            <w:r>
              <w:rPr>
                <w:rFonts w:ascii="Calibri" w:hAnsi="Calibri" w:cs="Calibri"/>
                <w:sz w:val="18"/>
                <w:szCs w:val="18"/>
              </w:rPr>
              <w:t>-</w:t>
            </w:r>
          </w:p>
        </w:tc>
        <w:tc>
          <w:tcPr>
            <w:tcW w:w="482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38ED0BFA" w14:textId="77777777">
            <w:pPr>
              <w:textAlignment w:val="baseline"/>
              <w:rPr>
                <w:rFonts w:ascii="Times New Roman" w:hAnsi="Times New Roman"/>
                <w:sz w:val="18"/>
                <w:szCs w:val="18"/>
              </w:rPr>
            </w:pPr>
            <w:r w:rsidRPr="00527FF5">
              <w:rPr>
                <w:rFonts w:ascii="Calibri" w:hAnsi="Calibri" w:cs="Calibri"/>
                <w:sz w:val="18"/>
                <w:szCs w:val="18"/>
              </w:rPr>
              <w:t>Ta utgangspunkt i 2 skråfelt bakfra med minimum 30° vinkel, eventuelt legg til et tredje felt i 180°. Tilpass vinkel etter målvolum og OAR.  </w:t>
            </w:r>
          </w:p>
          <w:p w:rsidR="001A3D0A" w:rsidRPr="00527FF5" w:rsidP="001A3D0A" w14:paraId="78F158B9" w14:textId="77777777">
            <w:pPr>
              <w:ind w:left="720"/>
              <w:textAlignment w:val="baseline"/>
              <w:rPr>
                <w:rFonts w:ascii="Times New Roman" w:hAnsi="Times New Roman"/>
                <w:sz w:val="18"/>
                <w:szCs w:val="18"/>
              </w:rPr>
            </w:pPr>
            <w:r w:rsidRPr="00527FF5">
              <w:rPr>
                <w:rFonts w:ascii="Calibri" w:hAnsi="Calibri" w:cs="Calibri"/>
                <w:sz w:val="18"/>
                <w:szCs w:val="18"/>
              </w:rPr>
              <w:t> </w:t>
            </w:r>
          </w:p>
        </w:tc>
        <w:tc>
          <w:tcPr>
            <w:tcW w:w="240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5DE5A86B" w14:textId="77777777">
            <w:pPr>
              <w:textAlignment w:val="baseline"/>
              <w:rPr>
                <w:rFonts w:ascii="Times New Roman" w:hAnsi="Times New Roman"/>
                <w:sz w:val="18"/>
                <w:szCs w:val="18"/>
              </w:rPr>
            </w:pPr>
            <w:r w:rsidRPr="00527FF5">
              <w:rPr>
                <w:rFonts w:ascii="Calibri" w:hAnsi="Calibri" w:cs="Calibri"/>
                <w:sz w:val="18"/>
                <w:szCs w:val="18"/>
              </w:rPr>
              <w:t> </w:t>
            </w:r>
          </w:p>
        </w:tc>
      </w:tr>
      <w:tr w14:paraId="26AF56B7" w14:textId="77777777" w:rsidTr="00D27DD8">
        <w:tblPrEx>
          <w:tblW w:w="9055" w:type="dxa"/>
          <w:tblCellMar>
            <w:left w:w="0" w:type="dxa"/>
            <w:right w:w="0" w:type="dxa"/>
          </w:tblCellMar>
          <w:tblLook w:val="04A0"/>
        </w:tblPrEx>
        <w:trPr>
          <w:trHeight w:val="300"/>
        </w:trPr>
        <w:tc>
          <w:tcPr>
            <w:tcW w:w="985" w:type="dxa"/>
            <w:vMerge w:val="restart"/>
            <w:tcBorders>
              <w:top w:val="single" w:sz="6" w:space="0" w:color="95B3D7"/>
              <w:left w:val="single" w:sz="6" w:space="0" w:color="95B3D7"/>
              <w:right w:val="single" w:sz="6" w:space="0" w:color="95B3D7"/>
            </w:tcBorders>
            <w:shd w:val="clear" w:color="auto" w:fill="FFFFFF" w:themeFill="background1"/>
            <w:vAlign w:val="center"/>
            <w:hideMark/>
          </w:tcPr>
          <w:p w:rsidR="002947CC" w:rsidRPr="00527FF5" w:rsidP="00D27DD8" w14:paraId="5C7F9A4E" w14:textId="60E8F0BC">
            <w:pPr>
              <w:jc w:val="center"/>
              <w:textAlignment w:val="baseline"/>
              <w:rPr>
                <w:rFonts w:ascii="Times New Roman" w:hAnsi="Times New Roman"/>
                <w:b/>
                <w:bCs/>
                <w:sz w:val="18"/>
                <w:szCs w:val="18"/>
              </w:rPr>
            </w:pPr>
            <w:r w:rsidRPr="00527FF5">
              <w:rPr>
                <w:rFonts w:ascii="Calibri" w:hAnsi="Calibri" w:cs="Calibri"/>
                <w:b/>
                <w:bCs/>
                <w:sz w:val="18"/>
                <w:szCs w:val="18"/>
              </w:rPr>
              <w:t>Thorax</w:t>
            </w:r>
          </w:p>
        </w:tc>
        <w:tc>
          <w:tcPr>
            <w:tcW w:w="850" w:type="dxa"/>
            <w:tcBorders>
              <w:top w:val="single" w:sz="6" w:space="0" w:color="95B3D7"/>
              <w:left w:val="single" w:sz="6" w:space="0" w:color="95B3D7"/>
              <w:bottom w:val="single" w:sz="6" w:space="0" w:color="95B3D7"/>
              <w:right w:val="single" w:sz="6" w:space="0" w:color="95B3D7"/>
            </w:tcBorders>
            <w:shd w:val="clear" w:color="auto" w:fill="FFFFFF" w:themeFill="background1"/>
            <w:vAlign w:val="center"/>
            <w:hideMark/>
          </w:tcPr>
          <w:p w:rsidR="002947CC" w:rsidRPr="00527FF5" w:rsidP="00D27DD8" w14:paraId="264F8C36" w14:textId="75C8619D">
            <w:pPr>
              <w:jc w:val="center"/>
              <w:textAlignment w:val="baseline"/>
              <w:rPr>
                <w:rFonts w:ascii="Times New Roman" w:hAnsi="Times New Roman"/>
                <w:b/>
                <w:bCs/>
                <w:sz w:val="18"/>
                <w:szCs w:val="18"/>
              </w:rPr>
            </w:pPr>
            <w:r w:rsidRPr="00527FF5">
              <w:rPr>
                <w:rFonts w:ascii="Calibri" w:hAnsi="Calibri" w:cs="Calibri"/>
                <w:b/>
                <w:bCs/>
                <w:sz w:val="18"/>
                <w:szCs w:val="18"/>
              </w:rPr>
              <w:t>Utenfor lunge</w:t>
            </w:r>
          </w:p>
        </w:tc>
        <w:tc>
          <w:tcPr>
            <w:tcW w:w="482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2947CC" w:rsidRPr="00527FF5" w:rsidP="001A3D0A" w14:paraId="4E59C9CF" w14:textId="73F2FDC9">
            <w:pPr>
              <w:textAlignment w:val="baseline"/>
              <w:rPr>
                <w:rFonts w:ascii="Times New Roman" w:hAnsi="Times New Roman"/>
                <w:sz w:val="18"/>
                <w:szCs w:val="18"/>
              </w:rPr>
            </w:pPr>
            <w:r w:rsidRPr="00527FF5">
              <w:rPr>
                <w:rFonts w:ascii="Calibri" w:hAnsi="Calibri" w:cs="Calibri"/>
                <w:sz w:val="18"/>
                <w:szCs w:val="18"/>
              </w:rPr>
              <w:t>Feltene bør tilpasses etter målvolumets beliggenhet.</w:t>
            </w:r>
          </w:p>
          <w:p w:rsidR="002947CC" w:rsidRPr="00527FF5" w:rsidP="001A3D0A" w14:paraId="659FDBDE" w14:textId="77777777">
            <w:pPr>
              <w:textAlignment w:val="baseline"/>
              <w:rPr>
                <w:rFonts w:ascii="Times New Roman" w:hAnsi="Times New Roman"/>
                <w:sz w:val="18"/>
                <w:szCs w:val="18"/>
              </w:rPr>
            </w:pPr>
            <w:r w:rsidRPr="00527FF5">
              <w:rPr>
                <w:rFonts w:ascii="Calibri" w:hAnsi="Calibri" w:cs="Calibri"/>
                <w:sz w:val="18"/>
                <w:szCs w:val="18"/>
              </w:rPr>
              <w:t> </w:t>
            </w:r>
          </w:p>
          <w:p w:rsidR="002947CC" w:rsidRPr="00527FF5" w:rsidP="001A3D0A" w14:paraId="40C2D367" w14:textId="77777777">
            <w:pPr>
              <w:textAlignment w:val="baseline"/>
              <w:rPr>
                <w:rFonts w:ascii="Times New Roman" w:hAnsi="Times New Roman"/>
                <w:sz w:val="18"/>
                <w:szCs w:val="18"/>
              </w:rPr>
            </w:pPr>
            <w:r w:rsidRPr="00527FF5">
              <w:rPr>
                <w:rFonts w:ascii="Calibri" w:hAnsi="Calibri" w:cs="Calibri"/>
                <w:i/>
                <w:iCs/>
                <w:sz w:val="18"/>
                <w:szCs w:val="18"/>
              </w:rPr>
              <w:t xml:space="preserve">Lateralt målvolum: </w:t>
            </w:r>
            <w:r w:rsidRPr="00527FF5">
              <w:rPr>
                <w:rFonts w:ascii="Calibri" w:hAnsi="Calibri" w:cs="Calibri"/>
                <w:sz w:val="18"/>
                <w:szCs w:val="18"/>
              </w:rPr>
              <w:t>ipsilaterale feltvinkler, skråfelt og laterale felt. </w:t>
            </w:r>
          </w:p>
          <w:p w:rsidR="002947CC" w:rsidRPr="00527FF5" w:rsidP="001A3D0A" w14:paraId="0D34E4A6" w14:textId="77777777">
            <w:pPr>
              <w:textAlignment w:val="baseline"/>
              <w:rPr>
                <w:rFonts w:ascii="Times New Roman" w:hAnsi="Times New Roman"/>
                <w:sz w:val="18"/>
                <w:szCs w:val="18"/>
              </w:rPr>
            </w:pPr>
            <w:r w:rsidRPr="00527FF5">
              <w:rPr>
                <w:rFonts w:ascii="Calibri" w:hAnsi="Calibri" w:cs="Calibri"/>
                <w:sz w:val="18"/>
                <w:szCs w:val="18"/>
              </w:rPr>
              <w:t> </w:t>
            </w:r>
          </w:p>
          <w:p w:rsidR="002947CC" w:rsidRPr="00527FF5" w:rsidP="001A3D0A" w14:paraId="413459B2" w14:textId="2711EA5D">
            <w:pPr>
              <w:textAlignment w:val="baseline"/>
              <w:rPr>
                <w:rFonts w:ascii="Times New Roman" w:hAnsi="Times New Roman"/>
                <w:sz w:val="18"/>
                <w:szCs w:val="18"/>
              </w:rPr>
            </w:pPr>
            <w:r w:rsidRPr="00527FF5">
              <w:rPr>
                <w:rFonts w:ascii="Calibri" w:hAnsi="Calibri" w:cs="Calibri"/>
                <w:i/>
                <w:iCs/>
                <w:sz w:val="18"/>
                <w:szCs w:val="18"/>
              </w:rPr>
              <w:t xml:space="preserve">Posteriort målvolum: </w:t>
            </w:r>
            <w:r w:rsidRPr="00527FF5">
              <w:rPr>
                <w:rFonts w:ascii="Calibri" w:hAnsi="Calibri" w:cs="Calibri"/>
                <w:sz w:val="18"/>
                <w:szCs w:val="18"/>
              </w:rPr>
              <w:t>ta utgangspunkt i 2 skråfelt bakfra og eventuelt et tredje felt i 180 grader. </w:t>
            </w:r>
          </w:p>
          <w:p w:rsidR="002947CC" w:rsidRPr="00527FF5" w:rsidP="001A3D0A" w14:paraId="1061CDA5" w14:textId="77777777">
            <w:pPr>
              <w:textAlignment w:val="baseline"/>
              <w:rPr>
                <w:rFonts w:ascii="Times New Roman" w:hAnsi="Times New Roman"/>
                <w:sz w:val="18"/>
                <w:szCs w:val="18"/>
              </w:rPr>
            </w:pPr>
            <w:r w:rsidRPr="00527FF5">
              <w:rPr>
                <w:rFonts w:ascii="Calibri" w:hAnsi="Calibri" w:cs="Calibri"/>
                <w:sz w:val="18"/>
                <w:szCs w:val="18"/>
              </w:rPr>
              <w:t> </w:t>
            </w:r>
          </w:p>
          <w:p w:rsidR="002947CC" w:rsidRPr="00527FF5" w:rsidP="001A3D0A" w14:paraId="131AED77" w14:textId="594E3252">
            <w:pPr>
              <w:textAlignment w:val="baseline"/>
              <w:rPr>
                <w:rFonts w:ascii="Times New Roman" w:hAnsi="Times New Roman"/>
                <w:sz w:val="18"/>
                <w:szCs w:val="18"/>
              </w:rPr>
            </w:pPr>
            <w:r w:rsidRPr="00527FF5">
              <w:rPr>
                <w:rFonts w:ascii="Calibri" w:hAnsi="Calibri" w:cs="Calibri"/>
                <w:i/>
                <w:iCs/>
                <w:sz w:val="18"/>
                <w:szCs w:val="18"/>
              </w:rPr>
              <w:t xml:space="preserve">Anteriort målvolum: </w:t>
            </w:r>
            <w:r w:rsidRPr="00527FF5">
              <w:rPr>
                <w:rFonts w:ascii="Calibri" w:hAnsi="Calibri" w:cs="Calibri"/>
                <w:sz w:val="18"/>
                <w:szCs w:val="18"/>
              </w:rPr>
              <w:t>ta utgangspunkt i 2 skråfelt forfra og eventuelt et tredje felt i 0 grader. </w:t>
            </w:r>
          </w:p>
          <w:p w:rsidR="002947CC" w:rsidRPr="00527FF5" w:rsidP="001A3D0A" w14:paraId="0B149C64" w14:textId="77777777">
            <w:pPr>
              <w:textAlignment w:val="baseline"/>
              <w:rPr>
                <w:rFonts w:ascii="Times New Roman" w:hAnsi="Times New Roman"/>
                <w:sz w:val="18"/>
                <w:szCs w:val="18"/>
              </w:rPr>
            </w:pPr>
            <w:r w:rsidRPr="00527FF5">
              <w:rPr>
                <w:rFonts w:ascii="Calibri" w:hAnsi="Calibri" w:cs="Calibri"/>
                <w:sz w:val="18"/>
                <w:szCs w:val="18"/>
              </w:rPr>
              <w:t> </w:t>
            </w:r>
          </w:p>
          <w:p w:rsidR="002947CC" w:rsidRPr="00527FF5" w:rsidP="001A3D0A" w14:paraId="30C0579C" w14:textId="77777777">
            <w:pPr>
              <w:textAlignment w:val="baseline"/>
              <w:rPr>
                <w:rFonts w:ascii="Times New Roman" w:hAnsi="Times New Roman"/>
                <w:sz w:val="18"/>
                <w:szCs w:val="18"/>
              </w:rPr>
            </w:pPr>
            <w:r w:rsidRPr="00527FF5">
              <w:rPr>
                <w:rFonts w:ascii="Calibri" w:hAnsi="Calibri" w:cs="Calibri"/>
                <w:i/>
                <w:iCs/>
                <w:sz w:val="18"/>
                <w:szCs w:val="18"/>
              </w:rPr>
              <w:t>Mediastinum/sentral beliggenhet:</w:t>
            </w:r>
            <w:r w:rsidRPr="00527FF5">
              <w:rPr>
                <w:rFonts w:ascii="Calibri" w:hAnsi="Calibri" w:cs="Calibri"/>
                <w:sz w:val="18"/>
                <w:szCs w:val="18"/>
              </w:rPr>
              <w:t xml:space="preserve"> ta utgangspunkt i AP-PA feltvinkler, eventuelt 2 skråfelt bakfra. Vurder et ekstra felt i 0 grader. Individuelle hensyn må tas basert på tumorplassering </w:t>
            </w:r>
          </w:p>
          <w:p w:rsidR="002947CC" w:rsidRPr="00527FF5" w:rsidP="001A3D0A" w14:paraId="5DEDC6C0" w14:textId="77777777">
            <w:pPr>
              <w:textAlignment w:val="baseline"/>
              <w:rPr>
                <w:rFonts w:ascii="Times New Roman" w:hAnsi="Times New Roman"/>
                <w:sz w:val="18"/>
                <w:szCs w:val="18"/>
              </w:rPr>
            </w:pPr>
            <w:r w:rsidRPr="00527FF5">
              <w:rPr>
                <w:rFonts w:ascii="Calibri" w:hAnsi="Calibri" w:cs="Calibri"/>
                <w:sz w:val="18"/>
                <w:szCs w:val="18"/>
              </w:rPr>
              <w:t> </w:t>
            </w:r>
          </w:p>
          <w:p w:rsidR="002947CC" w:rsidRPr="00527FF5" w:rsidP="001A3D0A" w14:paraId="05EE8DBE" w14:textId="77777777">
            <w:pPr>
              <w:textAlignment w:val="baseline"/>
              <w:rPr>
                <w:rFonts w:ascii="Times New Roman" w:hAnsi="Times New Roman"/>
                <w:sz w:val="18"/>
                <w:szCs w:val="18"/>
              </w:rPr>
            </w:pPr>
            <w:r w:rsidRPr="00527FF5">
              <w:rPr>
                <w:rFonts w:ascii="Calibri" w:hAnsi="Calibri" w:cs="Calibri"/>
                <w:sz w:val="18"/>
                <w:szCs w:val="18"/>
                <w:u w:val="single"/>
              </w:rPr>
              <w:t>Målvolum i lunge</w:t>
            </w:r>
            <w:r w:rsidRPr="00527FF5">
              <w:rPr>
                <w:rFonts w:ascii="Calibri" w:hAnsi="Calibri" w:cs="Calibri"/>
                <w:sz w:val="18"/>
                <w:szCs w:val="18"/>
              </w:rPr>
              <w:t> </w:t>
            </w:r>
          </w:p>
          <w:p w:rsidR="002947CC" w:rsidRPr="00527FF5" w:rsidP="001A3D0A" w14:paraId="2BC06B45" w14:textId="77777777">
            <w:pPr>
              <w:textAlignment w:val="baseline"/>
              <w:rPr>
                <w:rFonts w:ascii="Times New Roman" w:hAnsi="Times New Roman"/>
                <w:sz w:val="18"/>
                <w:szCs w:val="18"/>
              </w:rPr>
            </w:pPr>
            <w:r w:rsidRPr="00527FF5">
              <w:rPr>
                <w:rFonts w:ascii="Calibri" w:hAnsi="Calibri" w:cs="Calibri"/>
                <w:sz w:val="18"/>
                <w:szCs w:val="18"/>
              </w:rPr>
              <w:t xml:space="preserve">Se i </w:t>
            </w:r>
            <w:r w:rsidRPr="00527FF5">
              <w:rPr>
                <w:rFonts w:ascii="Calibri" w:hAnsi="Calibri" w:cs="Calibri"/>
                <w:color w:val="0000FF"/>
                <w:sz w:val="18"/>
                <w:szCs w:val="18"/>
              </w:rPr>
              <w:t>[REF! &lt;Retningslinje for protonplanlegging med interfraksjonell bevegelse&gt;]. </w:t>
            </w:r>
          </w:p>
          <w:p w:rsidR="002947CC" w:rsidRPr="00527FF5" w:rsidP="001A3D0A" w14:paraId="0FE00738" w14:textId="77777777">
            <w:pPr>
              <w:textAlignment w:val="baseline"/>
              <w:rPr>
                <w:rFonts w:ascii="Times New Roman" w:hAnsi="Times New Roman"/>
                <w:sz w:val="18"/>
                <w:szCs w:val="18"/>
              </w:rPr>
            </w:pPr>
            <w:r w:rsidRPr="00527FF5">
              <w:rPr>
                <w:rFonts w:ascii="Calibri" w:hAnsi="Calibri" w:cs="Calibri"/>
                <w:sz w:val="18"/>
                <w:szCs w:val="18"/>
              </w:rPr>
              <w:t> </w:t>
            </w:r>
          </w:p>
        </w:tc>
        <w:tc>
          <w:tcPr>
            <w:tcW w:w="240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2947CC" w:rsidRPr="00527FF5" w:rsidP="001A3D0A" w14:paraId="208197F5" w14:textId="77777777">
            <w:pPr>
              <w:textAlignment w:val="baseline"/>
              <w:rPr>
                <w:rFonts w:ascii="Times New Roman" w:hAnsi="Times New Roman"/>
                <w:sz w:val="18"/>
                <w:szCs w:val="18"/>
              </w:rPr>
            </w:pPr>
            <w:r w:rsidRPr="00527FF5">
              <w:rPr>
                <w:rFonts w:ascii="Calibri" w:hAnsi="Calibri" w:cs="Calibri"/>
                <w:sz w:val="18"/>
                <w:szCs w:val="18"/>
              </w:rPr>
              <w:t> </w:t>
            </w:r>
          </w:p>
        </w:tc>
      </w:tr>
      <w:tr w14:paraId="5A288661" w14:textId="77777777" w:rsidTr="00D27DD8">
        <w:tblPrEx>
          <w:tblW w:w="9055" w:type="dxa"/>
          <w:tblCellMar>
            <w:left w:w="0" w:type="dxa"/>
            <w:right w:w="0" w:type="dxa"/>
          </w:tblCellMar>
          <w:tblLook w:val="04A0"/>
        </w:tblPrEx>
        <w:trPr>
          <w:trHeight w:val="300"/>
        </w:trPr>
        <w:tc>
          <w:tcPr>
            <w:tcW w:w="985" w:type="dxa"/>
            <w:vMerge/>
            <w:tcBorders>
              <w:left w:val="single" w:sz="6" w:space="0" w:color="95B3D7"/>
              <w:bottom w:val="single" w:sz="6" w:space="0" w:color="95B3D7"/>
              <w:right w:val="single" w:sz="6" w:space="0" w:color="95B3D7"/>
            </w:tcBorders>
            <w:shd w:val="clear" w:color="auto" w:fill="FFFFFF" w:themeFill="background1"/>
            <w:vAlign w:val="center"/>
          </w:tcPr>
          <w:p w:rsidR="002947CC" w:rsidRPr="00527FF5" w:rsidP="00D27DD8" w14:paraId="4AB62331" w14:textId="77777777">
            <w:pPr>
              <w:jc w:val="center"/>
              <w:textAlignment w:val="baseline"/>
              <w:rPr>
                <w:rFonts w:ascii="Calibri" w:hAnsi="Calibri" w:cs="Calibri"/>
                <w:b/>
                <w:bCs/>
                <w:sz w:val="18"/>
                <w:szCs w:val="18"/>
              </w:rPr>
            </w:pPr>
          </w:p>
        </w:tc>
        <w:tc>
          <w:tcPr>
            <w:tcW w:w="850" w:type="dxa"/>
            <w:tcBorders>
              <w:top w:val="single" w:sz="6" w:space="0" w:color="95B3D7"/>
              <w:left w:val="single" w:sz="6" w:space="0" w:color="95B3D7"/>
              <w:bottom w:val="single" w:sz="6" w:space="0" w:color="95B3D7"/>
              <w:right w:val="single" w:sz="6" w:space="0" w:color="95B3D7"/>
            </w:tcBorders>
            <w:shd w:val="clear" w:color="auto" w:fill="FFFFFF" w:themeFill="background1"/>
            <w:vAlign w:val="center"/>
          </w:tcPr>
          <w:p w:rsidR="002947CC" w:rsidRPr="00527FF5" w:rsidP="00D27DD8" w14:paraId="4870E292" w14:textId="0DBFCDF9">
            <w:pPr>
              <w:jc w:val="center"/>
              <w:textAlignment w:val="baseline"/>
              <w:rPr>
                <w:rFonts w:ascii="Calibri" w:hAnsi="Calibri" w:cs="Calibri"/>
                <w:b/>
                <w:bCs/>
                <w:sz w:val="18"/>
                <w:szCs w:val="18"/>
              </w:rPr>
            </w:pPr>
            <w:r w:rsidRPr="00527FF5">
              <w:rPr>
                <w:rFonts w:ascii="Calibri" w:hAnsi="Calibri" w:cs="Calibri"/>
                <w:b/>
                <w:bCs/>
                <w:sz w:val="18"/>
                <w:szCs w:val="18"/>
              </w:rPr>
              <w:t>Innenfor lunge</w:t>
            </w:r>
          </w:p>
        </w:tc>
        <w:tc>
          <w:tcPr>
            <w:tcW w:w="4820" w:type="dxa"/>
            <w:tcBorders>
              <w:top w:val="single" w:sz="6" w:space="0" w:color="95B3D7"/>
              <w:left w:val="single" w:sz="6" w:space="0" w:color="95B3D7"/>
              <w:bottom w:val="single" w:sz="6" w:space="0" w:color="95B3D7"/>
              <w:right w:val="single" w:sz="6" w:space="0" w:color="95B3D7"/>
            </w:tcBorders>
            <w:shd w:val="clear" w:color="auto" w:fill="FFFFFF" w:themeFill="background1"/>
          </w:tcPr>
          <w:p w:rsidR="002947CC" w:rsidRPr="00527FF5" w:rsidP="002947CC" w14:paraId="2DB0D7BA" w14:textId="5840ABC9">
            <w:pPr>
              <w:textAlignment w:val="baseline"/>
              <w:rPr>
                <w:rFonts w:ascii="Times New Roman" w:hAnsi="Times New Roman"/>
                <w:sz w:val="18"/>
                <w:szCs w:val="18"/>
              </w:rPr>
            </w:pPr>
            <w:r w:rsidRPr="00527FF5">
              <w:rPr>
                <w:rFonts w:ascii="Calibri" w:hAnsi="Calibri" w:cs="Calibri"/>
                <w:sz w:val="18"/>
                <w:szCs w:val="18"/>
              </w:rPr>
              <w:t xml:space="preserve">Se i </w:t>
            </w:r>
            <w:r w:rsidRPr="00527FF5">
              <w:rPr>
                <w:rFonts w:ascii="Calibri" w:hAnsi="Calibri" w:cs="Calibri"/>
                <w:color w:val="0000FF"/>
                <w:sz w:val="18"/>
                <w:szCs w:val="18"/>
              </w:rPr>
              <w:t>[REF! &lt;Retningslinje for protonplanlegging med interfraksjonell bevegelse&gt;]. </w:t>
            </w:r>
          </w:p>
        </w:tc>
        <w:tc>
          <w:tcPr>
            <w:tcW w:w="2400" w:type="dxa"/>
            <w:tcBorders>
              <w:top w:val="single" w:sz="6" w:space="0" w:color="95B3D7"/>
              <w:left w:val="single" w:sz="6" w:space="0" w:color="95B3D7"/>
              <w:bottom w:val="single" w:sz="6" w:space="0" w:color="95B3D7"/>
              <w:right w:val="single" w:sz="6" w:space="0" w:color="95B3D7"/>
            </w:tcBorders>
            <w:shd w:val="clear" w:color="auto" w:fill="FFFFFF" w:themeFill="background1"/>
          </w:tcPr>
          <w:p w:rsidR="002947CC" w:rsidRPr="00527FF5" w:rsidP="001A3D0A" w14:paraId="7450C87E" w14:textId="77777777">
            <w:pPr>
              <w:textAlignment w:val="baseline"/>
              <w:rPr>
                <w:rFonts w:ascii="Calibri" w:hAnsi="Calibri" w:cs="Calibri"/>
                <w:sz w:val="18"/>
                <w:szCs w:val="18"/>
              </w:rPr>
            </w:pPr>
          </w:p>
        </w:tc>
      </w:tr>
      <w:tr w14:paraId="697D3890" w14:textId="77777777" w:rsidTr="00D27DD8">
        <w:tblPrEx>
          <w:tblW w:w="9055" w:type="dxa"/>
          <w:tblCellMar>
            <w:left w:w="0" w:type="dxa"/>
            <w:right w:w="0" w:type="dxa"/>
          </w:tblCellMar>
          <w:tblLook w:val="04A0"/>
        </w:tblPrEx>
        <w:trPr>
          <w:trHeight w:val="285"/>
        </w:trPr>
        <w:tc>
          <w:tcPr>
            <w:tcW w:w="98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2F9E739D" w14:textId="636844F8">
            <w:pPr>
              <w:jc w:val="center"/>
              <w:textAlignment w:val="baseline"/>
              <w:rPr>
                <w:rFonts w:ascii="Times New Roman" w:hAnsi="Times New Roman"/>
                <w:b/>
                <w:bCs/>
                <w:sz w:val="18"/>
                <w:szCs w:val="18"/>
              </w:rPr>
            </w:pPr>
            <w:r w:rsidRPr="00527FF5">
              <w:rPr>
                <w:rFonts w:ascii="Calibri" w:hAnsi="Calibri" w:cs="Calibri"/>
                <w:b/>
                <w:bCs/>
                <w:sz w:val="18"/>
                <w:szCs w:val="18"/>
              </w:rPr>
              <w:t>Abdomen</w:t>
            </w:r>
          </w:p>
        </w:tc>
        <w:tc>
          <w:tcPr>
            <w:tcW w:w="85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27DD8" w14:paraId="6CC60C4C" w14:textId="2355C48A">
            <w:pPr>
              <w:jc w:val="center"/>
              <w:textAlignment w:val="baseline"/>
              <w:rPr>
                <w:rFonts w:ascii="Times New Roman" w:hAnsi="Times New Roman"/>
                <w:sz w:val="18"/>
                <w:szCs w:val="18"/>
              </w:rPr>
            </w:pPr>
            <w:r>
              <w:rPr>
                <w:rFonts w:ascii="Calibri" w:hAnsi="Calibri" w:cs="Calibri"/>
                <w:sz w:val="18"/>
                <w:szCs w:val="18"/>
              </w:rPr>
              <w:t>-</w:t>
            </w:r>
          </w:p>
        </w:tc>
        <w:tc>
          <w:tcPr>
            <w:tcW w:w="482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23C20423" w14:textId="7A7C4F1F">
            <w:pPr>
              <w:textAlignment w:val="baseline"/>
              <w:rPr>
                <w:rFonts w:ascii="Times New Roman" w:hAnsi="Times New Roman"/>
                <w:sz w:val="18"/>
                <w:szCs w:val="18"/>
              </w:rPr>
            </w:pPr>
            <w:r w:rsidRPr="00527FF5">
              <w:rPr>
                <w:rFonts w:ascii="Calibri" w:hAnsi="Calibri" w:cs="Calibri"/>
                <w:sz w:val="18"/>
                <w:szCs w:val="18"/>
              </w:rPr>
              <w:t xml:space="preserve">Se i </w:t>
            </w:r>
            <w:r w:rsidRPr="00527FF5">
              <w:rPr>
                <w:rFonts w:ascii="Calibri" w:hAnsi="Calibri" w:cs="Calibri"/>
                <w:color w:val="0000FF"/>
                <w:sz w:val="18"/>
                <w:szCs w:val="18"/>
              </w:rPr>
              <w:t>[REF! &lt;Retningslinje for protonplanlegging med interfraksjonell bevegelse&gt;]. </w:t>
            </w:r>
          </w:p>
        </w:tc>
        <w:tc>
          <w:tcPr>
            <w:tcW w:w="2400"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5257819" w14:textId="77777777">
            <w:pPr>
              <w:textAlignment w:val="baseline"/>
              <w:rPr>
                <w:rFonts w:ascii="Times New Roman" w:hAnsi="Times New Roman"/>
                <w:sz w:val="18"/>
                <w:szCs w:val="18"/>
              </w:rPr>
            </w:pPr>
            <w:r w:rsidRPr="00527FF5">
              <w:rPr>
                <w:rFonts w:ascii="Calibri" w:hAnsi="Calibri" w:cs="Calibri"/>
                <w:sz w:val="18"/>
                <w:szCs w:val="18"/>
              </w:rPr>
              <w:t> </w:t>
            </w:r>
          </w:p>
        </w:tc>
      </w:tr>
      <w:tr w14:paraId="596EA5FD" w14:textId="77777777" w:rsidTr="00D27DD8">
        <w:tblPrEx>
          <w:tblW w:w="9055" w:type="dxa"/>
          <w:tblCellMar>
            <w:left w:w="0" w:type="dxa"/>
            <w:right w:w="0" w:type="dxa"/>
          </w:tblCellMar>
          <w:tblLook w:val="04A0"/>
        </w:tblPrEx>
        <w:trPr>
          <w:trHeight w:val="566"/>
        </w:trPr>
        <w:tc>
          <w:tcPr>
            <w:tcW w:w="985" w:type="dxa"/>
            <w:tcBorders>
              <w:top w:val="single" w:sz="6" w:space="0" w:color="95B3D7"/>
              <w:left w:val="single" w:sz="6" w:space="0" w:color="95B3D7"/>
              <w:bottom w:val="single" w:sz="6" w:space="0" w:color="95B3D7"/>
              <w:right w:val="single" w:sz="6" w:space="0" w:color="95B3D7"/>
            </w:tcBorders>
            <w:shd w:val="clear" w:color="auto" w:fill="FFFFFF" w:themeFill="background1"/>
            <w:vAlign w:val="center"/>
            <w:hideMark/>
          </w:tcPr>
          <w:p w:rsidR="001A3D0A" w:rsidRPr="00527FF5" w:rsidP="00D27DD8" w14:paraId="03EFD238" w14:textId="322AD4C8">
            <w:pPr>
              <w:jc w:val="center"/>
              <w:textAlignment w:val="baseline"/>
              <w:rPr>
                <w:rFonts w:ascii="Times New Roman" w:hAnsi="Times New Roman"/>
                <w:b/>
                <w:bCs/>
                <w:sz w:val="18"/>
                <w:szCs w:val="18"/>
              </w:rPr>
            </w:pPr>
            <w:r w:rsidRPr="00527FF5">
              <w:rPr>
                <w:rFonts w:ascii="Calibri" w:hAnsi="Calibri" w:cs="Calibri"/>
                <w:b/>
                <w:bCs/>
                <w:sz w:val="18"/>
                <w:szCs w:val="18"/>
              </w:rPr>
              <w:t>Bekken</w:t>
            </w:r>
          </w:p>
        </w:tc>
        <w:tc>
          <w:tcPr>
            <w:tcW w:w="850" w:type="dxa"/>
            <w:tcBorders>
              <w:top w:val="single" w:sz="6" w:space="0" w:color="95B3D7"/>
              <w:left w:val="single" w:sz="6" w:space="0" w:color="95B3D7"/>
              <w:bottom w:val="single" w:sz="6" w:space="0" w:color="95B3D7"/>
              <w:right w:val="single" w:sz="6" w:space="0" w:color="95B3D7"/>
            </w:tcBorders>
            <w:shd w:val="clear" w:color="auto" w:fill="FFFFFF" w:themeFill="background1"/>
            <w:vAlign w:val="center"/>
            <w:hideMark/>
          </w:tcPr>
          <w:p w:rsidR="001A3D0A" w:rsidRPr="00527FF5" w:rsidP="00D27DD8" w14:paraId="22606305" w14:textId="2C61A964">
            <w:pPr>
              <w:jc w:val="center"/>
              <w:textAlignment w:val="baseline"/>
              <w:rPr>
                <w:rFonts w:ascii="Times New Roman" w:hAnsi="Times New Roman"/>
                <w:sz w:val="18"/>
                <w:szCs w:val="18"/>
              </w:rPr>
            </w:pPr>
            <w:r>
              <w:rPr>
                <w:rFonts w:ascii="Calibri" w:hAnsi="Calibri" w:cs="Calibri"/>
                <w:sz w:val="18"/>
                <w:szCs w:val="18"/>
              </w:rPr>
              <w:t>-</w:t>
            </w:r>
          </w:p>
        </w:tc>
        <w:tc>
          <w:tcPr>
            <w:tcW w:w="482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1A3D0A" w:rsidRPr="00527FF5" w:rsidP="001A3D0A" w14:paraId="66C384E4" w14:textId="77777777">
            <w:pPr>
              <w:textAlignment w:val="baseline"/>
              <w:rPr>
                <w:rFonts w:ascii="Times New Roman" w:hAnsi="Times New Roman"/>
                <w:sz w:val="18"/>
                <w:szCs w:val="18"/>
              </w:rPr>
            </w:pPr>
            <w:r w:rsidRPr="00527FF5">
              <w:rPr>
                <w:rFonts w:ascii="Calibri" w:hAnsi="Calibri" w:cs="Calibri"/>
                <w:sz w:val="18"/>
                <w:szCs w:val="18"/>
              </w:rPr>
              <w:t>Feltene bør tilpasses etter målvolumets beliggenhet. </w:t>
            </w:r>
          </w:p>
          <w:p w:rsidR="001A3D0A" w:rsidRPr="00527FF5" w:rsidP="001A3D0A" w14:paraId="75CE0301"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7B5637F1" w14:textId="77777777">
            <w:pPr>
              <w:textAlignment w:val="baseline"/>
              <w:rPr>
                <w:rFonts w:ascii="Times New Roman" w:hAnsi="Times New Roman"/>
                <w:sz w:val="18"/>
                <w:szCs w:val="18"/>
              </w:rPr>
            </w:pPr>
            <w:r w:rsidRPr="00527FF5">
              <w:rPr>
                <w:rFonts w:ascii="Calibri" w:hAnsi="Calibri" w:cs="Calibri"/>
                <w:i/>
                <w:iCs/>
                <w:sz w:val="18"/>
                <w:szCs w:val="18"/>
              </w:rPr>
              <w:t xml:space="preserve">Lateralt målvolum: </w:t>
            </w:r>
            <w:r w:rsidRPr="00527FF5">
              <w:rPr>
                <w:rFonts w:ascii="Calibri" w:hAnsi="Calibri" w:cs="Calibri"/>
                <w:sz w:val="18"/>
                <w:szCs w:val="18"/>
              </w:rPr>
              <w:t>ta utgangspunkt i</w:t>
            </w:r>
            <w:r w:rsidRPr="00527FF5">
              <w:rPr>
                <w:rFonts w:ascii="Calibri" w:hAnsi="Calibri" w:cs="Calibri"/>
                <w:i/>
                <w:iCs/>
                <w:sz w:val="18"/>
                <w:szCs w:val="18"/>
              </w:rPr>
              <w:t xml:space="preserve"> </w:t>
            </w:r>
            <w:r w:rsidRPr="00527FF5">
              <w:rPr>
                <w:rFonts w:ascii="Calibri" w:hAnsi="Calibri" w:cs="Calibri"/>
                <w:sz w:val="18"/>
                <w:szCs w:val="18"/>
              </w:rPr>
              <w:t>3 felt med</w:t>
            </w:r>
            <w:r w:rsidRPr="00527FF5">
              <w:rPr>
                <w:rFonts w:ascii="Calibri" w:hAnsi="Calibri" w:cs="Calibri"/>
                <w:i/>
                <w:iCs/>
                <w:sz w:val="18"/>
                <w:szCs w:val="18"/>
              </w:rPr>
              <w:t xml:space="preserve"> </w:t>
            </w:r>
            <w:r w:rsidRPr="00527FF5">
              <w:rPr>
                <w:rFonts w:ascii="Calibri" w:hAnsi="Calibri" w:cs="Calibri"/>
                <w:sz w:val="18"/>
                <w:szCs w:val="18"/>
              </w:rPr>
              <w:t>ipsilaterale feltvinkler. Ved gjennomgående målvolum (anterior-posterior) ta utgangspunkt i 2 posterior felt og 1 anterior felt med en liten vinkel. Er målvolumet posisjonert mer anteriror/posterior ta utgangspunkt i 3 felt, to nærmest målvolumet og et lateralt. </w:t>
            </w:r>
          </w:p>
          <w:p w:rsidR="001A3D0A" w:rsidRPr="00527FF5" w:rsidP="001A3D0A" w14:paraId="35AD1F0C"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32201819" w14:textId="0B89209F">
            <w:pPr>
              <w:textAlignment w:val="baseline"/>
              <w:rPr>
                <w:rFonts w:ascii="Times New Roman" w:hAnsi="Times New Roman"/>
                <w:sz w:val="18"/>
                <w:szCs w:val="18"/>
              </w:rPr>
            </w:pPr>
            <w:r w:rsidRPr="00527FF5">
              <w:rPr>
                <w:rFonts w:ascii="Calibri" w:hAnsi="Calibri" w:cs="Calibri"/>
                <w:i/>
                <w:iCs/>
                <w:sz w:val="18"/>
                <w:szCs w:val="18"/>
              </w:rPr>
              <w:t>Sentralt målvolum (langs midtlinjen</w:t>
            </w:r>
            <w:r w:rsidRPr="00527FF5">
              <w:rPr>
                <w:rFonts w:ascii="Calibri" w:hAnsi="Calibri" w:cs="Calibri"/>
                <w:sz w:val="18"/>
                <w:szCs w:val="18"/>
              </w:rPr>
              <w:t xml:space="preserve">): Er beliggenhet av målvolumet </w:t>
            </w:r>
            <w:r w:rsidRPr="00527FF5">
              <w:rPr>
                <w:rFonts w:ascii="Calibri" w:hAnsi="Calibri" w:cs="Calibri"/>
                <w:sz w:val="18"/>
                <w:szCs w:val="18"/>
                <w:u w:val="single"/>
              </w:rPr>
              <w:t>posteriort</w:t>
            </w:r>
            <w:r w:rsidRPr="00527FF5">
              <w:rPr>
                <w:rFonts w:ascii="Calibri" w:hAnsi="Calibri" w:cs="Calibri"/>
                <w:sz w:val="18"/>
                <w:szCs w:val="18"/>
              </w:rPr>
              <w:t xml:space="preserve"> ta utgangspunkt i anbefalingene for columna. </w:t>
            </w:r>
            <w:r w:rsidRPr="00527FF5">
              <w:rPr>
                <w:rFonts w:ascii="Calibri" w:hAnsi="Calibri" w:cs="Calibri"/>
                <w:sz w:val="18"/>
                <w:szCs w:val="18"/>
              </w:rPr>
              <w:br/>
              <w:t xml:space="preserve">Er målvolumet </w:t>
            </w:r>
            <w:r w:rsidRPr="00527FF5">
              <w:rPr>
                <w:rFonts w:ascii="Calibri" w:hAnsi="Calibri" w:cs="Calibri"/>
                <w:sz w:val="18"/>
                <w:szCs w:val="18"/>
                <w:u w:val="single"/>
              </w:rPr>
              <w:t>sentralt</w:t>
            </w:r>
            <w:r w:rsidRPr="00527FF5">
              <w:rPr>
                <w:rFonts w:ascii="Calibri" w:hAnsi="Calibri" w:cs="Calibri"/>
                <w:sz w:val="18"/>
                <w:szCs w:val="18"/>
              </w:rPr>
              <w:t xml:space="preserve"> ta utgangspunkt i 2 skråfelt bakfra og eventuelt et tredje felt i 180 grader. Alternativt kan posterior og laterale felt kombineres. Individuelle hensyn må tas basert på tumorplassering. </w:t>
            </w:r>
          </w:p>
        </w:tc>
        <w:tc>
          <w:tcPr>
            <w:tcW w:w="2400" w:type="dxa"/>
            <w:tcBorders>
              <w:top w:val="single" w:sz="6" w:space="0" w:color="95B3D7"/>
              <w:left w:val="single" w:sz="6" w:space="0" w:color="95B3D7"/>
              <w:bottom w:val="single" w:sz="6" w:space="0" w:color="95B3D7"/>
              <w:right w:val="single" w:sz="6" w:space="0" w:color="95B3D7"/>
            </w:tcBorders>
            <w:shd w:val="clear" w:color="auto" w:fill="FFFFFF" w:themeFill="background1"/>
            <w:hideMark/>
          </w:tcPr>
          <w:p w:rsidR="001A3D0A" w:rsidRPr="00527FF5" w:rsidP="001A3D0A" w14:paraId="14493A4C" w14:textId="77777777">
            <w:pPr>
              <w:textAlignment w:val="baseline"/>
              <w:rPr>
                <w:rFonts w:ascii="Times New Roman" w:hAnsi="Times New Roman"/>
                <w:sz w:val="18"/>
                <w:szCs w:val="18"/>
              </w:rPr>
            </w:pPr>
            <w:r w:rsidRPr="00527FF5">
              <w:rPr>
                <w:rFonts w:ascii="Calibri" w:hAnsi="Calibri" w:cs="Calibri"/>
                <w:sz w:val="18"/>
                <w:szCs w:val="18"/>
              </w:rPr>
              <w:t>Unngå tarm og rektum grunnet risiko for anatomisk variasjon som luft, fyllingsgrad og posisjon.  </w:t>
            </w:r>
          </w:p>
          <w:p w:rsidR="001A3D0A" w:rsidRPr="00527FF5" w:rsidP="001A3D0A" w14:paraId="584E2676"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49266731" w14:textId="77777777">
            <w:pPr>
              <w:textAlignment w:val="baseline"/>
              <w:rPr>
                <w:rFonts w:ascii="Times New Roman" w:hAnsi="Times New Roman"/>
                <w:sz w:val="18"/>
                <w:szCs w:val="18"/>
              </w:rPr>
            </w:pPr>
            <w:r w:rsidRPr="00527FF5">
              <w:rPr>
                <w:rFonts w:ascii="Calibri" w:hAnsi="Calibri" w:cs="Calibri"/>
                <w:sz w:val="18"/>
                <w:szCs w:val="18"/>
              </w:rPr>
              <w:t>Vær varsom med bruk av anterior felt på pasienter med potensielt bevegelig fettvev interfraksjonelt. </w:t>
            </w:r>
          </w:p>
          <w:p w:rsidR="001A3D0A" w:rsidRPr="00527FF5" w:rsidP="001A3D0A" w14:paraId="615192F9"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118041F0"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006E41C0" w14:textId="77777777">
            <w:pPr>
              <w:textAlignment w:val="baseline"/>
              <w:rPr>
                <w:rFonts w:ascii="Times New Roman" w:hAnsi="Times New Roman"/>
                <w:sz w:val="18"/>
                <w:szCs w:val="18"/>
              </w:rPr>
            </w:pPr>
            <w:r w:rsidRPr="00527FF5">
              <w:rPr>
                <w:rFonts w:ascii="Calibri" w:hAnsi="Calibri" w:cs="Calibri"/>
                <w:sz w:val="18"/>
                <w:szCs w:val="18"/>
              </w:rPr>
              <w:t> </w:t>
            </w:r>
          </w:p>
          <w:p w:rsidR="001A3D0A" w:rsidRPr="00527FF5" w:rsidP="001A3D0A" w14:paraId="20DD00A6" w14:textId="77777777">
            <w:pPr>
              <w:textAlignment w:val="baseline"/>
              <w:rPr>
                <w:rFonts w:ascii="Times New Roman" w:hAnsi="Times New Roman"/>
                <w:sz w:val="18"/>
                <w:szCs w:val="18"/>
              </w:rPr>
            </w:pPr>
            <w:r w:rsidRPr="00527FF5">
              <w:rPr>
                <w:rFonts w:ascii="Calibri" w:hAnsi="Calibri" w:cs="Calibri"/>
                <w:sz w:val="18"/>
                <w:szCs w:val="18"/>
              </w:rPr>
              <w:t> </w:t>
            </w:r>
          </w:p>
        </w:tc>
      </w:tr>
    </w:tbl>
    <w:p w:rsidR="001A3D0A" w:rsidRPr="001A3D0A" w:rsidP="001A3D0A" w14:paraId="04E2BD68" w14:textId="77777777">
      <w:pPr>
        <w:textAlignment w:val="baseline"/>
        <w:rPr>
          <w:rFonts w:ascii="Calibri" w:hAnsi="Calibri" w:cs="Calibri"/>
          <w:sz w:val="22"/>
          <w:szCs w:val="22"/>
        </w:rPr>
      </w:pPr>
      <w:r w:rsidRPr="001A3D0A">
        <w:rPr>
          <w:rFonts w:ascii="Calibri" w:hAnsi="Calibri" w:cs="Calibri"/>
          <w:sz w:val="22"/>
          <w:szCs w:val="22"/>
        </w:rPr>
        <w:t> </w:t>
      </w:r>
    </w:p>
    <w:p w:rsidR="001A3D0A" w:rsidRPr="001A3D0A" w:rsidP="00EF1D20" w14:paraId="0988FC87" w14:textId="77777777">
      <w:pPr>
        <w:pStyle w:val="Heading3"/>
      </w:pPr>
      <w:bookmarkStart w:id="17" w:name="_Toc256000016"/>
      <w:r w:rsidRPr="001A3D0A">
        <w:t>Generelle hensyn ved valg av feltvinkler</w:t>
      </w:r>
      <w:bookmarkEnd w:id="17"/>
      <w:r w:rsidRPr="001A3D0A">
        <w:t> </w:t>
      </w:r>
    </w:p>
    <w:p w:rsidR="001A3D0A" w:rsidRPr="001A3D0A" w:rsidP="001A3D0A" w14:paraId="674C6DEE" w14:textId="77777777">
      <w:pPr>
        <w:textAlignment w:val="baseline"/>
        <w:rPr>
          <w:rFonts w:ascii="Calibri" w:hAnsi="Calibri" w:cs="Calibri"/>
          <w:sz w:val="22"/>
          <w:szCs w:val="22"/>
        </w:rPr>
      </w:pPr>
      <w:r w:rsidRPr="001A3D0A">
        <w:rPr>
          <w:rFonts w:ascii="Calibri" w:hAnsi="Calibri" w:cs="Calibri"/>
          <w:sz w:val="22"/>
          <w:szCs w:val="22"/>
        </w:rPr>
        <w:t>Det følgende er generelle anbefalinger av feltvinkler uavhengig av behandlingsregion. Rekkefølgen i listen sier ingenting om prioriteringer. </w:t>
      </w:r>
    </w:p>
    <w:p w:rsidR="001A3D0A" w:rsidRPr="001A3D0A" w:rsidP="00542714" w14:paraId="7A2227B6" w14:textId="77777777">
      <w:pPr>
        <w:numPr>
          <w:ilvl w:val="0"/>
          <w:numId w:val="28"/>
        </w:numPr>
        <w:ind w:left="709" w:hanging="283"/>
        <w:textAlignment w:val="baseline"/>
        <w:rPr>
          <w:rFonts w:ascii="Calibri" w:hAnsi="Calibri" w:cs="Calibri"/>
          <w:sz w:val="22"/>
          <w:szCs w:val="22"/>
        </w:rPr>
      </w:pPr>
      <w:r w:rsidRPr="001A3D0A">
        <w:rPr>
          <w:rFonts w:ascii="Calibri" w:hAnsi="Calibri" w:cs="Calibri"/>
          <w:sz w:val="22"/>
          <w:szCs w:val="22"/>
        </w:rPr>
        <w:t>Man bør bruke minst 2-3 felt adskilt med minimum 30° vinkel. </w:t>
      </w:r>
    </w:p>
    <w:p w:rsidR="001A3D0A" w:rsidRPr="001A3D0A" w:rsidP="00542714" w14:paraId="0B5A72AC" w14:textId="77777777">
      <w:pPr>
        <w:numPr>
          <w:ilvl w:val="0"/>
          <w:numId w:val="28"/>
        </w:numPr>
        <w:ind w:left="709" w:hanging="283"/>
        <w:textAlignment w:val="baseline"/>
        <w:rPr>
          <w:rFonts w:ascii="Calibri" w:hAnsi="Calibri" w:cs="Calibri"/>
          <w:sz w:val="22"/>
          <w:szCs w:val="22"/>
        </w:rPr>
      </w:pPr>
      <w:r w:rsidRPr="001A3D0A">
        <w:rPr>
          <w:rFonts w:ascii="Calibri" w:hAnsi="Calibri" w:cs="Calibri"/>
          <w:sz w:val="22"/>
          <w:szCs w:val="22"/>
        </w:rPr>
        <w:t>Feltvinkler som fører til kortest veibane inn mot målvolum er ønskelig for å redusere dose til friskt vev. </w:t>
      </w:r>
    </w:p>
    <w:p w:rsidR="001A3D0A" w:rsidRPr="001A3D0A" w:rsidP="00542714" w14:paraId="27EDE636" w14:textId="77777777">
      <w:pPr>
        <w:numPr>
          <w:ilvl w:val="0"/>
          <w:numId w:val="28"/>
        </w:numPr>
        <w:ind w:left="709" w:hanging="283"/>
        <w:textAlignment w:val="baseline"/>
        <w:rPr>
          <w:rFonts w:ascii="Calibri" w:hAnsi="Calibri" w:cs="Calibri"/>
          <w:sz w:val="22"/>
          <w:szCs w:val="22"/>
        </w:rPr>
      </w:pPr>
      <w:r w:rsidRPr="001A3D0A">
        <w:rPr>
          <w:rFonts w:ascii="Calibri" w:hAnsi="Calibri" w:cs="Calibri"/>
          <w:sz w:val="22"/>
          <w:szCs w:val="22"/>
        </w:rPr>
        <w:t>Det er ønskelig å unngå felt som går parallelt med inhomogene områder som f.eks. skallebasis o.l. </w:t>
      </w:r>
    </w:p>
    <w:p w:rsidR="001A3D0A" w:rsidP="00542714" w14:paraId="6CA56228" w14:textId="77777777">
      <w:pPr>
        <w:numPr>
          <w:ilvl w:val="0"/>
          <w:numId w:val="28"/>
        </w:numPr>
        <w:ind w:left="709" w:hanging="283"/>
        <w:textAlignment w:val="baseline"/>
        <w:rPr>
          <w:rFonts w:ascii="Calibri" w:hAnsi="Calibri" w:cs="Calibri"/>
          <w:sz w:val="22"/>
          <w:szCs w:val="22"/>
        </w:rPr>
      </w:pPr>
      <w:r w:rsidRPr="001A3D0A">
        <w:rPr>
          <w:rFonts w:ascii="Calibri" w:hAnsi="Calibri" w:cs="Calibri"/>
          <w:sz w:val="22"/>
          <w:szCs w:val="22"/>
        </w:rPr>
        <w:t>Det er ønskelig med felt som er mest mulig vinkelrett på ytterkontur. </w:t>
      </w:r>
    </w:p>
    <w:p w:rsidR="00542714" w:rsidRPr="001A3D0A" w:rsidP="00542714" w14:paraId="4F1D970D" w14:textId="77777777">
      <w:pPr>
        <w:textAlignment w:val="baseline"/>
        <w:rPr>
          <w:rFonts w:ascii="Calibri" w:hAnsi="Calibri" w:cs="Calibri"/>
          <w:sz w:val="22"/>
          <w:szCs w:val="22"/>
        </w:rPr>
      </w:pPr>
    </w:p>
    <w:p w:rsidR="001A3D0A" w:rsidP="001A3D0A" w14:paraId="1FB38FBF" w14:textId="77777777">
      <w:pPr>
        <w:textAlignment w:val="baseline"/>
        <w:rPr>
          <w:rFonts w:ascii="Calibri" w:hAnsi="Calibri" w:cs="Calibri"/>
          <w:sz w:val="22"/>
          <w:szCs w:val="22"/>
        </w:rPr>
      </w:pPr>
      <w:r w:rsidRPr="001A3D0A">
        <w:rPr>
          <w:rFonts w:ascii="Calibri" w:hAnsi="Calibri" w:cs="Calibri"/>
          <w:sz w:val="22"/>
          <w:szCs w:val="22"/>
        </w:rPr>
        <w:t>Felt som går gjennom områder med høy tetthet som metall og hardplast bør om mulig unngås. Se ellers dokumentet [</w:t>
      </w:r>
      <w:r w:rsidRPr="001A3D0A">
        <w:rPr>
          <w:rFonts w:ascii="Calibri" w:hAnsi="Calibri" w:cs="Calibri"/>
          <w:color w:val="0000FF"/>
          <w:sz w:val="22"/>
          <w:szCs w:val="22"/>
        </w:rPr>
        <w:t>REF! &lt;metaller og artefakter&gt;</w:t>
      </w:r>
      <w:r w:rsidRPr="001A3D0A">
        <w:rPr>
          <w:rFonts w:ascii="Calibri" w:hAnsi="Calibri" w:cs="Calibri"/>
          <w:sz w:val="22"/>
          <w:szCs w:val="22"/>
        </w:rPr>
        <w:t>]. </w:t>
      </w:r>
    </w:p>
    <w:p w:rsidR="00542714" w:rsidRPr="001A3D0A" w:rsidP="001A3D0A" w14:paraId="41C04E24" w14:textId="77777777">
      <w:pPr>
        <w:textAlignment w:val="baseline"/>
        <w:rPr>
          <w:rFonts w:ascii="Calibri" w:hAnsi="Calibri" w:cs="Calibri"/>
          <w:sz w:val="22"/>
          <w:szCs w:val="22"/>
        </w:rPr>
      </w:pPr>
    </w:p>
    <w:p w:rsidR="001A3D0A" w:rsidRPr="001A3D0A" w:rsidP="001A3D0A" w14:paraId="469E4590" w14:textId="77777777">
      <w:pPr>
        <w:textAlignment w:val="baseline"/>
        <w:rPr>
          <w:rFonts w:ascii="Calibri" w:hAnsi="Calibri" w:cs="Calibri"/>
          <w:sz w:val="22"/>
          <w:szCs w:val="22"/>
        </w:rPr>
      </w:pPr>
      <w:r w:rsidRPr="001A3D0A">
        <w:rPr>
          <w:rFonts w:ascii="Calibri" w:hAnsi="Calibri" w:cs="Calibri"/>
          <w:sz w:val="22"/>
          <w:szCs w:val="22"/>
        </w:rPr>
        <w:t>I tillegg må man også vurdere feltvinkler opp mot forhøyet LET distalt for protonstrålen samt generelle usikkerheter i rekkevidde. Derfor skal man så langt det lar seg gjøre unngå mer enn ett felt som stopper i, eller proksimalt for, risikoorgan, spesielt hvis dosen i risikoorganet er nær toleransedosen. Hvis man er bekymret for valg av feltoppsett og LET, bør en eksplisitt LET-evaluering gjøres [</w:t>
      </w:r>
      <w:r w:rsidRPr="001A3D0A">
        <w:rPr>
          <w:rFonts w:ascii="Calibri" w:hAnsi="Calibri" w:cs="Calibri"/>
          <w:color w:val="0000FF"/>
          <w:sz w:val="22"/>
          <w:szCs w:val="22"/>
        </w:rPr>
        <w:t>REF! &lt;LET-evaluering&gt;</w:t>
      </w:r>
      <w:r w:rsidRPr="001A3D0A">
        <w:rPr>
          <w:rFonts w:ascii="Calibri" w:hAnsi="Calibri" w:cs="Calibri"/>
          <w:sz w:val="22"/>
          <w:szCs w:val="22"/>
        </w:rPr>
        <w:t>]. </w:t>
      </w:r>
    </w:p>
    <w:p w:rsidR="001A3D0A" w:rsidRPr="001A3D0A" w:rsidP="00EF1D20" w14:paraId="40DF8179" w14:textId="77777777">
      <w:pPr>
        <w:pStyle w:val="Heading3"/>
      </w:pPr>
      <w:bookmarkStart w:id="18" w:name="_Toc256000017"/>
      <w:r w:rsidRPr="001A3D0A">
        <w:t>Generelle hensyn ved bordrotasjon</w:t>
      </w:r>
      <w:bookmarkEnd w:id="18"/>
      <w:r w:rsidRPr="001A3D0A">
        <w:t> </w:t>
      </w:r>
    </w:p>
    <w:p w:rsidR="001A3D0A" w:rsidRPr="001A3D0A" w:rsidP="001A3D0A" w14:paraId="5976E8D4" w14:textId="2BC36A16">
      <w:pPr>
        <w:textAlignment w:val="baseline"/>
        <w:rPr>
          <w:rFonts w:ascii="Calibri" w:hAnsi="Calibri" w:cs="Calibri"/>
          <w:sz w:val="22"/>
          <w:szCs w:val="22"/>
        </w:rPr>
      </w:pPr>
      <w:r w:rsidRPr="001A3D0A">
        <w:rPr>
          <w:rFonts w:ascii="Calibri" w:hAnsi="Calibri" w:cs="Calibri"/>
          <w:sz w:val="22"/>
          <w:szCs w:val="22"/>
        </w:rPr>
        <w:t xml:space="preserve">Rotasjon av behandlingsbordet kan gi enda mer gunstige feltvinkler. Samtidig kan det forårsake at pasienten beveger seg under rotasjonen. Man må derfor verifisere pasientposisjonen etter bordrotasjon med nye setup-felt, se </w:t>
      </w:r>
      <w:r w:rsidR="00D7654D">
        <w:rPr>
          <w:rFonts w:ascii="Calibri" w:hAnsi="Calibri" w:cs="Calibri"/>
          <w:color w:val="0000FF"/>
          <w:sz w:val="22"/>
          <w:szCs w:val="22"/>
        </w:rPr>
        <w:t>Nasjonal retningslinjer for gjennomføring av strålebehandling med protoner</w:t>
      </w:r>
      <w:r w:rsidRPr="001A3D0A">
        <w:rPr>
          <w:rFonts w:ascii="Calibri" w:hAnsi="Calibri" w:cs="Calibri"/>
          <w:sz w:val="22"/>
          <w:szCs w:val="22"/>
        </w:rPr>
        <w:t>. Derfor er det ønskelig at man tilstreber å lage planer uten bordrotasjon så fremt det ikke fører til en klinisk dårligere plan. Om man velger å bruke bordrotasjon bør man bruke færrest mulig rotasjoner. </w:t>
      </w:r>
    </w:p>
    <w:p w:rsidR="001A3D0A" w:rsidRPr="001A3D0A" w:rsidP="00EF1D20" w14:paraId="41CF001B" w14:textId="77777777">
      <w:pPr>
        <w:pStyle w:val="Heading3"/>
      </w:pPr>
      <w:bookmarkStart w:id="19" w:name="_Toc256000018"/>
      <w:r w:rsidRPr="001A3D0A">
        <w:t>Range shifter og air gap</w:t>
      </w:r>
      <w:bookmarkEnd w:id="19"/>
      <w:r w:rsidRPr="001A3D0A">
        <w:t> </w:t>
      </w:r>
    </w:p>
    <w:p w:rsidR="001A3D0A" w:rsidRPr="001A3D0A" w:rsidP="001A3D0A" w14:paraId="3D43E5A6" w14:textId="77777777">
      <w:pPr>
        <w:textAlignment w:val="baseline"/>
        <w:rPr>
          <w:rFonts w:ascii="Calibri" w:hAnsi="Calibri" w:cs="Calibri"/>
          <w:sz w:val="22"/>
          <w:szCs w:val="22"/>
        </w:rPr>
      </w:pPr>
      <w:r w:rsidRPr="001A3D0A">
        <w:rPr>
          <w:rFonts w:ascii="Calibri" w:hAnsi="Calibri" w:cs="Calibri"/>
          <w:sz w:val="22"/>
          <w:szCs w:val="22"/>
        </w:rPr>
        <w:t>Dersom målvolumet ligger ved nærhet til pasientoverflaten skal det vurderes om man må bruke range shifter, med enten 2 cm, 3 cm eller 5 cm tykkelse. Det er ønskelig å bruke så tynn range shifter som mulig. Siden range shiftere må manuelt legges i snouten skal det ikke brukes range shiftere med forskjellig tykkelse for samme behandlingsplan. Behandlingsfelt med og uten range shifter av samme tykkelse er akseptabelt, men det er ønskelig å unngå dette om mulig. </w:t>
      </w:r>
    </w:p>
    <w:p w:rsidR="001A3D0A" w:rsidRPr="001A3D0A" w:rsidP="001A3D0A" w14:paraId="70CDE2F9" w14:textId="77777777">
      <w:pPr>
        <w:textAlignment w:val="baseline"/>
        <w:rPr>
          <w:rFonts w:ascii="Calibri" w:hAnsi="Calibri" w:cs="Calibri"/>
          <w:sz w:val="22"/>
          <w:szCs w:val="22"/>
        </w:rPr>
      </w:pPr>
      <w:r w:rsidRPr="001A3D0A">
        <w:rPr>
          <w:rFonts w:ascii="Calibri" w:hAnsi="Calibri" w:cs="Calibri"/>
          <w:sz w:val="22"/>
          <w:szCs w:val="22"/>
        </w:rPr>
        <w:t>Dersom man bruker range shifter bør air gap settes slik at range shifteren kommer så nært som mulig på pasienten. Man bør likevel være obs på at pasientens skuldre ikke alltid tas med på CT-bildet og man bør derfor være oppmerksom på kollisjonsfare.  </w:t>
      </w:r>
    </w:p>
    <w:p w:rsidR="001A3D0A" w:rsidRPr="001A3D0A" w:rsidP="00EF1D20" w14:paraId="25896A36" w14:textId="77777777">
      <w:pPr>
        <w:pStyle w:val="Heading3"/>
      </w:pPr>
      <w:bookmarkStart w:id="20" w:name="_Toc256000019"/>
      <w:r w:rsidRPr="001A3D0A">
        <w:t>Skjøting av felter</w:t>
      </w:r>
      <w:bookmarkEnd w:id="20"/>
      <w:r w:rsidRPr="001A3D0A">
        <w:t> </w:t>
      </w:r>
    </w:p>
    <w:p w:rsidR="001A3D0A" w:rsidRPr="001A3D0A" w:rsidP="001A3D0A" w14:paraId="23BC67EB" w14:textId="77777777">
      <w:pPr>
        <w:textAlignment w:val="baseline"/>
        <w:rPr>
          <w:rFonts w:ascii="Calibri" w:hAnsi="Calibri" w:cs="Calibri"/>
          <w:sz w:val="22"/>
          <w:szCs w:val="22"/>
        </w:rPr>
      </w:pPr>
      <w:r w:rsidRPr="001A3D0A">
        <w:rPr>
          <w:rFonts w:ascii="Calibri" w:hAnsi="Calibri" w:cs="Calibri"/>
          <w:sz w:val="22"/>
          <w:szCs w:val="22"/>
        </w:rPr>
        <w:t>Anbefalinger for skjøting av felter [</w:t>
      </w:r>
      <w:r w:rsidRPr="00D7654D">
        <w:rPr>
          <w:rFonts w:ascii="Calibri" w:hAnsi="Calibri" w:cs="Calibri"/>
          <w:color w:val="0000FF"/>
          <w:sz w:val="22"/>
          <w:szCs w:val="22"/>
        </w:rPr>
        <w:t>Avventer arbeid fra CNS gruppen med total CNS</w:t>
      </w:r>
      <w:r w:rsidRPr="001A3D0A">
        <w:rPr>
          <w:rFonts w:ascii="Calibri" w:hAnsi="Calibri" w:cs="Calibri"/>
          <w:sz w:val="22"/>
          <w:szCs w:val="22"/>
        </w:rPr>
        <w:t>]. </w:t>
      </w:r>
    </w:p>
    <w:p w:rsidR="001A3D0A" w:rsidRPr="001A3D0A" w:rsidP="00EF1D20" w14:paraId="0DEB7518" w14:textId="77777777">
      <w:pPr>
        <w:pStyle w:val="Heading2"/>
      </w:pPr>
      <w:bookmarkStart w:id="21" w:name="_Toc256000020"/>
      <w:r w:rsidRPr="001A3D0A">
        <w:t>Robust optimering</w:t>
      </w:r>
      <w:bookmarkEnd w:id="21"/>
      <w:r w:rsidRPr="001A3D0A">
        <w:t> </w:t>
      </w:r>
    </w:p>
    <w:p w:rsidR="001A3D0A" w:rsidRPr="00542714" w:rsidP="001A3D0A" w14:paraId="1CF7E194" w14:textId="5CEC830C">
      <w:pPr>
        <w:textAlignment w:val="baseline"/>
        <w:rPr>
          <w:rFonts w:cstheme="minorHAnsi"/>
          <w:sz w:val="22"/>
          <w:szCs w:val="22"/>
        </w:rPr>
      </w:pPr>
      <w:r w:rsidRPr="00542714">
        <w:rPr>
          <w:rFonts w:cstheme="minorHAnsi"/>
          <w:sz w:val="22"/>
          <w:szCs w:val="22"/>
        </w:rPr>
        <w:t>Planen skal robust optimeres med robusthetsparametere som er avhengig av målvolumets plassering,</w:t>
      </w:r>
      <w:r w:rsidRPr="00542714">
        <w:rPr>
          <w:rFonts w:cstheme="minorHAnsi"/>
          <w:sz w:val="22"/>
          <w:szCs w:val="18"/>
        </w:rPr>
        <w:t xml:space="preserve"> se </w:t>
      </w:r>
      <w:r w:rsidRPr="00542714" w:rsidR="00542714">
        <w:rPr>
          <w:rFonts w:cstheme="minorHAnsi"/>
          <w:sz w:val="22"/>
          <w:szCs w:val="18"/>
        </w:rPr>
        <w:fldChar w:fldCharType="begin"/>
      </w:r>
      <w:r w:rsidRPr="00542714" w:rsidR="00542714">
        <w:rPr>
          <w:rFonts w:cstheme="minorHAnsi"/>
          <w:sz w:val="22"/>
          <w:szCs w:val="18"/>
        </w:rPr>
        <w:instrText xml:space="preserve"> REF _Ref170129706 \h  \* MERGEFORMAT </w:instrText>
      </w:r>
      <w:r w:rsidRPr="00542714" w:rsidR="00542714">
        <w:rPr>
          <w:rFonts w:cstheme="minorHAnsi"/>
          <w:sz w:val="22"/>
          <w:szCs w:val="18"/>
        </w:rPr>
        <w:fldChar w:fldCharType="separate"/>
      </w:r>
      <w:r w:rsidRPr="00EB53AF" w:rsidR="00EB53AF">
        <w:rPr>
          <w:rFonts w:cstheme="minorHAnsi"/>
          <w:sz w:val="22"/>
          <w:szCs w:val="18"/>
        </w:rPr>
        <w:t>Tabell 5</w:t>
      </w:r>
      <w:r w:rsidRPr="00542714" w:rsidR="00542714">
        <w:rPr>
          <w:rFonts w:cstheme="minorHAnsi"/>
          <w:sz w:val="22"/>
          <w:szCs w:val="18"/>
        </w:rPr>
        <w:fldChar w:fldCharType="end"/>
      </w:r>
      <w:r w:rsidRPr="00542714">
        <w:rPr>
          <w:rFonts w:cstheme="minorHAnsi"/>
          <w:sz w:val="22"/>
          <w:szCs w:val="22"/>
        </w:rPr>
        <w:t>. </w:t>
      </w:r>
    </w:p>
    <w:p w:rsidR="00F86B48" w:rsidRPr="001A3D0A" w:rsidP="001A3D0A" w14:paraId="52CC4FCA" w14:textId="77777777">
      <w:pPr>
        <w:textAlignment w:val="baseline"/>
        <w:rPr>
          <w:rFonts w:ascii="Calibri" w:hAnsi="Calibri" w:cs="Calibri"/>
          <w:sz w:val="22"/>
          <w:szCs w:val="22"/>
        </w:rPr>
      </w:pPr>
    </w:p>
    <w:p w:rsidR="00F86B48" w:rsidP="00F86B48" w14:paraId="5CB7B86E" w14:textId="4B2883BF">
      <w:pPr>
        <w:pStyle w:val="Caption"/>
        <w:keepNext/>
      </w:pPr>
      <w:bookmarkStart w:id="22" w:name="_Ref170129706"/>
      <w:r>
        <w:t xml:space="preserve">Tabell </w:t>
      </w:r>
      <w:r w:rsidR="00EB53AF">
        <w:fldChar w:fldCharType="begin"/>
      </w:r>
      <w:r w:rsidR="00EB53AF">
        <w:instrText xml:space="preserve"> SEQ Tabell \* ARABIC </w:instrText>
      </w:r>
      <w:r w:rsidR="00EB53AF">
        <w:fldChar w:fldCharType="separate"/>
      </w:r>
      <w:r w:rsidR="00EB53AF">
        <w:t>5</w:t>
      </w:r>
      <w:r w:rsidR="00EB53AF">
        <w:rPr>
          <w:noProof/>
        </w:rPr>
        <w:fldChar w:fldCharType="end"/>
      </w:r>
      <w:bookmarkEnd w:id="22"/>
      <w:r>
        <w:t>: Robusthetsparametere for ulike behandlingsregioner.</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5"/>
        <w:gridCol w:w="3540"/>
        <w:gridCol w:w="4110"/>
      </w:tblGrid>
      <w:tr w14:paraId="14E1E2D6" w14:textId="77777777" w:rsidTr="00EF1D20">
        <w:tblPrEx>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125" w:type="dxa"/>
            <w:tcBorders>
              <w:top w:val="single" w:sz="6" w:space="0" w:color="4F81BD"/>
              <w:left w:val="single" w:sz="6" w:space="0" w:color="4F81BD"/>
              <w:bottom w:val="single" w:sz="6" w:space="0" w:color="4F81BD"/>
              <w:right w:val="nil"/>
            </w:tcBorders>
            <w:shd w:val="clear" w:color="auto" w:fill="4F81BD"/>
            <w:vAlign w:val="center"/>
            <w:hideMark/>
          </w:tcPr>
          <w:p w:rsidR="001A3D0A" w:rsidRPr="00527FF5" w:rsidP="001A3D0A" w14:paraId="44011564"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Region </w:t>
            </w:r>
          </w:p>
        </w:tc>
        <w:tc>
          <w:tcPr>
            <w:tcW w:w="3540" w:type="dxa"/>
            <w:tcBorders>
              <w:top w:val="single" w:sz="6" w:space="0" w:color="4F81BD"/>
              <w:left w:val="nil"/>
              <w:bottom w:val="single" w:sz="6" w:space="0" w:color="4F81BD"/>
              <w:right w:val="nil"/>
            </w:tcBorders>
            <w:shd w:val="clear" w:color="auto" w:fill="4F81BD"/>
            <w:vAlign w:val="center"/>
            <w:hideMark/>
          </w:tcPr>
          <w:p w:rsidR="001A3D0A" w:rsidRPr="00527FF5" w:rsidP="00EF1D20" w14:paraId="2E5F24BD" w14:textId="45286805">
            <w:pPr>
              <w:jc w:val="center"/>
              <w:textAlignment w:val="baseline"/>
              <w:rPr>
                <w:rFonts w:ascii="Times New Roman" w:hAnsi="Times New Roman"/>
                <w:color w:val="FFFFFF" w:themeColor="background1"/>
                <w:sz w:val="18"/>
                <w:szCs w:val="18"/>
              </w:rPr>
            </w:pPr>
            <w:r w:rsidRPr="00527FF5">
              <w:rPr>
                <w:rFonts w:ascii="Calibri" w:hAnsi="Calibri" w:cs="Calibri"/>
                <w:b/>
                <w:bCs/>
                <w:color w:val="FFFFFF"/>
                <w:sz w:val="18"/>
                <w:szCs w:val="18"/>
              </w:rPr>
              <w:t>Robusthets</w:t>
            </w:r>
            <w:r w:rsidRPr="00527FF5">
              <w:rPr>
                <w:rFonts w:ascii="Calibri" w:hAnsi="Calibri" w:cs="Calibri"/>
                <w:b/>
                <w:bCs/>
                <w:color w:val="FFFFFF" w:themeColor="background1"/>
                <w:sz w:val="18"/>
                <w:szCs w:val="18"/>
              </w:rPr>
              <w:t>parametere [forskyvning</w:t>
            </w:r>
            <w:r w:rsidRPr="00527FF5">
              <w:rPr>
                <w:rFonts w:ascii="Calibri" w:hAnsi="Calibri" w:cs="Calibri"/>
                <w:color w:val="FFFFFF" w:themeColor="background1"/>
                <w:sz w:val="18"/>
                <w:szCs w:val="18"/>
              </w:rPr>
              <w:t xml:space="preserve"> </w:t>
            </w:r>
            <w:r w:rsidRPr="00527FF5">
              <w:rPr>
                <w:rFonts w:ascii="Cambria Math" w:hAnsi="Cambria Math"/>
                <w:color w:val="FFFFFF" w:themeColor="background1"/>
                <w:sz w:val="18"/>
                <w:szCs w:val="18"/>
                <w:bdr w:val="none" w:sz="0" w:space="0" w:color="auto" w:frame="1"/>
              </w:rPr>
              <w:t>±</w:t>
            </w:r>
            <w:r w:rsidRPr="00527FF5" w:rsidR="00EF1D20">
              <w:rPr>
                <w:rFonts w:ascii="Times New Roman" w:hAnsi="Times New Roman"/>
                <w:b/>
                <w:bCs/>
                <w:color w:val="FFFFFF" w:themeColor="background1"/>
                <w:sz w:val="18"/>
                <w:szCs w:val="18"/>
                <w:bdr w:val="none" w:sz="0" w:space="0" w:color="auto" w:frame="1"/>
              </w:rPr>
              <w:t xml:space="preserve"> </w:t>
            </w:r>
            <w:r w:rsidRPr="00527FF5" w:rsidR="00EF1D20">
              <w:rPr>
                <w:rFonts w:cstheme="minorHAnsi"/>
                <w:b/>
                <w:bCs/>
                <w:color w:val="FFFFFF" w:themeColor="background1"/>
                <w:sz w:val="18"/>
                <w:szCs w:val="18"/>
                <w:bdr w:val="none" w:sz="0" w:space="0" w:color="auto" w:frame="1"/>
              </w:rPr>
              <w:t>tetthet]</w:t>
            </w:r>
          </w:p>
        </w:tc>
        <w:tc>
          <w:tcPr>
            <w:tcW w:w="4110" w:type="dxa"/>
            <w:tcBorders>
              <w:top w:val="single" w:sz="6" w:space="0" w:color="4F81BD"/>
              <w:left w:val="nil"/>
              <w:bottom w:val="single" w:sz="6" w:space="0" w:color="4F81BD"/>
              <w:right w:val="single" w:sz="6" w:space="0" w:color="4F81BD"/>
            </w:tcBorders>
            <w:shd w:val="clear" w:color="auto" w:fill="4F81BD"/>
            <w:vAlign w:val="center"/>
            <w:hideMark/>
          </w:tcPr>
          <w:p w:rsidR="001A3D0A" w:rsidRPr="00527FF5" w:rsidP="001A3D0A" w14:paraId="13112C6C" w14:textId="77777777">
            <w:pPr>
              <w:jc w:val="center"/>
              <w:textAlignment w:val="baseline"/>
              <w:rPr>
                <w:rFonts w:ascii="Times New Roman" w:hAnsi="Times New Roman"/>
                <w:b/>
                <w:bCs/>
                <w:color w:val="FFFFFF"/>
                <w:sz w:val="18"/>
                <w:szCs w:val="18"/>
              </w:rPr>
            </w:pPr>
            <w:r w:rsidRPr="00527FF5">
              <w:rPr>
                <w:rFonts w:ascii="Calibri" w:hAnsi="Calibri" w:cs="Calibri"/>
                <w:b/>
                <w:bCs/>
                <w:color w:val="FFFFFF"/>
                <w:sz w:val="18"/>
                <w:szCs w:val="18"/>
              </w:rPr>
              <w:t>Kommentarer </w:t>
            </w:r>
          </w:p>
        </w:tc>
      </w:tr>
      <w:tr w14:paraId="68D90784" w14:textId="77777777" w:rsidTr="00EF1D20">
        <w:tblPrEx>
          <w:tblW w:w="8775" w:type="dxa"/>
          <w:tblCellMar>
            <w:left w:w="0" w:type="dxa"/>
            <w:right w:w="0" w:type="dxa"/>
          </w:tblCellMar>
          <w:tblLook w:val="04A0"/>
        </w:tblPrEx>
        <w:trPr>
          <w:trHeight w:val="300"/>
        </w:trPr>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D7654D" w14:paraId="38C7D6AD" w14:textId="2A9CA5DB">
            <w:pPr>
              <w:jc w:val="center"/>
              <w:textAlignment w:val="baseline"/>
              <w:rPr>
                <w:rFonts w:ascii="Times New Roman" w:hAnsi="Times New Roman"/>
                <w:b/>
                <w:bCs/>
                <w:sz w:val="18"/>
                <w:szCs w:val="18"/>
              </w:rPr>
            </w:pPr>
            <w:r w:rsidRPr="00527FF5">
              <w:rPr>
                <w:rFonts w:ascii="Calibri" w:hAnsi="Calibri" w:cs="Calibri"/>
                <w:b/>
                <w:bCs/>
                <w:sz w:val="18"/>
                <w:szCs w:val="18"/>
              </w:rPr>
              <w:t>Intrakranielt</w:t>
            </w:r>
          </w:p>
        </w:tc>
        <w:tc>
          <w:tcPr>
            <w:tcW w:w="354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EF1D20" w14:paraId="3BA4A094" w14:textId="51F96A06">
            <w:pPr>
              <w:textAlignment w:val="baseline"/>
              <w:rPr>
                <w:rFonts w:ascii="Times New Roman" w:hAnsi="Times New Roman"/>
                <w:sz w:val="18"/>
                <w:szCs w:val="18"/>
              </w:rPr>
            </w:pPr>
            <w:r w:rsidRPr="00527FF5">
              <w:rPr>
                <w:rFonts w:ascii="Calibri" w:hAnsi="Calibri" w:cs="Calibri"/>
                <w:sz w:val="18"/>
                <w:szCs w:val="18"/>
              </w:rPr>
              <w:t xml:space="preserve">2 mm </w:t>
            </w:r>
            <w:r w:rsidRPr="00527FF5" w:rsidR="00EF1D20">
              <w:rPr>
                <w:rFonts w:ascii="Cambria Math" w:hAnsi="Cambria Math"/>
                <w:sz w:val="18"/>
                <w:szCs w:val="18"/>
                <w:bdr w:val="none" w:sz="0" w:space="0" w:color="auto" w:frame="1"/>
              </w:rPr>
              <w:t>±</w:t>
            </w:r>
            <w:r w:rsidRPr="00527FF5" w:rsidR="00EF1D20">
              <w:rPr>
                <w:rFonts w:ascii="Cambria Math" w:hAnsi="Cambria Math"/>
                <w:b/>
                <w:bCs/>
                <w:sz w:val="18"/>
                <w:szCs w:val="18"/>
                <w:bdr w:val="none" w:sz="0" w:space="0" w:color="auto" w:frame="1"/>
              </w:rPr>
              <w:t xml:space="preserve"> </w:t>
            </w:r>
            <w:r w:rsidRPr="00527FF5">
              <w:rPr>
                <w:rFonts w:ascii="Calibri" w:hAnsi="Calibri" w:cs="Calibri"/>
                <w:sz w:val="18"/>
                <w:szCs w:val="18"/>
              </w:rPr>
              <w:t>3.5% </w:t>
            </w:r>
          </w:p>
        </w:tc>
        <w:tc>
          <w:tcPr>
            <w:tcW w:w="411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35B12B5B" w14:textId="55A5C3EE">
            <w:pPr>
              <w:textAlignment w:val="baseline"/>
              <w:rPr>
                <w:rFonts w:ascii="Times New Roman" w:hAnsi="Times New Roman"/>
                <w:sz w:val="18"/>
                <w:szCs w:val="18"/>
              </w:rPr>
            </w:pPr>
            <w:r w:rsidRPr="00527FF5">
              <w:rPr>
                <w:rFonts w:ascii="Calibri" w:hAnsi="Calibri" w:cs="Calibri"/>
                <w:sz w:val="18"/>
                <w:szCs w:val="18"/>
              </w:rPr>
              <w:t>Se</w:t>
            </w:r>
            <w:r w:rsidRPr="00527FF5">
              <w:rPr>
                <w:rFonts w:ascii="Calibri" w:hAnsi="Calibri" w:cs="Calibri"/>
                <w:color w:val="0000FF"/>
                <w:sz w:val="18"/>
                <w:szCs w:val="18"/>
              </w:rPr>
              <w:t xml:space="preserve"> </w:t>
            </w:r>
            <w:r w:rsidRPr="00527FF5" w:rsidR="008C2669">
              <w:rPr>
                <w:rFonts w:ascii="Calibri" w:hAnsi="Calibri" w:cs="Calibri"/>
                <w:color w:val="0000FF"/>
                <w:sz w:val="18"/>
                <w:szCs w:val="18"/>
              </w:rPr>
              <w:t xml:space="preserve">Nasjonal </w:t>
            </w:r>
            <w:r w:rsidRPr="00527FF5">
              <w:rPr>
                <w:rFonts w:ascii="Calibri" w:hAnsi="Calibri" w:cs="Calibri"/>
                <w:color w:val="0000FF"/>
                <w:sz w:val="18"/>
                <w:szCs w:val="18"/>
              </w:rPr>
              <w:t>retningslinje for protonplanlegging av tumor cerebri</w:t>
            </w:r>
            <w:r w:rsidRPr="00527FF5" w:rsidR="008C2669">
              <w:rPr>
                <w:rFonts w:ascii="Calibri" w:hAnsi="Calibri" w:cs="Calibri"/>
                <w:color w:val="0000FF"/>
                <w:sz w:val="18"/>
                <w:szCs w:val="18"/>
              </w:rPr>
              <w:t xml:space="preserve"> – del av hjerne.</w:t>
            </w:r>
            <w:r w:rsidRPr="00527FF5">
              <w:rPr>
                <w:rFonts w:ascii="Calibri" w:hAnsi="Calibri" w:cs="Calibri"/>
                <w:color w:val="0000FF"/>
                <w:sz w:val="18"/>
                <w:szCs w:val="18"/>
              </w:rPr>
              <w:t> </w:t>
            </w:r>
          </w:p>
        </w:tc>
      </w:tr>
      <w:tr w14:paraId="048A42BF" w14:textId="77777777" w:rsidTr="00EF1D20">
        <w:tblPrEx>
          <w:tblW w:w="8775" w:type="dxa"/>
          <w:tblCellMar>
            <w:left w:w="0" w:type="dxa"/>
            <w:right w:w="0" w:type="dxa"/>
          </w:tblCellMar>
          <w:tblLook w:val="04A0"/>
        </w:tblPrEx>
        <w:trPr>
          <w:trHeight w:val="1020"/>
        </w:trPr>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D7654D" w14:paraId="69023B67" w14:textId="56939D85">
            <w:pPr>
              <w:jc w:val="center"/>
              <w:textAlignment w:val="baseline"/>
              <w:rPr>
                <w:rFonts w:ascii="Times New Roman" w:hAnsi="Times New Roman"/>
                <w:b/>
                <w:bCs/>
                <w:sz w:val="18"/>
                <w:szCs w:val="18"/>
              </w:rPr>
            </w:pPr>
            <w:r w:rsidRPr="00527FF5">
              <w:rPr>
                <w:rFonts w:ascii="Calibri" w:hAnsi="Calibri" w:cs="Calibri"/>
                <w:b/>
                <w:bCs/>
                <w:sz w:val="18"/>
                <w:szCs w:val="18"/>
              </w:rPr>
              <w:t>Hode-hals</w:t>
            </w:r>
          </w:p>
        </w:tc>
        <w:tc>
          <w:tcPr>
            <w:tcW w:w="354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4E849A62" w14:textId="1941EA07">
            <w:pPr>
              <w:textAlignment w:val="baseline"/>
              <w:rPr>
                <w:rFonts w:ascii="Times New Roman" w:hAnsi="Times New Roman"/>
                <w:sz w:val="18"/>
                <w:szCs w:val="18"/>
              </w:rPr>
            </w:pPr>
            <w:r w:rsidRPr="00527FF5">
              <w:rPr>
                <w:rFonts w:ascii="Calibri" w:hAnsi="Calibri" w:cs="Calibri"/>
                <w:sz w:val="18"/>
                <w:szCs w:val="18"/>
              </w:rPr>
              <w:t xml:space="preserve">2-4 mm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ascii="Calibri" w:hAnsi="Calibri" w:cs="Calibri"/>
                <w:sz w:val="18"/>
                <w:szCs w:val="18"/>
              </w:rPr>
              <w:t>3.5% </w:t>
            </w:r>
            <w:r w:rsidRPr="00527FF5" w:rsidR="008340F7">
              <w:rPr>
                <w:rFonts w:ascii="Calibri" w:hAnsi="Calibri" w:cs="Calibri"/>
                <w:sz w:val="18"/>
                <w:szCs w:val="18"/>
              </w:rPr>
              <w:t> </w:t>
            </w:r>
          </w:p>
        </w:tc>
        <w:tc>
          <w:tcPr>
            <w:tcW w:w="411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7BB3B630" w14:textId="2B926796">
            <w:pPr>
              <w:textAlignment w:val="baseline"/>
              <w:rPr>
                <w:rFonts w:ascii="Times New Roman" w:hAnsi="Times New Roman"/>
                <w:sz w:val="18"/>
                <w:szCs w:val="18"/>
              </w:rPr>
            </w:pPr>
            <w:r w:rsidRPr="00527FF5">
              <w:rPr>
                <w:rFonts w:ascii="Calibri" w:hAnsi="Calibri" w:cs="Calibri"/>
                <w:sz w:val="18"/>
                <w:szCs w:val="18"/>
              </w:rPr>
              <w:t>Se</w:t>
            </w:r>
            <w:r w:rsidRPr="00527FF5" w:rsidR="008C2669">
              <w:rPr>
                <w:rFonts w:ascii="Calibri" w:hAnsi="Calibri" w:cs="Calibri"/>
                <w:sz w:val="18"/>
                <w:szCs w:val="18"/>
              </w:rPr>
              <w:t xml:space="preserve"> </w:t>
            </w:r>
            <w:r w:rsidRPr="00527FF5" w:rsidR="008C2669">
              <w:rPr>
                <w:rFonts w:ascii="Calibri" w:hAnsi="Calibri" w:cs="Calibri"/>
                <w:color w:val="0000FF"/>
                <w:sz w:val="18"/>
                <w:szCs w:val="18"/>
              </w:rPr>
              <w:t>Nasjonal re</w:t>
            </w:r>
            <w:r w:rsidRPr="00527FF5">
              <w:rPr>
                <w:rFonts w:ascii="Calibri" w:hAnsi="Calibri" w:cs="Calibri"/>
                <w:color w:val="0000FF"/>
                <w:sz w:val="18"/>
                <w:szCs w:val="18"/>
              </w:rPr>
              <w:t xml:space="preserve">tningslinje for protonplanlegging av </w:t>
            </w:r>
            <w:r w:rsidRPr="00527FF5" w:rsidR="008C2669">
              <w:rPr>
                <w:rFonts w:ascii="Calibri" w:hAnsi="Calibri" w:cs="Calibri"/>
                <w:color w:val="0000FF"/>
                <w:sz w:val="18"/>
                <w:szCs w:val="18"/>
              </w:rPr>
              <w:t>ØNH</w:t>
            </w:r>
            <w:r w:rsidRPr="00527FF5">
              <w:rPr>
                <w:rFonts w:ascii="Calibri" w:hAnsi="Calibri" w:cs="Calibri"/>
                <w:color w:val="0000FF"/>
                <w:sz w:val="18"/>
                <w:szCs w:val="18"/>
              </w:rPr>
              <w:t>. </w:t>
            </w:r>
            <w:r w:rsidRPr="00527FF5">
              <w:rPr>
                <w:rFonts w:ascii="Calibri" w:hAnsi="Calibri" w:cs="Calibri"/>
                <w:sz w:val="18"/>
                <w:szCs w:val="18"/>
              </w:rPr>
              <w:t>Små volumer og volumer som er plassert i antatt stabile områder kan med fordel ha mindre setup margin enn større volumer som strekker seg over lengre områder på hals.  </w:t>
            </w:r>
          </w:p>
          <w:p w:rsidR="001A3D0A" w:rsidRPr="00527FF5" w:rsidP="001A3D0A" w14:paraId="38613710" w14:textId="77777777">
            <w:pPr>
              <w:textAlignment w:val="baseline"/>
              <w:rPr>
                <w:rFonts w:ascii="Times New Roman" w:hAnsi="Times New Roman"/>
                <w:sz w:val="18"/>
                <w:szCs w:val="18"/>
              </w:rPr>
            </w:pPr>
            <w:r w:rsidRPr="00527FF5">
              <w:rPr>
                <w:rFonts w:ascii="Calibri" w:hAnsi="Calibri" w:cs="Calibri"/>
                <w:sz w:val="18"/>
                <w:szCs w:val="18"/>
              </w:rPr>
              <w:t> </w:t>
            </w:r>
          </w:p>
        </w:tc>
      </w:tr>
      <w:tr w14:paraId="51383AEE" w14:textId="77777777" w:rsidTr="00EF1D20">
        <w:tblPrEx>
          <w:tblW w:w="8775" w:type="dxa"/>
          <w:tblCellMar>
            <w:left w:w="0" w:type="dxa"/>
            <w:right w:w="0" w:type="dxa"/>
          </w:tblCellMar>
          <w:tblLook w:val="04A0"/>
        </w:tblPrEx>
        <w:trPr>
          <w:trHeight w:val="540"/>
        </w:trPr>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D7654D" w14:paraId="472F5C5F" w14:textId="780EE4C9">
            <w:pPr>
              <w:jc w:val="center"/>
              <w:textAlignment w:val="baseline"/>
              <w:rPr>
                <w:rFonts w:ascii="Times New Roman" w:hAnsi="Times New Roman"/>
                <w:b/>
                <w:bCs/>
                <w:sz w:val="18"/>
                <w:szCs w:val="18"/>
              </w:rPr>
            </w:pPr>
            <w:r w:rsidRPr="00527FF5">
              <w:rPr>
                <w:rFonts w:ascii="Calibri" w:hAnsi="Calibri" w:cs="Calibri"/>
                <w:b/>
                <w:bCs/>
                <w:sz w:val="18"/>
                <w:szCs w:val="18"/>
              </w:rPr>
              <w:t>Columna</w:t>
            </w:r>
          </w:p>
        </w:tc>
        <w:tc>
          <w:tcPr>
            <w:tcW w:w="354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EF1D20" w14:paraId="1E49AF35" w14:textId="77777777">
            <w:pPr>
              <w:textAlignment w:val="baseline"/>
              <w:rPr>
                <w:rFonts w:ascii="Calibri" w:hAnsi="Calibri" w:cs="Calibri"/>
                <w:sz w:val="18"/>
                <w:szCs w:val="18"/>
              </w:rPr>
            </w:pPr>
            <w:r w:rsidRPr="00527FF5">
              <w:rPr>
                <w:rFonts w:ascii="Calibri" w:hAnsi="Calibri" w:cs="Calibri"/>
                <w:sz w:val="18"/>
                <w:szCs w:val="18"/>
              </w:rPr>
              <w:t xml:space="preserve">Barn: 3-4 mm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ascii="Calibri" w:hAnsi="Calibri" w:cs="Calibri"/>
                <w:sz w:val="18"/>
                <w:szCs w:val="18"/>
              </w:rPr>
              <w:t>3.5% </w:t>
            </w:r>
          </w:p>
          <w:p w:rsidR="00EF1D20" w:rsidRPr="00527FF5" w:rsidP="00EF1D20" w14:paraId="640D1F94" w14:textId="2A70BDC9">
            <w:pPr>
              <w:textAlignment w:val="baseline"/>
              <w:rPr>
                <w:rFonts w:ascii="Times New Roman" w:hAnsi="Times New Roman"/>
                <w:sz w:val="18"/>
                <w:szCs w:val="18"/>
              </w:rPr>
            </w:pPr>
            <w:r w:rsidRPr="00527FF5">
              <w:rPr>
                <w:rFonts w:ascii="Calibri" w:hAnsi="Calibri" w:cs="Calibri"/>
                <w:sz w:val="18"/>
                <w:szCs w:val="18"/>
              </w:rPr>
              <w:t xml:space="preserve">Voksne: 5 mm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ascii="Calibri" w:hAnsi="Calibri" w:cs="Calibri"/>
                <w:sz w:val="18"/>
                <w:szCs w:val="18"/>
              </w:rPr>
              <w:t>3.5% </w:t>
            </w:r>
          </w:p>
          <w:p w:rsidR="00EF1D20" w:rsidRPr="00527FF5" w:rsidP="00EF1D20" w14:paraId="0CC3E3B2" w14:textId="0BD34405">
            <w:pPr>
              <w:rPr>
                <w:rFonts w:ascii="Times New Roman" w:hAnsi="Times New Roman"/>
                <w:sz w:val="18"/>
                <w:szCs w:val="18"/>
              </w:rPr>
            </w:pPr>
          </w:p>
        </w:tc>
        <w:tc>
          <w:tcPr>
            <w:tcW w:w="411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EF1D20" w14:paraId="5202D1D2" w14:textId="101A1AD0">
            <w:pPr>
              <w:textAlignment w:val="baseline"/>
              <w:rPr>
                <w:rFonts w:ascii="Times New Roman" w:hAnsi="Times New Roman"/>
                <w:sz w:val="18"/>
                <w:szCs w:val="18"/>
                <w:lang w:val="en-US"/>
              </w:rPr>
            </w:pPr>
            <w:r w:rsidRPr="00527FF5">
              <w:rPr>
                <w:sz w:val="18"/>
                <w:szCs w:val="18"/>
                <w:lang w:val="en-US"/>
              </w:rPr>
              <w:t>Danish center for particle therapy (2024a)</w:t>
            </w:r>
          </w:p>
        </w:tc>
      </w:tr>
      <w:tr w14:paraId="473EA531" w14:textId="77777777" w:rsidTr="00EF1D20">
        <w:tblPrEx>
          <w:tblW w:w="8775" w:type="dxa"/>
          <w:tblCellMar>
            <w:left w:w="0" w:type="dxa"/>
            <w:right w:w="0" w:type="dxa"/>
          </w:tblCellMar>
          <w:tblLook w:val="04A0"/>
        </w:tblPrEx>
        <w:trPr>
          <w:trHeight w:val="705"/>
        </w:trPr>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D7654D" w14:paraId="7539ADE6" w14:textId="6E6BDB51">
            <w:pPr>
              <w:jc w:val="center"/>
              <w:textAlignment w:val="baseline"/>
              <w:rPr>
                <w:rFonts w:ascii="Times New Roman" w:hAnsi="Times New Roman"/>
                <w:b/>
                <w:bCs/>
                <w:sz w:val="18"/>
                <w:szCs w:val="18"/>
              </w:rPr>
            </w:pPr>
            <w:r w:rsidRPr="00527FF5">
              <w:rPr>
                <w:rFonts w:ascii="Calibri" w:hAnsi="Calibri" w:cs="Calibri"/>
                <w:b/>
                <w:bCs/>
                <w:sz w:val="18"/>
                <w:szCs w:val="18"/>
              </w:rPr>
              <w:t>Thorax</w:t>
            </w:r>
          </w:p>
        </w:tc>
        <w:tc>
          <w:tcPr>
            <w:tcW w:w="354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EF1D20" w14:paraId="6EA02A68" w14:textId="77777777">
            <w:pPr>
              <w:textAlignment w:val="baseline"/>
              <w:rPr>
                <w:rFonts w:ascii="Calibri" w:hAnsi="Calibri" w:cs="Calibri"/>
                <w:sz w:val="18"/>
                <w:szCs w:val="18"/>
              </w:rPr>
            </w:pPr>
            <w:r w:rsidRPr="00527FF5">
              <w:rPr>
                <w:rFonts w:ascii="Calibri" w:hAnsi="Calibri" w:cs="Calibri"/>
                <w:sz w:val="18"/>
                <w:szCs w:val="18"/>
              </w:rPr>
              <w:t xml:space="preserve">Thoraxvegg og mediastinum: 5 mm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ascii="Calibri" w:hAnsi="Calibri" w:cs="Calibri"/>
                <w:sz w:val="18"/>
                <w:szCs w:val="18"/>
              </w:rPr>
              <w:t>3.5% </w:t>
            </w:r>
          </w:p>
          <w:p w:rsidR="00EF1D20" w:rsidRPr="00527FF5" w:rsidP="00EF1D20" w14:paraId="53BB8DCA" w14:textId="74DC5B11">
            <w:pPr>
              <w:textAlignment w:val="baseline"/>
              <w:rPr>
                <w:rFonts w:ascii="Times New Roman" w:hAnsi="Times New Roman"/>
                <w:sz w:val="18"/>
                <w:szCs w:val="18"/>
              </w:rPr>
            </w:pPr>
            <w:r w:rsidRPr="00527FF5">
              <w:rPr>
                <w:rFonts w:ascii="Calibri" w:hAnsi="Calibri" w:cs="Calibri"/>
                <w:sz w:val="18"/>
                <w:szCs w:val="18"/>
              </w:rPr>
              <w:t xml:space="preserve">Lunge 5 mm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cstheme="minorHAnsi"/>
                <w:sz w:val="18"/>
                <w:szCs w:val="18"/>
                <w:bdr w:val="none" w:sz="0" w:space="0" w:color="auto" w:frame="1"/>
              </w:rPr>
              <w:t>4</w:t>
            </w:r>
            <w:r w:rsidRPr="00527FF5">
              <w:rPr>
                <w:rFonts w:cstheme="minorHAnsi"/>
                <w:sz w:val="18"/>
                <w:szCs w:val="18"/>
              </w:rPr>
              <w:t>.</w:t>
            </w:r>
            <w:r w:rsidRPr="00527FF5">
              <w:rPr>
                <w:rFonts w:ascii="Calibri" w:hAnsi="Calibri" w:cs="Calibri"/>
                <w:sz w:val="18"/>
                <w:szCs w:val="18"/>
              </w:rPr>
              <w:t>5%</w:t>
            </w:r>
          </w:p>
        </w:tc>
        <w:tc>
          <w:tcPr>
            <w:tcW w:w="411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EF1D20" w14:paraId="5D3B4E7B" w14:textId="4C13A674">
            <w:pPr>
              <w:textAlignment w:val="baseline"/>
              <w:rPr>
                <w:rFonts w:ascii="Times New Roman" w:hAnsi="Times New Roman"/>
                <w:sz w:val="18"/>
                <w:szCs w:val="18"/>
                <w:lang w:val="en-US"/>
              </w:rPr>
            </w:pPr>
            <w:r w:rsidRPr="00527FF5">
              <w:rPr>
                <w:sz w:val="18"/>
                <w:szCs w:val="18"/>
                <w:lang w:val="en-US"/>
              </w:rPr>
              <w:t xml:space="preserve">Danish center for particle therapy (2024b) </w:t>
            </w:r>
          </w:p>
        </w:tc>
      </w:tr>
      <w:tr w14:paraId="6F923127" w14:textId="77777777" w:rsidTr="00EF1D20">
        <w:tblPrEx>
          <w:tblW w:w="8775" w:type="dxa"/>
          <w:tblCellMar>
            <w:left w:w="0" w:type="dxa"/>
            <w:right w:w="0" w:type="dxa"/>
          </w:tblCellMar>
          <w:tblLook w:val="04A0"/>
        </w:tblPrEx>
        <w:trPr>
          <w:trHeight w:val="285"/>
        </w:trPr>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D7654D" w14:paraId="495420D7" w14:textId="3AC9ACA2">
            <w:pPr>
              <w:jc w:val="center"/>
              <w:textAlignment w:val="baseline"/>
              <w:rPr>
                <w:rFonts w:ascii="Times New Roman" w:hAnsi="Times New Roman"/>
                <w:b/>
                <w:bCs/>
                <w:sz w:val="18"/>
                <w:szCs w:val="18"/>
              </w:rPr>
            </w:pPr>
            <w:r w:rsidRPr="00527FF5">
              <w:rPr>
                <w:rFonts w:ascii="Calibri" w:hAnsi="Calibri" w:cs="Calibri"/>
                <w:b/>
                <w:bCs/>
                <w:sz w:val="18"/>
                <w:szCs w:val="18"/>
              </w:rPr>
              <w:t>Abdomen</w:t>
            </w:r>
          </w:p>
        </w:tc>
        <w:tc>
          <w:tcPr>
            <w:tcW w:w="354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EF1D20" w14:paraId="6DE683EF" w14:textId="36EC0631">
            <w:pPr>
              <w:textAlignment w:val="baseline"/>
              <w:rPr>
                <w:rFonts w:ascii="Times New Roman" w:hAnsi="Times New Roman"/>
                <w:sz w:val="18"/>
                <w:szCs w:val="18"/>
              </w:rPr>
            </w:pPr>
            <w:r w:rsidRPr="00527FF5">
              <w:rPr>
                <w:rFonts w:ascii="Calibri" w:hAnsi="Calibri" w:cs="Calibri"/>
                <w:sz w:val="18"/>
                <w:szCs w:val="18"/>
              </w:rPr>
              <w:t xml:space="preserve">Lever: 5mm LR/AP og 7 mm CC  </w:t>
            </w:r>
            <w:r w:rsidRPr="00527FF5">
              <w:rPr>
                <w:rFonts w:ascii="Cambria Math" w:hAnsi="Cambria Math"/>
                <w:sz w:val="18"/>
                <w:szCs w:val="18"/>
                <w:bdr w:val="none" w:sz="0" w:space="0" w:color="auto" w:frame="1"/>
              </w:rPr>
              <w:t>±</w:t>
            </w:r>
            <w:r w:rsidRPr="00527FF5">
              <w:rPr>
                <w:rFonts w:ascii="Cambria Math" w:hAnsi="Cambria Math"/>
                <w:b/>
                <w:bCs/>
                <w:sz w:val="18"/>
                <w:szCs w:val="18"/>
                <w:bdr w:val="none" w:sz="0" w:space="0" w:color="auto" w:frame="1"/>
              </w:rPr>
              <w:t xml:space="preserve"> </w:t>
            </w:r>
            <w:r w:rsidRPr="00527FF5">
              <w:rPr>
                <w:rFonts w:cstheme="minorHAnsi"/>
                <w:sz w:val="18"/>
                <w:szCs w:val="18"/>
                <w:bdr w:val="none" w:sz="0" w:space="0" w:color="auto" w:frame="1"/>
              </w:rPr>
              <w:t>4</w:t>
            </w:r>
            <w:r w:rsidRPr="00527FF5">
              <w:rPr>
                <w:rFonts w:ascii="Calibri" w:hAnsi="Calibri" w:cs="Calibri"/>
                <w:sz w:val="18"/>
                <w:szCs w:val="18"/>
              </w:rPr>
              <w:t>.5%   </w:t>
            </w:r>
          </w:p>
        </w:tc>
        <w:tc>
          <w:tcPr>
            <w:tcW w:w="411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EF1D20" w:rsidRPr="00527FF5" w:rsidP="00EF1D20" w14:paraId="3F6061BC" w14:textId="0783E406">
            <w:pPr>
              <w:textAlignment w:val="baseline"/>
              <w:rPr>
                <w:rFonts w:ascii="Times New Roman" w:hAnsi="Times New Roman"/>
                <w:sz w:val="18"/>
                <w:szCs w:val="18"/>
                <w:lang w:val="en-US"/>
              </w:rPr>
            </w:pPr>
            <w:r w:rsidRPr="00527FF5">
              <w:rPr>
                <w:sz w:val="18"/>
                <w:szCs w:val="18"/>
                <w:lang w:val="en-US"/>
              </w:rPr>
              <w:t>Danish center for particle therapy (2024b)</w:t>
            </w:r>
          </w:p>
        </w:tc>
      </w:tr>
      <w:tr w14:paraId="73631E7E" w14:textId="77777777" w:rsidTr="00EF1D20">
        <w:tblPrEx>
          <w:tblW w:w="8775" w:type="dxa"/>
          <w:tblCellMar>
            <w:left w:w="0" w:type="dxa"/>
            <w:right w:w="0" w:type="dxa"/>
          </w:tblCellMar>
          <w:tblLook w:val="04A0"/>
        </w:tblPrEx>
        <w:trPr>
          <w:trHeight w:val="405"/>
        </w:trPr>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D7654D" w14:paraId="5674866D" w14:textId="65F0A694">
            <w:pPr>
              <w:jc w:val="center"/>
              <w:textAlignment w:val="baseline"/>
              <w:rPr>
                <w:rFonts w:ascii="Times New Roman" w:hAnsi="Times New Roman"/>
                <w:b/>
                <w:bCs/>
                <w:sz w:val="18"/>
                <w:szCs w:val="18"/>
              </w:rPr>
            </w:pPr>
            <w:r w:rsidRPr="00527FF5">
              <w:rPr>
                <w:rFonts w:ascii="Calibri" w:hAnsi="Calibri" w:cs="Calibri"/>
                <w:b/>
                <w:bCs/>
                <w:sz w:val="18"/>
                <w:szCs w:val="18"/>
              </w:rPr>
              <w:t>Bekken</w:t>
            </w:r>
          </w:p>
        </w:tc>
        <w:tc>
          <w:tcPr>
            <w:tcW w:w="354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EF1D20" w14:paraId="4F55D4BF" w14:textId="77777777">
            <w:pPr>
              <w:textAlignment w:val="baseline"/>
              <w:rPr>
                <w:rFonts w:ascii="Times New Roman" w:hAnsi="Times New Roman"/>
                <w:sz w:val="18"/>
                <w:szCs w:val="18"/>
              </w:rPr>
            </w:pPr>
            <w:r w:rsidRPr="00527FF5">
              <w:rPr>
                <w:rFonts w:ascii="Calibri" w:hAnsi="Calibri" w:cs="Calibri"/>
                <w:sz w:val="18"/>
                <w:szCs w:val="18"/>
              </w:rPr>
              <w:t>5 mm og 3.5%  </w:t>
            </w:r>
          </w:p>
        </w:tc>
        <w:tc>
          <w:tcPr>
            <w:tcW w:w="411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EF1D20" w:rsidRPr="00527FF5" w:rsidP="00EF1D20" w14:paraId="2ACF725D" w14:textId="5812DC28">
            <w:pPr>
              <w:textAlignment w:val="baseline"/>
              <w:rPr>
                <w:rFonts w:ascii="Times New Roman" w:hAnsi="Times New Roman"/>
                <w:sz w:val="18"/>
                <w:szCs w:val="18"/>
                <w:lang w:val="en-US"/>
              </w:rPr>
            </w:pPr>
            <w:r w:rsidRPr="00527FF5">
              <w:rPr>
                <w:sz w:val="18"/>
                <w:szCs w:val="18"/>
                <w:lang w:val="en-US"/>
              </w:rPr>
              <w:t xml:space="preserve">Danish center for particle therapy (2024b) </w:t>
            </w:r>
          </w:p>
        </w:tc>
      </w:tr>
    </w:tbl>
    <w:p w:rsidR="001A3D0A" w:rsidRPr="00EF1D20" w:rsidP="001A3D0A" w14:paraId="3C95B744" w14:textId="77777777">
      <w:pPr>
        <w:textAlignment w:val="baseline"/>
        <w:rPr>
          <w:rFonts w:ascii="Calibri" w:hAnsi="Calibri" w:cs="Calibri"/>
          <w:sz w:val="22"/>
          <w:szCs w:val="22"/>
          <w:lang w:val="en-US"/>
        </w:rPr>
      </w:pPr>
      <w:r w:rsidRPr="00EF1D20">
        <w:rPr>
          <w:rFonts w:ascii="Calibri" w:hAnsi="Calibri" w:cs="Calibri"/>
          <w:sz w:val="22"/>
          <w:szCs w:val="22"/>
          <w:lang w:val="en-US"/>
        </w:rPr>
        <w:t> </w:t>
      </w:r>
    </w:p>
    <w:p w:rsidR="001A3D0A" w:rsidRPr="001A3D0A" w:rsidP="001A3D0A" w14:paraId="56A49055" w14:textId="77777777">
      <w:pPr>
        <w:textAlignment w:val="baseline"/>
        <w:rPr>
          <w:rFonts w:ascii="Calibri" w:hAnsi="Calibri" w:cs="Calibri"/>
          <w:sz w:val="22"/>
          <w:szCs w:val="22"/>
        </w:rPr>
      </w:pPr>
      <w:r w:rsidRPr="001A3D0A">
        <w:rPr>
          <w:rFonts w:ascii="Calibri" w:hAnsi="Calibri" w:cs="Calibri"/>
          <w:sz w:val="22"/>
          <w:szCs w:val="22"/>
        </w:rPr>
        <w:t>Om man ønsker en mer robust plan eller har vanskeligheter med å oppnå robusthet ved robust evaluering, kan verdiene over økes. </w:t>
      </w:r>
    </w:p>
    <w:p w:rsidR="001A3D0A" w:rsidRPr="001A3D0A" w:rsidP="001A3D0A" w14:paraId="0241E48D" w14:textId="77777777">
      <w:pPr>
        <w:textAlignment w:val="baseline"/>
        <w:rPr>
          <w:rFonts w:ascii="Calibri" w:hAnsi="Calibri" w:cs="Calibri"/>
          <w:sz w:val="22"/>
          <w:szCs w:val="22"/>
        </w:rPr>
      </w:pPr>
      <w:r w:rsidRPr="001A3D0A">
        <w:rPr>
          <w:rFonts w:ascii="Calibri" w:hAnsi="Calibri" w:cs="Calibri"/>
          <w:sz w:val="22"/>
          <w:szCs w:val="22"/>
        </w:rPr>
        <w:t>Det anbefales å velge robustoptimering på CTV, ev. croppet CTV der dette er aktuelt volum. </w:t>
      </w:r>
    </w:p>
    <w:p w:rsidR="001A3D0A" w:rsidP="001A3D0A" w14:paraId="34E99644" w14:textId="77777777">
      <w:pPr>
        <w:textAlignment w:val="baseline"/>
        <w:rPr>
          <w:rFonts w:ascii="Calibri" w:hAnsi="Calibri" w:cs="Calibri"/>
          <w:sz w:val="22"/>
          <w:szCs w:val="22"/>
        </w:rPr>
      </w:pPr>
      <w:r w:rsidRPr="001A3D0A">
        <w:rPr>
          <w:rFonts w:ascii="Calibri" w:hAnsi="Calibri" w:cs="Calibri"/>
          <w:sz w:val="22"/>
          <w:szCs w:val="22"/>
        </w:rPr>
        <w:t>Ved metallimplantater og artefakter som kan påvirke dosefordelingen bør dette tas hensyn til. Se dokumentet [</w:t>
      </w:r>
      <w:r w:rsidRPr="001A3D0A">
        <w:rPr>
          <w:rFonts w:ascii="Calibri" w:hAnsi="Calibri" w:cs="Calibri"/>
          <w:color w:val="0000FF"/>
          <w:sz w:val="22"/>
          <w:szCs w:val="22"/>
        </w:rPr>
        <w:t>REF! &lt;metaller og artefakter&gt;</w:t>
      </w:r>
      <w:r w:rsidRPr="001A3D0A">
        <w:rPr>
          <w:rFonts w:ascii="Calibri" w:hAnsi="Calibri" w:cs="Calibri"/>
          <w:sz w:val="22"/>
          <w:szCs w:val="22"/>
        </w:rPr>
        <w:t>]. </w:t>
      </w:r>
    </w:p>
    <w:p w:rsidR="003963AC" w:rsidRPr="001A3D0A" w:rsidP="001A3D0A" w14:paraId="00368C85" w14:textId="77777777">
      <w:pPr>
        <w:textAlignment w:val="baseline"/>
        <w:rPr>
          <w:rFonts w:ascii="Calibri" w:hAnsi="Calibri" w:cs="Calibri"/>
          <w:sz w:val="22"/>
          <w:szCs w:val="22"/>
        </w:rPr>
      </w:pPr>
    </w:p>
    <w:p w:rsidR="001A3D0A" w:rsidRPr="001A3D0A" w:rsidP="00561498" w14:paraId="47B97E51" w14:textId="77777777">
      <w:pPr>
        <w:pStyle w:val="Heading1"/>
      </w:pPr>
      <w:bookmarkStart w:id="23" w:name="_Toc256000021"/>
      <w:r w:rsidRPr="001A3D0A">
        <w:t>Planevaluering</w:t>
      </w:r>
      <w:bookmarkEnd w:id="23"/>
      <w:r w:rsidRPr="001A3D0A">
        <w:t> </w:t>
      </w:r>
    </w:p>
    <w:p w:rsidR="001A3D0A" w:rsidRPr="001A3D0A" w:rsidP="001A3D0A" w14:paraId="322FC584" w14:textId="77777777">
      <w:pPr>
        <w:textAlignment w:val="baseline"/>
        <w:rPr>
          <w:rFonts w:ascii="Calibri" w:hAnsi="Calibri" w:cs="Calibri"/>
          <w:sz w:val="22"/>
          <w:szCs w:val="22"/>
        </w:rPr>
      </w:pPr>
      <w:r w:rsidRPr="001A3D0A">
        <w:rPr>
          <w:rFonts w:ascii="Calibri" w:hAnsi="Calibri" w:cs="Calibri"/>
          <w:sz w:val="22"/>
          <w:szCs w:val="22"/>
        </w:rPr>
        <w:t>Planen skal evalueres både nominelt og robust. I tillegg bør dosen evalueres på feltbasis. </w:t>
      </w:r>
    </w:p>
    <w:p w:rsidR="001A3D0A" w:rsidRPr="001A3D0A" w:rsidP="001A3D0A" w14:paraId="6DB923E1" w14:textId="77777777">
      <w:pPr>
        <w:textAlignment w:val="baseline"/>
        <w:rPr>
          <w:rFonts w:ascii="Calibri" w:hAnsi="Calibri" w:cs="Calibri"/>
          <w:sz w:val="22"/>
          <w:szCs w:val="22"/>
        </w:rPr>
      </w:pPr>
      <w:r w:rsidRPr="001A3D0A">
        <w:rPr>
          <w:rFonts w:ascii="Calibri" w:hAnsi="Calibri" w:cs="Calibri"/>
          <w:sz w:val="22"/>
          <w:szCs w:val="22"/>
        </w:rPr>
        <w:t>Alle dosevolumkrav er veiledende og må alltid vurderes individuelt. </w:t>
      </w:r>
    </w:p>
    <w:p w:rsidR="001A3D0A" w:rsidRPr="001A3D0A" w:rsidP="00F86B48" w14:paraId="72A26127" w14:textId="77777777">
      <w:pPr>
        <w:pStyle w:val="Heading2"/>
      </w:pPr>
      <w:bookmarkStart w:id="24" w:name="_Toc256000022"/>
      <w:r w:rsidRPr="001A3D0A">
        <w:t>Doser til målvolum</w:t>
      </w:r>
      <w:bookmarkEnd w:id="24"/>
      <w:r w:rsidRPr="001A3D0A">
        <w:t> </w:t>
      </w:r>
    </w:p>
    <w:p w:rsidR="001A3D0A" w:rsidRPr="001A3D0A" w:rsidP="001A3D0A" w14:paraId="5A75FD18" w14:textId="77777777">
      <w:pPr>
        <w:textAlignment w:val="baseline"/>
        <w:rPr>
          <w:rFonts w:ascii="Calibri" w:hAnsi="Calibri" w:cs="Calibri"/>
          <w:sz w:val="22"/>
          <w:szCs w:val="22"/>
        </w:rPr>
      </w:pPr>
      <w:r w:rsidRPr="001A3D0A">
        <w:rPr>
          <w:rFonts w:ascii="Calibri" w:hAnsi="Calibri" w:cs="Calibri"/>
          <w:sz w:val="22"/>
          <w:szCs w:val="22"/>
        </w:rPr>
        <w:t>Alle doser er oppgitt i Gy (RBE), hvor RBE = 1.1. </w:t>
      </w:r>
    </w:p>
    <w:p w:rsidR="001A3D0A" w:rsidRPr="001A3D0A" w:rsidP="001A3D0A" w14:paraId="7B7B5928" w14:textId="77777777">
      <w:pPr>
        <w:textAlignment w:val="baseline"/>
        <w:rPr>
          <w:rFonts w:ascii="Calibri" w:hAnsi="Calibri" w:cs="Calibri"/>
          <w:sz w:val="22"/>
          <w:szCs w:val="22"/>
        </w:rPr>
      </w:pPr>
      <w:r w:rsidRPr="001A3D0A">
        <w:rPr>
          <w:rFonts w:ascii="Calibri" w:hAnsi="Calibri" w:cs="Calibri"/>
          <w:sz w:val="22"/>
          <w:szCs w:val="22"/>
        </w:rPr>
        <w:t>Plandosen normeres til median (D</w:t>
      </w:r>
      <w:r w:rsidRPr="001A3D0A">
        <w:rPr>
          <w:rFonts w:ascii="Calibri" w:hAnsi="Calibri" w:cs="Calibri"/>
          <w:sz w:val="17"/>
          <w:szCs w:val="17"/>
          <w:vertAlign w:val="subscript"/>
        </w:rPr>
        <w:t>50%</w:t>
      </w:r>
      <w:r w:rsidRPr="001A3D0A">
        <w:rPr>
          <w:rFonts w:ascii="Calibri" w:hAnsi="Calibri" w:cs="Calibri"/>
          <w:sz w:val="22"/>
          <w:szCs w:val="22"/>
        </w:rPr>
        <w:t>) i CTV, alternativt i croppet CTV. Ved flere dosenivåer skal mediandosen være nær måldosene.  </w:t>
      </w:r>
    </w:p>
    <w:p w:rsidR="00F86B48" w:rsidP="001A3D0A" w14:paraId="4BF4686D" w14:textId="77777777">
      <w:pPr>
        <w:textAlignment w:val="baseline"/>
        <w:rPr>
          <w:rFonts w:ascii="Calibri" w:hAnsi="Calibri" w:cs="Calibri"/>
          <w:sz w:val="22"/>
          <w:szCs w:val="22"/>
        </w:rPr>
      </w:pPr>
      <w:r w:rsidRPr="001A3D0A">
        <w:rPr>
          <w:rFonts w:ascii="Calibri" w:hAnsi="Calibri" w:cs="Calibri"/>
          <w:sz w:val="22"/>
          <w:szCs w:val="22"/>
        </w:rPr>
        <w:t xml:space="preserve">Store målvolum bør inspiseres visuelt da en lav </w:t>
      </w:r>
      <w:r w:rsidRPr="001A3D0A">
        <w:rPr>
          <w:rFonts w:ascii="Calibri" w:hAnsi="Calibri" w:cs="Calibri"/>
          <w:sz w:val="22"/>
          <w:szCs w:val="22"/>
          <w:u w:val="single"/>
        </w:rPr>
        <w:t>prosentvis</w:t>
      </w:r>
      <w:r w:rsidRPr="001A3D0A">
        <w:rPr>
          <w:rFonts w:ascii="Calibri" w:hAnsi="Calibri" w:cs="Calibri"/>
          <w:sz w:val="22"/>
          <w:szCs w:val="22"/>
        </w:rPr>
        <w:t xml:space="preserve"> andel kan tilsvare et signifikant absolutt volum, spesielt hvis målvolumet er stort.</w:t>
      </w:r>
    </w:p>
    <w:p w:rsidR="001A3D0A" w:rsidRPr="001A3D0A" w:rsidP="001A3D0A" w14:paraId="461852C2" w14:textId="6F091EED">
      <w:pPr>
        <w:textAlignment w:val="baseline"/>
        <w:rPr>
          <w:rFonts w:ascii="Calibri" w:hAnsi="Calibri" w:cs="Calibri"/>
          <w:sz w:val="22"/>
          <w:szCs w:val="22"/>
        </w:rPr>
      </w:pPr>
      <w:r w:rsidRPr="001A3D0A">
        <w:rPr>
          <w:rFonts w:ascii="Calibri" w:hAnsi="Calibri" w:cs="Calibri"/>
          <w:sz w:val="22"/>
          <w:szCs w:val="22"/>
        </w:rPr>
        <w:t> </w:t>
      </w:r>
    </w:p>
    <w:p w:rsidR="00F86B48" w:rsidP="00F86B48" w14:paraId="7F87CB49" w14:textId="78A2D9F9">
      <w:pPr>
        <w:pStyle w:val="Caption"/>
        <w:keepNext/>
      </w:pPr>
      <w:r>
        <w:t xml:space="preserve">Tabell </w:t>
      </w:r>
      <w:r w:rsidR="00EB53AF">
        <w:fldChar w:fldCharType="begin"/>
      </w:r>
      <w:r w:rsidR="00EB53AF">
        <w:instrText xml:space="preserve"> SEQ Tabell \* ARABIC </w:instrText>
      </w:r>
      <w:r w:rsidR="00EB53AF">
        <w:fldChar w:fldCharType="separate"/>
      </w:r>
      <w:r w:rsidR="00EB53AF">
        <w:t>6</w:t>
      </w:r>
      <w:r w:rsidR="00EB53AF">
        <w:rPr>
          <w:noProof/>
        </w:rPr>
        <w:fldChar w:fldCharType="end"/>
      </w:r>
      <w:r>
        <w:t>: Nominelle dekningskrav til GTV og CTV.</w:t>
      </w:r>
    </w:p>
    <w:tbl>
      <w:tblPr>
        <w:tblW w:w="3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2265"/>
      </w:tblGrid>
      <w:tr w14:paraId="49CEFFCA" w14:textId="77777777" w:rsidTr="00F86B48">
        <w:tblPrEx>
          <w:tblW w:w="3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260" w:type="dxa"/>
            <w:tcBorders>
              <w:top w:val="single" w:sz="6" w:space="0" w:color="4F81BD"/>
              <w:left w:val="single" w:sz="6" w:space="0" w:color="4F81BD"/>
              <w:bottom w:val="single" w:sz="6" w:space="0" w:color="4F81BD"/>
              <w:right w:val="nil"/>
            </w:tcBorders>
            <w:shd w:val="clear" w:color="auto" w:fill="4F81BD"/>
            <w:vAlign w:val="center"/>
            <w:hideMark/>
          </w:tcPr>
          <w:p w:rsidR="001A3D0A" w:rsidRPr="00527FF5" w:rsidP="001A3D0A" w14:paraId="607676A5"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Målvolum </w:t>
            </w:r>
          </w:p>
        </w:tc>
        <w:tc>
          <w:tcPr>
            <w:tcW w:w="2265" w:type="dxa"/>
            <w:tcBorders>
              <w:top w:val="single" w:sz="6" w:space="0" w:color="4F81BD"/>
              <w:left w:val="nil"/>
              <w:bottom w:val="single" w:sz="6" w:space="0" w:color="4F81BD"/>
              <w:right w:val="single" w:sz="6" w:space="0" w:color="4F81BD"/>
            </w:tcBorders>
            <w:shd w:val="clear" w:color="auto" w:fill="4F81BD"/>
            <w:vAlign w:val="center"/>
            <w:hideMark/>
          </w:tcPr>
          <w:p w:rsidR="001A3D0A" w:rsidRPr="00527FF5" w:rsidP="001A3D0A" w14:paraId="3BB27F6B"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Nominelt dekningskrav </w:t>
            </w:r>
          </w:p>
        </w:tc>
      </w:tr>
      <w:tr w14:paraId="3C23C823" w14:textId="77777777" w:rsidTr="00F86B48">
        <w:tblPrEx>
          <w:tblW w:w="3525" w:type="dxa"/>
          <w:tblCellMar>
            <w:left w:w="0" w:type="dxa"/>
            <w:right w:w="0" w:type="dxa"/>
          </w:tblCellMar>
          <w:tblLook w:val="04A0"/>
        </w:tblPrEx>
        <w:trPr>
          <w:trHeight w:val="300"/>
        </w:trPr>
        <w:tc>
          <w:tcPr>
            <w:tcW w:w="126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2537D302" w14:textId="77777777">
            <w:pPr>
              <w:textAlignment w:val="baseline"/>
              <w:rPr>
                <w:rFonts w:ascii="Times New Roman" w:hAnsi="Times New Roman"/>
                <w:b/>
                <w:bCs/>
                <w:sz w:val="18"/>
                <w:szCs w:val="18"/>
              </w:rPr>
            </w:pPr>
            <w:r w:rsidRPr="00527FF5">
              <w:rPr>
                <w:rFonts w:ascii="Calibri" w:hAnsi="Calibri" w:cs="Calibri"/>
                <w:b/>
                <w:bCs/>
                <w:sz w:val="18"/>
                <w:szCs w:val="18"/>
              </w:rPr>
              <w:t>GTV </w:t>
            </w:r>
          </w:p>
        </w:tc>
        <w:tc>
          <w:tcPr>
            <w:tcW w:w="226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69A6B968"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 xml:space="preserve">99.9% </w:t>
            </w:r>
            <w:r w:rsidRPr="00527FF5">
              <w:rPr>
                <w:rFonts w:ascii="Calibri" w:hAnsi="Calibri" w:cs="Calibri"/>
                <w:sz w:val="18"/>
                <w:szCs w:val="18"/>
              </w:rPr>
              <w:t>≥ 95% </w:t>
            </w:r>
          </w:p>
        </w:tc>
      </w:tr>
      <w:tr w14:paraId="19D52AD2" w14:textId="77777777" w:rsidTr="00F86B48">
        <w:tblPrEx>
          <w:tblW w:w="3525" w:type="dxa"/>
          <w:tblCellMar>
            <w:left w:w="0" w:type="dxa"/>
            <w:right w:w="0" w:type="dxa"/>
          </w:tblCellMar>
          <w:tblLook w:val="04A0"/>
        </w:tblPrEx>
        <w:trPr>
          <w:trHeight w:val="330"/>
        </w:trPr>
        <w:tc>
          <w:tcPr>
            <w:tcW w:w="126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43C1BC22" w14:textId="77777777">
            <w:pPr>
              <w:textAlignment w:val="baseline"/>
              <w:rPr>
                <w:rFonts w:ascii="Times New Roman" w:hAnsi="Times New Roman"/>
                <w:b/>
                <w:bCs/>
                <w:sz w:val="18"/>
                <w:szCs w:val="18"/>
              </w:rPr>
            </w:pPr>
            <w:r w:rsidRPr="00527FF5">
              <w:rPr>
                <w:rFonts w:ascii="Calibri" w:hAnsi="Calibri" w:cs="Calibri"/>
                <w:b/>
                <w:bCs/>
                <w:sz w:val="18"/>
                <w:szCs w:val="18"/>
              </w:rPr>
              <w:t>CTV_xx* </w:t>
            </w:r>
          </w:p>
        </w:tc>
        <w:tc>
          <w:tcPr>
            <w:tcW w:w="226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7A5B40E3"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98%</w:t>
            </w:r>
            <w:r w:rsidRPr="00527FF5">
              <w:rPr>
                <w:rFonts w:ascii="Calibri" w:hAnsi="Calibri" w:cs="Calibri"/>
                <w:sz w:val="18"/>
                <w:szCs w:val="18"/>
              </w:rPr>
              <w:t xml:space="preserve"> ≥ 95%  </w:t>
            </w:r>
          </w:p>
        </w:tc>
      </w:tr>
    </w:tbl>
    <w:p w:rsidR="001A3D0A" w:rsidRPr="001A3D0A" w:rsidP="001A3D0A" w14:paraId="21D87290" w14:textId="77777777">
      <w:pPr>
        <w:textAlignment w:val="baseline"/>
        <w:rPr>
          <w:rFonts w:ascii="Calibri" w:hAnsi="Calibri" w:cs="Calibri"/>
          <w:sz w:val="22"/>
          <w:szCs w:val="22"/>
        </w:rPr>
      </w:pPr>
      <w:r w:rsidRPr="001A3D0A">
        <w:rPr>
          <w:rFonts w:ascii="Calibri" w:hAnsi="Calibri" w:cs="Calibri"/>
          <w:sz w:val="16"/>
          <w:szCs w:val="16"/>
        </w:rPr>
        <w:t>* Gjelder croppet CTV der dette er aktuelt volum. </w:t>
      </w:r>
      <w:r w:rsidRPr="001A3D0A">
        <w:rPr>
          <w:rFonts w:ascii="Calibri" w:hAnsi="Calibri" w:cs="Calibri"/>
          <w:sz w:val="16"/>
          <w:szCs w:val="16"/>
        </w:rPr>
        <w:br/>
        <w:t> </w:t>
      </w:r>
    </w:p>
    <w:p w:rsidR="001A3D0A" w:rsidRPr="001A3D0A" w:rsidP="00EF1D20" w14:paraId="07AFC19A" w14:textId="77777777">
      <w:pPr>
        <w:pStyle w:val="Heading2"/>
      </w:pPr>
      <w:bookmarkStart w:id="25" w:name="_Toc256000023"/>
      <w:r w:rsidRPr="001A3D0A">
        <w:t>Doser til risikoorganer</w:t>
      </w:r>
      <w:bookmarkEnd w:id="25"/>
      <w:r w:rsidRPr="001A3D0A">
        <w:t> </w:t>
      </w:r>
    </w:p>
    <w:p w:rsidR="001A3D0A" w:rsidRPr="001A3D0A" w:rsidP="001A3D0A" w14:paraId="7CA2E8C3" w14:textId="77777777">
      <w:pPr>
        <w:textAlignment w:val="baseline"/>
        <w:rPr>
          <w:rFonts w:ascii="Calibri" w:hAnsi="Calibri" w:cs="Calibri"/>
          <w:sz w:val="22"/>
          <w:szCs w:val="22"/>
        </w:rPr>
      </w:pPr>
      <w:r w:rsidRPr="001A3D0A">
        <w:rPr>
          <w:rFonts w:ascii="Calibri" w:hAnsi="Calibri" w:cs="Calibri"/>
          <w:sz w:val="22"/>
          <w:szCs w:val="22"/>
        </w:rPr>
        <w:t>Toleransedoser vurderes opp mot retningslinjer for andre diagnosegrupper med kurativ stråleterapi i den aktuelle behandlingsregionen. For behandling med høye doser skal toleransedosene til risikoorganer vurderes i hvert enkelt tilfelle.  </w:t>
      </w:r>
    </w:p>
    <w:p w:rsidR="001A3D0A" w:rsidRPr="001A3D0A" w:rsidP="001A3D0A" w14:paraId="10C88D69" w14:textId="77777777">
      <w:pPr>
        <w:textAlignment w:val="baseline"/>
        <w:rPr>
          <w:rFonts w:ascii="Calibri" w:hAnsi="Calibri" w:cs="Calibri"/>
          <w:sz w:val="22"/>
          <w:szCs w:val="22"/>
        </w:rPr>
      </w:pPr>
      <w:r w:rsidRPr="001A3D0A">
        <w:rPr>
          <w:rFonts w:ascii="Calibri" w:hAnsi="Calibri" w:cs="Calibri"/>
          <w:sz w:val="22"/>
          <w:szCs w:val="22"/>
        </w:rPr>
        <w:t>Global D</w:t>
      </w:r>
      <w:r w:rsidRPr="001A3D0A">
        <w:rPr>
          <w:rFonts w:ascii="Calibri" w:hAnsi="Calibri" w:cs="Calibri"/>
          <w:sz w:val="17"/>
          <w:szCs w:val="17"/>
          <w:vertAlign w:val="subscript"/>
        </w:rPr>
        <w:t>2cc</w:t>
      </w:r>
      <w:r w:rsidRPr="001A3D0A">
        <w:rPr>
          <w:rFonts w:ascii="Calibri" w:hAnsi="Calibri" w:cs="Calibri"/>
          <w:sz w:val="22"/>
          <w:szCs w:val="22"/>
        </w:rPr>
        <w:t xml:space="preserve"> bør være under 107% av rekvirert dose.  </w:t>
      </w:r>
      <w:r w:rsidRPr="001A3D0A">
        <w:rPr>
          <w:rFonts w:ascii="Calibri" w:hAnsi="Calibri" w:cs="Calibri"/>
          <w:sz w:val="22"/>
          <w:szCs w:val="22"/>
        </w:rPr>
        <w:br/>
        <w:t> </w:t>
      </w:r>
      <w:r w:rsidRPr="001A3D0A">
        <w:rPr>
          <w:rFonts w:ascii="Calibri" w:hAnsi="Calibri" w:cs="Calibri"/>
          <w:sz w:val="22"/>
          <w:szCs w:val="22"/>
        </w:rPr>
        <w:br/>
        <w:t>For ekstremiteter skal sparing av deler av sirkumferensen prioriteres høyt for å bevare lymfedrenasje. Dosen til vektbærende skjelettstrukturer skal reduseres så langt det er mulig.  </w:t>
      </w:r>
      <w:r w:rsidRPr="001A3D0A">
        <w:rPr>
          <w:rFonts w:ascii="Calibri" w:hAnsi="Calibri" w:cs="Calibri"/>
          <w:sz w:val="22"/>
          <w:szCs w:val="22"/>
        </w:rPr>
        <w:br/>
        <w:t> </w:t>
      </w:r>
      <w:r w:rsidRPr="001A3D0A">
        <w:rPr>
          <w:rFonts w:ascii="Calibri" w:hAnsi="Calibri" w:cs="Calibri"/>
          <w:sz w:val="22"/>
          <w:szCs w:val="22"/>
        </w:rPr>
        <w:br/>
        <w:t>Ved serielle organer som nærmer seg dosegrensene i tabellen under skal det gjøres en eksplisitt vurdering av LET og variabel RBE, se [</w:t>
      </w:r>
      <w:r w:rsidRPr="001A3D0A">
        <w:rPr>
          <w:rFonts w:ascii="Calibri" w:hAnsi="Calibri" w:cs="Calibri"/>
          <w:color w:val="0000FF"/>
          <w:sz w:val="22"/>
          <w:szCs w:val="22"/>
        </w:rPr>
        <w:t>REF! &lt;LET-evaluering&gt;</w:t>
      </w:r>
      <w:r w:rsidRPr="001A3D0A">
        <w:rPr>
          <w:rFonts w:ascii="Calibri" w:hAnsi="Calibri" w:cs="Calibri"/>
          <w:sz w:val="22"/>
          <w:szCs w:val="22"/>
        </w:rPr>
        <w:t>]. </w:t>
      </w:r>
    </w:p>
    <w:p w:rsidR="00F86B48" w:rsidP="001A3D0A" w14:paraId="600D086D" w14:textId="77777777">
      <w:pPr>
        <w:textAlignment w:val="baseline"/>
        <w:rPr>
          <w:rFonts w:ascii="Calibri" w:hAnsi="Calibri" w:cs="Calibri"/>
          <w:i/>
          <w:iCs/>
          <w:color w:val="1F497D"/>
          <w:sz w:val="18"/>
          <w:szCs w:val="18"/>
        </w:rPr>
      </w:pPr>
    </w:p>
    <w:p w:rsidR="00F86B48" w:rsidP="00F86B48" w14:paraId="4E97988F" w14:textId="530DA6B9">
      <w:pPr>
        <w:pStyle w:val="Caption"/>
        <w:keepNext/>
      </w:pPr>
      <w:r>
        <w:t xml:space="preserve">Tabell </w:t>
      </w:r>
      <w:r w:rsidR="00EB53AF">
        <w:fldChar w:fldCharType="begin"/>
      </w:r>
      <w:r w:rsidR="00EB53AF">
        <w:instrText xml:space="preserve"> SEQ Tabell \* ARABIC </w:instrText>
      </w:r>
      <w:r w:rsidR="00EB53AF">
        <w:fldChar w:fldCharType="separate"/>
      </w:r>
      <w:r w:rsidR="00EB53AF">
        <w:t>7</w:t>
      </w:r>
      <w:r w:rsidR="00EB53AF">
        <w:rPr>
          <w:noProof/>
        </w:rPr>
        <w:fldChar w:fldCharType="end"/>
      </w:r>
      <w:r>
        <w:t>: Toleransedoser til risikoorganer</w:t>
      </w:r>
      <w:r w:rsidR="00A4565C">
        <w:t xml:space="preserve"> basert på faglige anbefalinger for doseplanlegging med protoner, Strålevernrapport 2017:6 og QUANTEC</w:t>
      </w:r>
      <w:r>
        <w:t>.</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6"/>
        <w:gridCol w:w="1701"/>
        <w:gridCol w:w="2127"/>
        <w:gridCol w:w="4091"/>
      </w:tblGrid>
      <w:tr w14:paraId="61F00C49" w14:textId="77777777" w:rsidTr="00D7654D">
        <w:tblPrEx>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126" w:type="dxa"/>
            <w:tcBorders>
              <w:top w:val="single" w:sz="6" w:space="0" w:color="4F81BD"/>
              <w:left w:val="single" w:sz="6" w:space="0" w:color="4F81BD"/>
              <w:bottom w:val="single" w:sz="6" w:space="0" w:color="4F81BD"/>
              <w:right w:val="nil"/>
            </w:tcBorders>
            <w:shd w:val="clear" w:color="auto" w:fill="4F81BD"/>
            <w:hideMark/>
          </w:tcPr>
          <w:p w:rsidR="001A3D0A" w:rsidRPr="00527FF5" w:rsidP="001A3D0A" w14:paraId="1C1E3D79" w14:textId="77777777">
            <w:pPr>
              <w:textAlignment w:val="baseline"/>
              <w:rPr>
                <w:rFonts w:ascii="Times New Roman" w:hAnsi="Times New Roman"/>
                <w:sz w:val="18"/>
                <w:szCs w:val="18"/>
              </w:rPr>
            </w:pPr>
            <w:r w:rsidRPr="00527FF5">
              <w:rPr>
                <w:rFonts w:ascii="Calibri" w:hAnsi="Calibri" w:cs="Calibri"/>
                <w:b/>
                <w:bCs/>
                <w:color w:val="FFFFFF"/>
                <w:sz w:val="18"/>
                <w:szCs w:val="18"/>
              </w:rPr>
              <w:t>Region </w:t>
            </w:r>
            <w:r w:rsidRPr="00527FF5">
              <w:rPr>
                <w:rFonts w:ascii="Calibri" w:hAnsi="Calibri" w:cs="Calibri"/>
                <w:color w:val="FFFFFF"/>
                <w:sz w:val="18"/>
                <w:szCs w:val="18"/>
              </w:rPr>
              <w:t> </w:t>
            </w:r>
          </w:p>
        </w:tc>
        <w:tc>
          <w:tcPr>
            <w:tcW w:w="1701" w:type="dxa"/>
            <w:tcBorders>
              <w:top w:val="single" w:sz="6" w:space="0" w:color="4F81BD"/>
              <w:left w:val="nil"/>
              <w:bottom w:val="single" w:sz="6" w:space="0" w:color="4F81BD"/>
              <w:right w:val="nil"/>
            </w:tcBorders>
            <w:shd w:val="clear" w:color="auto" w:fill="4F81BD"/>
            <w:hideMark/>
          </w:tcPr>
          <w:p w:rsidR="001A3D0A" w:rsidRPr="00527FF5" w:rsidP="001A3D0A" w14:paraId="4F290A6C" w14:textId="77777777">
            <w:pPr>
              <w:textAlignment w:val="baseline"/>
              <w:rPr>
                <w:rFonts w:ascii="Times New Roman" w:hAnsi="Times New Roman"/>
                <w:sz w:val="18"/>
                <w:szCs w:val="18"/>
              </w:rPr>
            </w:pPr>
            <w:r w:rsidRPr="00527FF5">
              <w:rPr>
                <w:rFonts w:ascii="Calibri" w:hAnsi="Calibri" w:cs="Calibri"/>
                <w:b/>
                <w:bCs/>
                <w:color w:val="FFFFFF"/>
                <w:sz w:val="18"/>
                <w:szCs w:val="18"/>
              </w:rPr>
              <w:t>Struktur  </w:t>
            </w:r>
            <w:r w:rsidRPr="00527FF5">
              <w:rPr>
                <w:rFonts w:ascii="Calibri" w:hAnsi="Calibri" w:cs="Calibri"/>
                <w:color w:val="FFFFFF"/>
                <w:sz w:val="18"/>
                <w:szCs w:val="18"/>
              </w:rPr>
              <w:t> </w:t>
            </w:r>
          </w:p>
        </w:tc>
        <w:tc>
          <w:tcPr>
            <w:tcW w:w="2127" w:type="dxa"/>
            <w:tcBorders>
              <w:top w:val="single" w:sz="6" w:space="0" w:color="4F81BD"/>
              <w:left w:val="nil"/>
              <w:bottom w:val="single" w:sz="6" w:space="0" w:color="4F81BD"/>
              <w:right w:val="nil"/>
            </w:tcBorders>
            <w:shd w:val="clear" w:color="auto" w:fill="4F81BD"/>
            <w:hideMark/>
          </w:tcPr>
          <w:p w:rsidR="001A3D0A" w:rsidRPr="00527FF5" w:rsidP="001A3D0A" w14:paraId="7481A54D" w14:textId="77777777">
            <w:pPr>
              <w:textAlignment w:val="baseline"/>
              <w:rPr>
                <w:rFonts w:ascii="Times New Roman" w:hAnsi="Times New Roman"/>
                <w:sz w:val="18"/>
                <w:szCs w:val="18"/>
              </w:rPr>
            </w:pPr>
            <w:r w:rsidRPr="00527FF5">
              <w:rPr>
                <w:rFonts w:ascii="Calibri" w:hAnsi="Calibri" w:cs="Calibri"/>
                <w:b/>
                <w:bCs/>
                <w:color w:val="FFFFFF"/>
                <w:sz w:val="18"/>
                <w:szCs w:val="18"/>
              </w:rPr>
              <w:t>Toleransedose (EQD</w:t>
            </w:r>
            <w:r w:rsidRPr="00527FF5">
              <w:rPr>
                <w:rFonts w:ascii="Calibri" w:hAnsi="Calibri" w:cs="Calibri"/>
                <w:b/>
                <w:bCs/>
                <w:color w:val="FFFFFF"/>
                <w:sz w:val="18"/>
                <w:szCs w:val="18"/>
                <w:vertAlign w:val="subscript"/>
              </w:rPr>
              <w:t>2</w:t>
            </w:r>
            <w:r w:rsidRPr="00527FF5">
              <w:rPr>
                <w:rFonts w:ascii="Calibri" w:hAnsi="Calibri" w:cs="Calibri"/>
                <w:b/>
                <w:bCs/>
                <w:color w:val="FFFFFF"/>
                <w:sz w:val="18"/>
                <w:szCs w:val="18"/>
              </w:rPr>
              <w:t>) </w:t>
            </w:r>
            <w:r w:rsidRPr="00527FF5">
              <w:rPr>
                <w:rFonts w:ascii="Calibri" w:hAnsi="Calibri" w:cs="Calibri"/>
                <w:color w:val="FFFFFF"/>
                <w:sz w:val="18"/>
                <w:szCs w:val="18"/>
              </w:rPr>
              <w:t> </w:t>
            </w:r>
          </w:p>
        </w:tc>
        <w:tc>
          <w:tcPr>
            <w:tcW w:w="4091" w:type="dxa"/>
            <w:tcBorders>
              <w:top w:val="single" w:sz="6" w:space="0" w:color="4F81BD"/>
              <w:left w:val="nil"/>
              <w:bottom w:val="single" w:sz="6" w:space="0" w:color="4F81BD"/>
              <w:right w:val="single" w:sz="6" w:space="0" w:color="4F81BD"/>
            </w:tcBorders>
            <w:shd w:val="clear" w:color="auto" w:fill="4F81BD"/>
            <w:hideMark/>
          </w:tcPr>
          <w:p w:rsidR="001A3D0A" w:rsidRPr="00527FF5" w:rsidP="001A3D0A" w14:paraId="2CAF7389" w14:textId="77777777">
            <w:pPr>
              <w:textAlignment w:val="baseline"/>
              <w:rPr>
                <w:rFonts w:ascii="Times New Roman" w:hAnsi="Times New Roman"/>
                <w:sz w:val="18"/>
                <w:szCs w:val="18"/>
              </w:rPr>
            </w:pPr>
            <w:r w:rsidRPr="00527FF5">
              <w:rPr>
                <w:rFonts w:ascii="Calibri" w:hAnsi="Calibri" w:cs="Calibri"/>
                <w:b/>
                <w:bCs/>
                <w:color w:val="FFFFFF"/>
                <w:sz w:val="18"/>
                <w:szCs w:val="18"/>
              </w:rPr>
              <w:t>Kommentar  </w:t>
            </w:r>
            <w:r w:rsidRPr="00527FF5">
              <w:rPr>
                <w:rFonts w:ascii="Calibri" w:hAnsi="Calibri" w:cs="Calibri"/>
                <w:color w:val="FFFFFF"/>
                <w:sz w:val="18"/>
                <w:szCs w:val="18"/>
              </w:rPr>
              <w:t> </w:t>
            </w:r>
          </w:p>
        </w:tc>
      </w:tr>
      <w:tr w14:paraId="358D52CB" w14:textId="77777777" w:rsidTr="00D7654D">
        <w:tblPrEx>
          <w:tblW w:w="9045" w:type="dxa"/>
          <w:tblCellMar>
            <w:left w:w="0" w:type="dxa"/>
            <w:right w:w="0" w:type="dxa"/>
          </w:tblCellMar>
          <w:tblLook w:val="04A0"/>
        </w:tblPrEx>
        <w:trPr>
          <w:trHeight w:val="300"/>
        </w:trPr>
        <w:tc>
          <w:tcPr>
            <w:tcW w:w="1126" w:type="dxa"/>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51142B3A" w14:textId="77777777">
            <w:pPr>
              <w:jc w:val="center"/>
              <w:textAlignment w:val="baseline"/>
              <w:rPr>
                <w:rFonts w:ascii="Times New Roman" w:hAnsi="Times New Roman"/>
                <w:sz w:val="18"/>
                <w:szCs w:val="18"/>
              </w:rPr>
            </w:pPr>
            <w:r w:rsidRPr="00527FF5">
              <w:rPr>
                <w:rFonts w:ascii="Calibri" w:hAnsi="Calibri" w:cs="Calibri"/>
                <w:b/>
                <w:bCs/>
                <w:sz w:val="18"/>
                <w:szCs w:val="18"/>
              </w:rPr>
              <w:t>Hode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0DCB40B1" w14:textId="77777777">
            <w:pPr>
              <w:textAlignment w:val="baseline"/>
              <w:rPr>
                <w:rFonts w:ascii="Times New Roman" w:hAnsi="Times New Roman"/>
                <w:sz w:val="18"/>
                <w:szCs w:val="18"/>
              </w:rPr>
            </w:pPr>
            <w:r w:rsidRPr="00527FF5">
              <w:rPr>
                <w:rFonts w:ascii="Calibri" w:hAnsi="Calibri" w:cs="Calibri"/>
                <w:b/>
                <w:bCs/>
                <w:sz w:val="18"/>
                <w:szCs w:val="18"/>
              </w:rPr>
              <w:t>-</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497D7A00" w14:textId="77777777">
            <w:pPr>
              <w:textAlignment w:val="baseline"/>
              <w:rPr>
                <w:rFonts w:ascii="Times New Roman" w:hAnsi="Times New Roman"/>
                <w:sz w:val="18"/>
                <w:szCs w:val="18"/>
              </w:rPr>
            </w:pP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6DBE3893" w14:textId="4D5E4A84">
            <w:pPr>
              <w:textAlignment w:val="baseline"/>
              <w:rPr>
                <w:rFonts w:ascii="Times New Roman" w:hAnsi="Times New Roman"/>
                <w:sz w:val="18"/>
                <w:szCs w:val="18"/>
              </w:rPr>
            </w:pPr>
            <w:r w:rsidRPr="00527FF5">
              <w:rPr>
                <w:rFonts w:ascii="Calibri" w:hAnsi="Calibri" w:cs="Calibri"/>
                <w:sz w:val="18"/>
                <w:szCs w:val="18"/>
              </w:rPr>
              <w:t xml:space="preserve">Se </w:t>
            </w:r>
            <w:r w:rsidR="00D7654D">
              <w:rPr>
                <w:rFonts w:ascii="Calibri" w:hAnsi="Calibri" w:cs="Calibri"/>
                <w:color w:val="0000FF"/>
                <w:sz w:val="18"/>
                <w:szCs w:val="18"/>
              </w:rPr>
              <w:t>Nasjonal r</w:t>
            </w:r>
            <w:r w:rsidRPr="00527FF5">
              <w:rPr>
                <w:rFonts w:ascii="Calibri" w:hAnsi="Calibri" w:cs="Calibri"/>
                <w:color w:val="0000FF"/>
                <w:sz w:val="18"/>
                <w:szCs w:val="18"/>
              </w:rPr>
              <w:t>etningslinje for protonplanlegging av tumor cerebri</w:t>
            </w:r>
            <w:r w:rsidR="00D7654D">
              <w:rPr>
                <w:rFonts w:ascii="Calibri" w:hAnsi="Calibri" w:cs="Calibri"/>
                <w:color w:val="0000FF"/>
                <w:sz w:val="18"/>
                <w:szCs w:val="18"/>
              </w:rPr>
              <w:t xml:space="preserve"> – del av hjerne.</w:t>
            </w:r>
            <w:r w:rsidRPr="00527FF5">
              <w:rPr>
                <w:rFonts w:ascii="Calibri" w:hAnsi="Calibri" w:cs="Calibri"/>
                <w:color w:val="0000FF"/>
                <w:sz w:val="18"/>
                <w:szCs w:val="18"/>
              </w:rPr>
              <w:t>  </w:t>
            </w:r>
          </w:p>
        </w:tc>
      </w:tr>
      <w:tr w14:paraId="74065144" w14:textId="77777777" w:rsidTr="00F86B48">
        <w:tblPrEx>
          <w:tblW w:w="9045" w:type="dxa"/>
          <w:tblCellMar>
            <w:left w:w="0" w:type="dxa"/>
            <w:right w:w="0" w:type="dxa"/>
          </w:tblCellMar>
          <w:tblLook w:val="04A0"/>
        </w:tblPrEx>
        <w:trPr>
          <w:trHeight w:val="210"/>
        </w:trPr>
        <w:tc>
          <w:tcPr>
            <w:tcW w:w="9045" w:type="dxa"/>
            <w:gridSpan w:val="4"/>
            <w:tcBorders>
              <w:top w:val="single" w:sz="6" w:space="0" w:color="95B3D7"/>
              <w:left w:val="single" w:sz="6" w:space="0" w:color="95B3D7"/>
              <w:bottom w:val="single" w:sz="6" w:space="0" w:color="95B3D7"/>
              <w:right w:val="single" w:sz="6" w:space="0" w:color="95B3D7"/>
            </w:tcBorders>
            <w:shd w:val="clear" w:color="auto" w:fill="A6A6A6"/>
            <w:vAlign w:val="center"/>
            <w:hideMark/>
          </w:tcPr>
          <w:p w:rsidR="001A3D0A" w:rsidRPr="00527FF5" w:rsidP="001A3D0A" w14:paraId="09AE0519" w14:textId="77777777">
            <w:pPr>
              <w:jc w:val="cente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r>
      <w:tr w14:paraId="5F5DA879" w14:textId="77777777" w:rsidTr="00D7654D">
        <w:tblPrEx>
          <w:tblW w:w="9045" w:type="dxa"/>
          <w:tblCellMar>
            <w:left w:w="0" w:type="dxa"/>
            <w:right w:w="0" w:type="dxa"/>
          </w:tblCellMar>
          <w:tblLook w:val="04A0"/>
        </w:tblPrEx>
        <w:trPr>
          <w:trHeight w:val="300"/>
        </w:trPr>
        <w:tc>
          <w:tcPr>
            <w:tcW w:w="1126" w:type="dxa"/>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31689EF5" w14:textId="77777777">
            <w:pPr>
              <w:jc w:val="center"/>
              <w:textAlignment w:val="baseline"/>
              <w:rPr>
                <w:rFonts w:ascii="Times New Roman" w:hAnsi="Times New Roman"/>
                <w:sz w:val="18"/>
                <w:szCs w:val="18"/>
              </w:rPr>
            </w:pPr>
            <w:r w:rsidRPr="00527FF5">
              <w:rPr>
                <w:rFonts w:ascii="Calibri" w:hAnsi="Calibri" w:cs="Calibri"/>
                <w:b/>
                <w:bCs/>
                <w:sz w:val="18"/>
                <w:szCs w:val="18"/>
              </w:rPr>
              <w:t>Hode-Hals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15A6DD38" w14:textId="77777777">
            <w:pPr>
              <w:textAlignment w:val="baseline"/>
              <w:rPr>
                <w:rFonts w:ascii="Times New Roman" w:hAnsi="Times New Roman"/>
                <w:sz w:val="18"/>
                <w:szCs w:val="18"/>
              </w:rPr>
            </w:pPr>
            <w:r w:rsidRPr="00527FF5">
              <w:rPr>
                <w:rFonts w:ascii="Calibri" w:hAnsi="Calibri" w:cs="Calibri"/>
                <w:b/>
                <w:bCs/>
                <w:sz w:val="18"/>
                <w:szCs w:val="18"/>
              </w:rPr>
              <w:t>-</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3D817A5F" w14:textId="77777777">
            <w:pPr>
              <w:textAlignment w:val="baseline"/>
              <w:rPr>
                <w:rFonts w:ascii="Times New Roman" w:hAnsi="Times New Roman"/>
                <w:sz w:val="18"/>
                <w:szCs w:val="18"/>
              </w:rPr>
            </w:pP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2B405DDD" w14:textId="51382FCB">
            <w:pPr>
              <w:textAlignment w:val="baseline"/>
              <w:rPr>
                <w:rFonts w:ascii="Times New Roman" w:hAnsi="Times New Roman"/>
                <w:sz w:val="18"/>
                <w:szCs w:val="18"/>
              </w:rPr>
            </w:pPr>
            <w:r w:rsidRPr="00527FF5">
              <w:rPr>
                <w:rFonts w:ascii="Calibri" w:hAnsi="Calibri" w:cs="Calibri"/>
                <w:sz w:val="18"/>
                <w:szCs w:val="18"/>
              </w:rPr>
              <w:t xml:space="preserve">Se </w:t>
            </w:r>
            <w:r w:rsidR="00D7654D">
              <w:rPr>
                <w:rFonts w:ascii="Calibri" w:hAnsi="Calibri" w:cs="Calibri"/>
                <w:color w:val="0000FF"/>
                <w:sz w:val="18"/>
                <w:szCs w:val="18"/>
              </w:rPr>
              <w:t>Nasjonal r</w:t>
            </w:r>
            <w:r w:rsidRPr="00527FF5">
              <w:rPr>
                <w:rFonts w:ascii="Calibri" w:hAnsi="Calibri" w:cs="Calibri"/>
                <w:color w:val="0000FF"/>
                <w:sz w:val="18"/>
                <w:szCs w:val="18"/>
              </w:rPr>
              <w:t xml:space="preserve">etningslinje for protonplanlegging av </w:t>
            </w:r>
            <w:r w:rsidR="00D7654D">
              <w:rPr>
                <w:rFonts w:ascii="Calibri" w:hAnsi="Calibri" w:cs="Calibri"/>
                <w:color w:val="0000FF"/>
                <w:sz w:val="18"/>
                <w:szCs w:val="18"/>
              </w:rPr>
              <w:t>ØNH.</w:t>
            </w:r>
            <w:r w:rsidRPr="00527FF5">
              <w:rPr>
                <w:rFonts w:ascii="Calibri" w:hAnsi="Calibri" w:cs="Calibri"/>
                <w:color w:val="0000FF"/>
                <w:sz w:val="18"/>
                <w:szCs w:val="18"/>
              </w:rPr>
              <w:t>  </w:t>
            </w:r>
          </w:p>
        </w:tc>
      </w:tr>
      <w:tr w14:paraId="59522348" w14:textId="77777777" w:rsidTr="00D7654D">
        <w:tblPrEx>
          <w:tblW w:w="9045" w:type="dxa"/>
          <w:tblCellMar>
            <w:left w:w="0" w:type="dxa"/>
            <w:right w:w="0" w:type="dxa"/>
          </w:tblCellMar>
          <w:tblLook w:val="04A0"/>
        </w:tblPrEx>
        <w:trPr>
          <w:trHeight w:val="300"/>
        </w:trPr>
        <w:tc>
          <w:tcPr>
            <w:tcW w:w="1126"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271504D9" w14:textId="77777777">
            <w:pP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6C67B8F8" w14:textId="77777777">
            <w:pPr>
              <w:textAlignment w:val="baseline"/>
              <w:rPr>
                <w:rFonts w:ascii="Times New Roman" w:hAnsi="Times New Roman"/>
                <w:sz w:val="18"/>
                <w:szCs w:val="18"/>
              </w:rPr>
            </w:pP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622FEE83" w14:textId="77777777">
            <w:pPr>
              <w:textAlignment w:val="baseline"/>
              <w:rPr>
                <w:rFonts w:ascii="Times New Roman" w:hAnsi="Times New Roman"/>
                <w:sz w:val="18"/>
                <w:szCs w:val="18"/>
              </w:rPr>
            </w:pP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A6A6A6"/>
            <w:hideMark/>
          </w:tcPr>
          <w:p w:rsidR="001A3D0A" w:rsidRPr="00527FF5" w:rsidP="001A3D0A" w14:paraId="63DE117F" w14:textId="77777777">
            <w:pPr>
              <w:textAlignment w:val="baseline"/>
              <w:rPr>
                <w:rFonts w:ascii="Times New Roman" w:hAnsi="Times New Roman"/>
                <w:sz w:val="18"/>
                <w:szCs w:val="18"/>
              </w:rPr>
            </w:pPr>
            <w:r w:rsidRPr="00527FF5">
              <w:rPr>
                <w:rFonts w:ascii="Calibri" w:hAnsi="Calibri" w:cs="Calibri"/>
                <w:sz w:val="18"/>
                <w:szCs w:val="18"/>
              </w:rPr>
              <w:t>  </w:t>
            </w:r>
          </w:p>
        </w:tc>
      </w:tr>
      <w:tr w14:paraId="1D803E19" w14:textId="77777777" w:rsidTr="00D7654D">
        <w:tblPrEx>
          <w:tblW w:w="9045" w:type="dxa"/>
          <w:tblCellMar>
            <w:left w:w="0" w:type="dxa"/>
            <w:right w:w="0" w:type="dxa"/>
          </w:tblCellMar>
          <w:tblLook w:val="04A0"/>
        </w:tblPrEx>
        <w:trPr>
          <w:trHeight w:val="300"/>
        </w:trPr>
        <w:tc>
          <w:tcPr>
            <w:tcW w:w="1126" w:type="dxa"/>
            <w:vMerge w:val="restart"/>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1A3D0A" w:rsidRPr="00527FF5" w:rsidP="001A3D0A" w14:paraId="3F205B72" w14:textId="77777777">
            <w:pPr>
              <w:jc w:val="center"/>
              <w:textAlignment w:val="baseline"/>
              <w:rPr>
                <w:rFonts w:ascii="Times New Roman" w:hAnsi="Times New Roman"/>
                <w:sz w:val="18"/>
                <w:szCs w:val="18"/>
              </w:rPr>
            </w:pPr>
            <w:r w:rsidRPr="00527FF5">
              <w:rPr>
                <w:rFonts w:ascii="Calibri" w:hAnsi="Calibri" w:cs="Calibri"/>
                <w:b/>
                <w:bCs/>
                <w:sz w:val="18"/>
                <w:szCs w:val="18"/>
              </w:rPr>
              <w:t>Thorax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5760F988" w14:textId="77777777">
            <w:pPr>
              <w:textAlignment w:val="baseline"/>
              <w:rPr>
                <w:rFonts w:ascii="Times New Roman" w:hAnsi="Times New Roman"/>
                <w:sz w:val="18"/>
                <w:szCs w:val="18"/>
              </w:rPr>
            </w:pPr>
            <w:r w:rsidRPr="00527FF5">
              <w:rPr>
                <w:rFonts w:ascii="Calibri" w:hAnsi="Calibri" w:cs="Calibri"/>
                <w:b/>
                <w:bCs/>
                <w:sz w:val="18"/>
                <w:szCs w:val="18"/>
              </w:rPr>
              <w:t>SpinalCord</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3E51BD6F"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0.03cc</w:t>
            </w:r>
            <w:r w:rsidRPr="00527FF5">
              <w:rPr>
                <w:rFonts w:ascii="Calibri" w:hAnsi="Calibri" w:cs="Calibri"/>
                <w:sz w:val="18"/>
                <w:szCs w:val="18"/>
              </w:rPr>
              <w:t xml:space="preserve"> ≤ 50 Gy (RBE)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1A3D0A" w:rsidRPr="00527FF5" w:rsidP="001A3D0A" w14:paraId="60DD1BCC" w14:textId="3E5D08A1">
            <w:pPr>
              <w:textAlignment w:val="baseline"/>
              <w:rPr>
                <w:rFonts w:ascii="Times New Roman" w:hAnsi="Times New Roman"/>
                <w:sz w:val="18"/>
                <w:szCs w:val="18"/>
              </w:rPr>
            </w:pPr>
            <w:r w:rsidRPr="00527FF5">
              <w:rPr>
                <w:rFonts w:ascii="Calibri" w:hAnsi="Calibri" w:cs="Calibri"/>
                <w:sz w:val="18"/>
                <w:szCs w:val="18"/>
              </w:rPr>
              <w:t>Marks et al. (2010) </w:t>
            </w:r>
          </w:p>
        </w:tc>
      </w:tr>
      <w:tr w14:paraId="4B5A8C46"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5BDB0884"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2C63F946" w14:textId="77777777">
            <w:pPr>
              <w:textAlignment w:val="baseline"/>
              <w:rPr>
                <w:rFonts w:cstheme="minorHAnsi"/>
                <w:b/>
                <w:bCs/>
                <w:sz w:val="18"/>
                <w:szCs w:val="18"/>
              </w:rPr>
            </w:pPr>
            <w:r w:rsidRPr="00527FF5">
              <w:rPr>
                <w:rFonts w:cstheme="minorHAnsi"/>
                <w:b/>
                <w:bCs/>
                <w:sz w:val="18"/>
                <w:szCs w:val="18"/>
              </w:rPr>
              <w:t>Lung_L/R </w:t>
            </w:r>
          </w:p>
          <w:p w:rsidR="00542714" w:rsidRPr="00527FF5" w:rsidP="001A3D0A" w14:paraId="7CE29C12" w14:textId="50F256EA">
            <w:pPr>
              <w:textAlignment w:val="baseline"/>
              <w:rPr>
                <w:rFonts w:ascii="Times New Roman" w:hAnsi="Times New Roman"/>
                <w:sz w:val="18"/>
                <w:szCs w:val="18"/>
              </w:rPr>
            </w:pPr>
            <w:r w:rsidRPr="00527FF5">
              <w:rPr>
                <w:rFonts w:cstheme="minorHAnsi"/>
                <w:b/>
                <w:bCs/>
                <w:sz w:val="18"/>
                <w:szCs w:val="18"/>
              </w:rPr>
              <w:t>Lungs</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1C8A62DD" w14:textId="77777777">
            <w:pPr>
              <w:textAlignment w:val="baseline"/>
              <w:rPr>
                <w:rFonts w:ascii="Times New Roman" w:hAnsi="Times New Roman"/>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mean</w:t>
            </w:r>
            <w:r w:rsidRPr="00527FF5">
              <w:rPr>
                <w:rFonts w:ascii="Calibri" w:hAnsi="Calibri" w:cs="Calibri"/>
                <w:sz w:val="18"/>
                <w:szCs w:val="18"/>
                <w:lang w:val="en-US"/>
              </w:rPr>
              <w:t xml:space="preserve"> ≤ 20 Gy (RBE)  </w:t>
            </w:r>
          </w:p>
          <w:p w:rsidR="001A3D0A" w:rsidRPr="00527FF5" w:rsidP="001A3D0A" w14:paraId="7D53B5C7" w14:textId="49C4D8B8">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20Gy (RBE)</w:t>
            </w:r>
            <w:r w:rsidRPr="00527FF5">
              <w:rPr>
                <w:rFonts w:ascii="Calibri" w:hAnsi="Calibri" w:cs="Calibri"/>
                <w:sz w:val="18"/>
                <w:szCs w:val="18"/>
                <w:lang w:val="en-US"/>
              </w:rPr>
              <w:t xml:space="preserve"> ≤ </w:t>
            </w:r>
            <w:r w:rsidRPr="00527FF5" w:rsidR="00542714">
              <w:rPr>
                <w:rFonts w:ascii="Calibri" w:hAnsi="Calibri" w:cs="Calibri"/>
                <w:sz w:val="18"/>
                <w:szCs w:val="18"/>
                <w:lang w:val="en-US"/>
              </w:rPr>
              <w:t>3</w:t>
            </w:r>
            <w:r w:rsidRPr="00527FF5">
              <w:rPr>
                <w:rFonts w:ascii="Calibri" w:hAnsi="Calibri" w:cs="Calibri"/>
                <w:sz w:val="18"/>
                <w:szCs w:val="18"/>
                <w:lang w:val="en-US"/>
              </w:rPr>
              <w:t>0%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1A3D0A" w:rsidRPr="00527FF5" w:rsidP="001A3D0A" w14:paraId="0F71943F" w14:textId="322F1B04">
            <w:pPr>
              <w:textAlignment w:val="baseline"/>
              <w:rPr>
                <w:rFonts w:ascii="Times New Roman" w:hAnsi="Times New Roman"/>
                <w:sz w:val="18"/>
                <w:szCs w:val="18"/>
              </w:rPr>
            </w:pPr>
            <w:r w:rsidRPr="00527FF5">
              <w:rPr>
                <w:rFonts w:ascii="Calibri" w:hAnsi="Calibri" w:cs="Calibri"/>
                <w:sz w:val="18"/>
                <w:szCs w:val="18"/>
              </w:rPr>
              <w:t>Marks et al. (2010) </w:t>
            </w:r>
          </w:p>
          <w:p w:rsidR="001A3D0A" w:rsidRPr="00527FF5" w:rsidP="001A3D0A" w14:paraId="738EE0FF" w14:textId="77777777">
            <w:pPr>
              <w:textAlignment w:val="baseline"/>
              <w:rPr>
                <w:rFonts w:ascii="Times New Roman" w:hAnsi="Times New Roman"/>
                <w:sz w:val="18"/>
                <w:szCs w:val="18"/>
              </w:rPr>
            </w:pPr>
            <w:r w:rsidRPr="00527FF5">
              <w:rPr>
                <w:rFonts w:ascii="Segoe UI" w:hAnsi="Segoe UI" w:cs="Segoe UI"/>
                <w:sz w:val="18"/>
                <w:szCs w:val="18"/>
              </w:rPr>
              <w:t> </w:t>
            </w:r>
          </w:p>
        </w:tc>
      </w:tr>
      <w:tr w14:paraId="6ADE6F7C"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5B5F1198"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6932D9E5" w14:textId="77777777">
            <w:pPr>
              <w:textAlignment w:val="baseline"/>
              <w:rPr>
                <w:rFonts w:ascii="Times New Roman" w:hAnsi="Times New Roman"/>
                <w:sz w:val="18"/>
                <w:szCs w:val="18"/>
              </w:rPr>
            </w:pPr>
            <w:r w:rsidRPr="00527FF5">
              <w:rPr>
                <w:rFonts w:ascii="Calibri" w:hAnsi="Calibri" w:cs="Calibri"/>
                <w:b/>
                <w:bCs/>
                <w:sz w:val="18"/>
                <w:szCs w:val="18"/>
              </w:rPr>
              <w:t>Heart</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5EDE12B0" w14:textId="64BF90E5">
            <w:pPr>
              <w:textAlignment w:val="baseline"/>
              <w:rPr>
                <w:rFonts w:ascii="Times New Roman" w:hAnsi="Times New Roman"/>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mean</w:t>
            </w:r>
            <w:r w:rsidRPr="00527FF5">
              <w:rPr>
                <w:rFonts w:ascii="Calibri" w:hAnsi="Calibri" w:cs="Calibri"/>
                <w:sz w:val="18"/>
                <w:szCs w:val="18"/>
                <w:lang w:val="en-US"/>
              </w:rPr>
              <w:t xml:space="preserve"> ≤ 26 Gy (RBE)   </w:t>
            </w:r>
          </w:p>
          <w:p w:rsidR="00713DB8" w:rsidRPr="00527FF5" w:rsidP="00713DB8" w14:paraId="087FC461" w14:textId="1ED73B3B">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30Gy (RBE)</w:t>
            </w:r>
            <w:r w:rsidRPr="00527FF5">
              <w:rPr>
                <w:rFonts w:ascii="Calibri" w:hAnsi="Calibri" w:cs="Calibri"/>
                <w:sz w:val="18"/>
                <w:szCs w:val="18"/>
                <w:lang w:val="en-US"/>
              </w:rPr>
              <w:t xml:space="preserve"> ≤ 46%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5AA57765" w14:textId="33111A6A">
            <w:pPr>
              <w:textAlignment w:val="baseline"/>
              <w:rPr>
                <w:rFonts w:ascii="Times New Roman" w:hAnsi="Times New Roman"/>
                <w:sz w:val="18"/>
                <w:szCs w:val="18"/>
              </w:rPr>
            </w:pPr>
            <w:r w:rsidRPr="00527FF5">
              <w:rPr>
                <w:rFonts w:ascii="Calibri" w:hAnsi="Calibri" w:cs="Calibri"/>
                <w:sz w:val="18"/>
                <w:szCs w:val="18"/>
              </w:rPr>
              <w:t>Marks et al. (2010) </w:t>
            </w:r>
          </w:p>
          <w:p w:rsidR="00713DB8" w:rsidRPr="00527FF5" w:rsidP="00713DB8" w14:paraId="31CEF01E" w14:textId="18E240F9">
            <w:pPr>
              <w:textAlignment w:val="baseline"/>
              <w:rPr>
                <w:rFonts w:ascii="Times New Roman" w:hAnsi="Times New Roman"/>
                <w:sz w:val="18"/>
                <w:szCs w:val="18"/>
              </w:rPr>
            </w:pPr>
            <w:r w:rsidRPr="00527FF5">
              <w:rPr>
                <w:rFonts w:ascii="Segoe UI" w:hAnsi="Segoe UI" w:cs="Segoe UI"/>
                <w:sz w:val="18"/>
                <w:szCs w:val="18"/>
              </w:rPr>
              <w:t> </w:t>
            </w:r>
          </w:p>
        </w:tc>
      </w:tr>
      <w:tr w14:paraId="1475263A"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7267D7E9"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14D30D31" w14:textId="77777777">
            <w:pPr>
              <w:textAlignment w:val="baseline"/>
              <w:rPr>
                <w:rFonts w:ascii="Times New Roman" w:hAnsi="Times New Roman"/>
                <w:sz w:val="18"/>
                <w:szCs w:val="18"/>
              </w:rPr>
            </w:pPr>
            <w:r w:rsidRPr="00527FF5">
              <w:rPr>
                <w:rFonts w:ascii="Calibri" w:hAnsi="Calibri" w:cs="Calibri"/>
                <w:b/>
                <w:bCs/>
                <w:sz w:val="18"/>
                <w:szCs w:val="18"/>
              </w:rPr>
              <w:t>Esophagus</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3F91ACE1" w14:textId="77777777">
            <w:pPr>
              <w:textAlignment w:val="baseline"/>
              <w:rPr>
                <w:rFonts w:ascii="Calibri" w:hAnsi="Calibri" w:cs="Calibri"/>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mean</w:t>
            </w:r>
            <w:r w:rsidRPr="00527FF5">
              <w:rPr>
                <w:rFonts w:ascii="Calibri" w:hAnsi="Calibri" w:cs="Calibri"/>
                <w:sz w:val="18"/>
                <w:szCs w:val="18"/>
                <w:lang w:val="en-US"/>
              </w:rPr>
              <w:t xml:space="preserve"> ≤ 34 Gy (RBE) </w:t>
            </w:r>
          </w:p>
          <w:p w:rsidR="00713DB8" w:rsidRPr="00527FF5" w:rsidP="00713DB8" w14:paraId="70562C1F" w14:textId="77777777">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70Gy (RBE)</w:t>
            </w:r>
            <w:r w:rsidRPr="00527FF5">
              <w:rPr>
                <w:rFonts w:ascii="Calibri" w:hAnsi="Calibri" w:cs="Calibri"/>
                <w:sz w:val="18"/>
                <w:szCs w:val="18"/>
                <w:lang w:val="en-US"/>
              </w:rPr>
              <w:t xml:space="preserve"> &lt; 20% </w:t>
            </w:r>
          </w:p>
          <w:p w:rsidR="00713DB8" w:rsidRPr="00527FF5" w:rsidP="00713DB8" w14:paraId="7FADDAE7" w14:textId="766FCCC9">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50Gy (RBE)</w:t>
            </w:r>
            <w:r w:rsidRPr="00527FF5">
              <w:rPr>
                <w:rFonts w:ascii="Calibri" w:hAnsi="Calibri" w:cs="Calibri"/>
                <w:sz w:val="18"/>
                <w:szCs w:val="18"/>
                <w:lang w:val="en-US"/>
              </w:rPr>
              <w:t xml:space="preserve"> &lt; 40%  </w:t>
            </w:r>
          </w:p>
          <w:p w:rsidR="00713DB8" w:rsidRPr="00527FF5" w:rsidP="00713DB8" w14:paraId="4BB3C268" w14:textId="1A9A7898">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35Gy (RBE)</w:t>
            </w:r>
            <w:r w:rsidRPr="00527FF5">
              <w:rPr>
                <w:rFonts w:ascii="Calibri" w:hAnsi="Calibri" w:cs="Calibri"/>
                <w:sz w:val="18"/>
                <w:szCs w:val="18"/>
                <w:lang w:val="en-US"/>
              </w:rPr>
              <w:t xml:space="preserve"> &lt; 50%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4A35FE9A" w14:textId="65A86505">
            <w:pPr>
              <w:textAlignment w:val="baseline"/>
              <w:rPr>
                <w:rFonts w:ascii="Times New Roman" w:hAnsi="Times New Roman"/>
                <w:sz w:val="18"/>
                <w:szCs w:val="18"/>
              </w:rPr>
            </w:pPr>
            <w:r w:rsidRPr="00527FF5">
              <w:rPr>
                <w:rFonts w:ascii="Calibri" w:hAnsi="Calibri" w:cs="Calibri"/>
                <w:sz w:val="18"/>
                <w:szCs w:val="18"/>
              </w:rPr>
              <w:t>Marks et al. (2010)</w:t>
            </w:r>
          </w:p>
        </w:tc>
      </w:tr>
      <w:tr w14:paraId="6B353405"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6D482F19"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0543BC7C" w14:textId="77777777">
            <w:pPr>
              <w:textAlignment w:val="baseline"/>
              <w:rPr>
                <w:rFonts w:ascii="Times New Roman" w:hAnsi="Times New Roman"/>
                <w:sz w:val="18"/>
                <w:szCs w:val="18"/>
              </w:rPr>
            </w:pPr>
            <w:r w:rsidRPr="00527FF5">
              <w:rPr>
                <w:rFonts w:ascii="Calibri" w:hAnsi="Calibri" w:cs="Calibri"/>
                <w:b/>
                <w:bCs/>
                <w:sz w:val="18"/>
                <w:szCs w:val="18"/>
              </w:rPr>
              <w:t>BrachialPlexus_L/R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2A291D4"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maks</w:t>
            </w:r>
            <w:r w:rsidRPr="00527FF5">
              <w:rPr>
                <w:rFonts w:ascii="Calibri" w:hAnsi="Calibri" w:cs="Calibri"/>
                <w:sz w:val="18"/>
                <w:szCs w:val="18"/>
              </w:rPr>
              <w:t xml:space="preserve"> ≤ 60 Gy (RBE)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01C12F03" w14:textId="26E4E671">
            <w:pPr>
              <w:textAlignment w:val="baseline"/>
              <w:rPr>
                <w:rFonts w:ascii="Times New Roman" w:hAnsi="Times New Roman"/>
                <w:sz w:val="18"/>
                <w:szCs w:val="18"/>
              </w:rPr>
            </w:pPr>
            <w:r w:rsidRPr="00527FF5">
              <w:rPr>
                <w:rFonts w:ascii="Calibri" w:hAnsi="Calibri" w:cs="Calibri"/>
                <w:sz w:val="18"/>
                <w:szCs w:val="18"/>
              </w:rPr>
              <w:t>Norsk Lunge Cancer Gruppe (2017) </w:t>
            </w:r>
          </w:p>
        </w:tc>
      </w:tr>
      <w:tr w14:paraId="3FF059D4"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73198AEB"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35F347E4" w14:textId="77777777">
            <w:pPr>
              <w:textAlignment w:val="baseline"/>
              <w:rPr>
                <w:rFonts w:ascii="Times New Roman" w:hAnsi="Times New Roman"/>
                <w:sz w:val="18"/>
                <w:szCs w:val="18"/>
              </w:rPr>
            </w:pPr>
            <w:r w:rsidRPr="00527FF5">
              <w:rPr>
                <w:rFonts w:ascii="Calibri" w:hAnsi="Calibri" w:cs="Calibri"/>
                <w:b/>
                <w:bCs/>
                <w:sz w:val="18"/>
                <w:szCs w:val="18"/>
              </w:rPr>
              <w:t>Breast_L/R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5119CCAB" w14:textId="77777777">
            <w:pPr>
              <w:textAlignment w:val="baseline"/>
              <w:rPr>
                <w:rFonts w:ascii="Times New Roman" w:hAnsi="Times New Roman"/>
                <w:sz w:val="18"/>
                <w:szCs w:val="18"/>
              </w:rPr>
            </w:pPr>
            <w:r w:rsidRPr="00527FF5">
              <w:rPr>
                <w:rFonts w:ascii="Calibri" w:hAnsi="Calibri" w:cs="Calibri"/>
                <w:sz w:val="18"/>
                <w:szCs w:val="18"/>
              </w:rPr>
              <w:t>V</w:t>
            </w:r>
            <w:r w:rsidRPr="00527FF5">
              <w:rPr>
                <w:rFonts w:ascii="Calibri" w:hAnsi="Calibri" w:cs="Calibri"/>
                <w:sz w:val="18"/>
                <w:szCs w:val="18"/>
                <w:vertAlign w:val="subscript"/>
              </w:rPr>
              <w:t>10Gy (RBE)</w:t>
            </w:r>
            <w:r w:rsidRPr="00527FF5">
              <w:rPr>
                <w:rFonts w:ascii="Calibri" w:hAnsi="Calibri" w:cs="Calibri"/>
                <w:sz w:val="18"/>
                <w:szCs w:val="18"/>
              </w:rPr>
              <w:t xml:space="preserve"> ≤ 10% (ønskelig)  </w:t>
            </w:r>
          </w:p>
          <w:p w:rsidR="00713DB8" w:rsidRPr="00527FF5" w:rsidP="00713DB8" w14:paraId="65CDA9F7" w14:textId="77777777">
            <w:pPr>
              <w:textAlignment w:val="baseline"/>
              <w:rPr>
                <w:rFonts w:ascii="Times New Roman" w:hAnsi="Times New Roman"/>
                <w:sz w:val="18"/>
                <w:szCs w:val="18"/>
              </w:rPr>
            </w:pPr>
            <w:r w:rsidRPr="00527FF5">
              <w:rPr>
                <w:rFonts w:ascii="Calibri" w:hAnsi="Calibri" w:cs="Calibri"/>
                <w:sz w:val="18"/>
                <w:szCs w:val="18"/>
              </w:rPr>
              <w:t>V</w:t>
            </w:r>
            <w:r w:rsidRPr="00527FF5">
              <w:rPr>
                <w:rFonts w:ascii="Calibri" w:hAnsi="Calibri" w:cs="Calibri"/>
                <w:sz w:val="18"/>
                <w:szCs w:val="18"/>
                <w:vertAlign w:val="subscript"/>
              </w:rPr>
              <w:t>4Gy (RBE)</w:t>
            </w:r>
            <w:r w:rsidRPr="00527FF5">
              <w:rPr>
                <w:rFonts w:ascii="Calibri" w:hAnsi="Calibri" w:cs="Calibri"/>
                <w:sz w:val="18"/>
                <w:szCs w:val="18"/>
              </w:rPr>
              <w:t xml:space="preserve"> ≤ 20% (ønskelig)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1DFE4D83" w14:textId="77777777">
            <w:pPr>
              <w:textAlignment w:val="baseline"/>
              <w:rPr>
                <w:rFonts w:ascii="Times New Roman" w:hAnsi="Times New Roman"/>
                <w:sz w:val="18"/>
                <w:szCs w:val="18"/>
              </w:rPr>
            </w:pPr>
            <w:r w:rsidRPr="00527FF5">
              <w:rPr>
                <w:rFonts w:ascii="Calibri" w:hAnsi="Calibri" w:cs="Calibri"/>
                <w:sz w:val="18"/>
                <w:szCs w:val="18"/>
              </w:rPr>
              <w:t>ALARA  </w:t>
            </w:r>
          </w:p>
        </w:tc>
      </w:tr>
      <w:tr w14:paraId="52E0376D" w14:textId="77777777" w:rsidTr="00D7654D">
        <w:tblPrEx>
          <w:tblW w:w="9045" w:type="dxa"/>
          <w:tblCellMar>
            <w:left w:w="0" w:type="dxa"/>
            <w:right w:w="0" w:type="dxa"/>
          </w:tblCellMar>
          <w:tblLook w:val="04A0"/>
        </w:tblPrEx>
        <w:trPr>
          <w:trHeight w:val="300"/>
        </w:trPr>
        <w:tc>
          <w:tcPr>
            <w:tcW w:w="1126" w:type="dxa"/>
            <w:tcBorders>
              <w:top w:val="single" w:sz="6" w:space="0" w:color="95B3D7"/>
              <w:left w:val="single" w:sz="6" w:space="0" w:color="95B3D7"/>
              <w:bottom w:val="single" w:sz="6" w:space="0" w:color="95B3D7"/>
              <w:right w:val="single" w:sz="6" w:space="0" w:color="95B3D7"/>
            </w:tcBorders>
            <w:shd w:val="clear" w:color="auto" w:fill="A6A6A6"/>
            <w:hideMark/>
          </w:tcPr>
          <w:p w:rsidR="00713DB8" w:rsidRPr="00527FF5" w:rsidP="00713DB8" w14:paraId="02B2FF8C" w14:textId="77777777">
            <w:pPr>
              <w:textAlignment w:val="baseline"/>
              <w:rPr>
                <w:rFonts w:ascii="Times New Roman" w:hAnsi="Times New Roman"/>
                <w:sz w:val="18"/>
                <w:szCs w:val="18"/>
              </w:rPr>
            </w:pPr>
            <w:r w:rsidRPr="00527FF5">
              <w:rPr>
                <w:rFonts w:ascii="Calibri" w:hAnsi="Calibri" w:cs="Calibri"/>
                <w:b/>
                <w:bCs/>
                <w:sz w:val="18"/>
                <w:szCs w:val="18"/>
              </w:rPr>
              <w:t>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A6A6A6"/>
            <w:hideMark/>
          </w:tcPr>
          <w:p w:rsidR="00713DB8" w:rsidRPr="00527FF5" w:rsidP="00713DB8" w14:paraId="2802560F" w14:textId="77777777">
            <w:pPr>
              <w:textAlignment w:val="baseline"/>
              <w:rPr>
                <w:rFonts w:ascii="Times New Roman" w:hAnsi="Times New Roman"/>
                <w:sz w:val="18"/>
                <w:szCs w:val="18"/>
              </w:rPr>
            </w:pP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6A6A6"/>
            <w:hideMark/>
          </w:tcPr>
          <w:p w:rsidR="00713DB8" w:rsidRPr="00527FF5" w:rsidP="00713DB8" w14:paraId="7CAC39C4" w14:textId="77777777">
            <w:pPr>
              <w:textAlignment w:val="baseline"/>
              <w:rPr>
                <w:rFonts w:ascii="Times New Roman" w:hAnsi="Times New Roman"/>
                <w:sz w:val="18"/>
                <w:szCs w:val="18"/>
              </w:rPr>
            </w:pP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A6A6A6"/>
            <w:hideMark/>
          </w:tcPr>
          <w:p w:rsidR="00713DB8" w:rsidRPr="00527FF5" w:rsidP="00713DB8" w14:paraId="76310D82" w14:textId="77777777">
            <w:pPr>
              <w:textAlignment w:val="baseline"/>
              <w:rPr>
                <w:rFonts w:ascii="Times New Roman" w:hAnsi="Times New Roman"/>
                <w:sz w:val="18"/>
                <w:szCs w:val="18"/>
              </w:rPr>
            </w:pPr>
            <w:r w:rsidRPr="00527FF5">
              <w:rPr>
                <w:rFonts w:ascii="Calibri" w:hAnsi="Calibri" w:cs="Calibri"/>
                <w:sz w:val="18"/>
                <w:szCs w:val="18"/>
              </w:rPr>
              <w:t>  </w:t>
            </w:r>
          </w:p>
        </w:tc>
      </w:tr>
      <w:tr w14:paraId="015C4633" w14:textId="77777777" w:rsidTr="00D7654D">
        <w:tblPrEx>
          <w:tblW w:w="9045" w:type="dxa"/>
          <w:tblCellMar>
            <w:left w:w="0" w:type="dxa"/>
            <w:right w:w="0" w:type="dxa"/>
          </w:tblCellMar>
          <w:tblLook w:val="04A0"/>
        </w:tblPrEx>
        <w:trPr>
          <w:trHeight w:val="300"/>
        </w:trPr>
        <w:tc>
          <w:tcPr>
            <w:tcW w:w="1126" w:type="dxa"/>
            <w:vMerge w:val="restart"/>
            <w:tcBorders>
              <w:top w:val="single" w:sz="6" w:space="0" w:color="95B3D7"/>
              <w:left w:val="single" w:sz="6" w:space="0" w:color="95B3D7"/>
              <w:bottom w:val="single" w:sz="6" w:space="0" w:color="95B3D7"/>
              <w:right w:val="single" w:sz="6" w:space="0" w:color="95B3D7"/>
            </w:tcBorders>
            <w:shd w:val="clear" w:color="auto" w:fill="F2F2F2"/>
            <w:vAlign w:val="center"/>
            <w:hideMark/>
          </w:tcPr>
          <w:p w:rsidR="00713DB8" w:rsidRPr="00527FF5" w:rsidP="00713DB8" w14:paraId="7EBB2C88" w14:textId="77777777">
            <w:pPr>
              <w:jc w:val="center"/>
              <w:textAlignment w:val="baseline"/>
              <w:rPr>
                <w:rFonts w:ascii="Times New Roman" w:hAnsi="Times New Roman"/>
                <w:sz w:val="18"/>
                <w:szCs w:val="18"/>
              </w:rPr>
            </w:pPr>
            <w:r w:rsidRPr="00527FF5">
              <w:rPr>
                <w:rFonts w:ascii="Calibri" w:hAnsi="Calibri" w:cs="Calibri"/>
                <w:b/>
                <w:bCs/>
                <w:sz w:val="18"/>
                <w:szCs w:val="18"/>
              </w:rPr>
              <w:t>Abdomen / Bekken </w:t>
            </w:r>
            <w:r w:rsidRPr="00527FF5">
              <w:rPr>
                <w:rFonts w:ascii="Calibri" w:hAnsi="Calibri" w:cs="Calibri"/>
                <w:sz w:val="18"/>
                <w:szCs w:val="18"/>
              </w:rPr>
              <w:t> </w:t>
            </w: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6DA858BC" w14:textId="77777777">
            <w:pPr>
              <w:textAlignment w:val="baseline"/>
              <w:rPr>
                <w:rFonts w:ascii="Times New Roman" w:hAnsi="Times New Roman"/>
                <w:sz w:val="18"/>
                <w:szCs w:val="18"/>
              </w:rPr>
            </w:pPr>
            <w:r w:rsidRPr="00527FF5">
              <w:rPr>
                <w:rFonts w:ascii="Calibri" w:hAnsi="Calibri" w:cs="Calibri"/>
                <w:b/>
                <w:bCs/>
                <w:sz w:val="18"/>
                <w:szCs w:val="18"/>
              </w:rPr>
              <w:t>Ovary_L/R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6E6123E6" w14:textId="77777777">
            <w:pPr>
              <w:textAlignment w:val="baseline"/>
              <w:rPr>
                <w:rFonts w:ascii="Times New Roman" w:hAnsi="Times New Roman"/>
                <w:sz w:val="18"/>
                <w:szCs w:val="18"/>
              </w:rPr>
            </w:pPr>
            <w:r w:rsidRPr="00527FF5">
              <w:rPr>
                <w:rFonts w:ascii="Calibri" w:hAnsi="Calibri" w:cs="Calibri"/>
                <w:sz w:val="18"/>
                <w:szCs w:val="18"/>
              </w:rPr>
              <w:t>Så lavt som mulig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1FAB1549" w14:textId="77777777">
            <w:pPr>
              <w:textAlignment w:val="baseline"/>
              <w:rPr>
                <w:rFonts w:ascii="Times New Roman" w:hAnsi="Times New Roman"/>
                <w:sz w:val="18"/>
                <w:szCs w:val="18"/>
              </w:rPr>
            </w:pPr>
            <w:r w:rsidRPr="00527FF5">
              <w:rPr>
                <w:rFonts w:ascii="Calibri" w:hAnsi="Calibri" w:cs="Calibri"/>
                <w:sz w:val="18"/>
                <w:szCs w:val="18"/>
              </w:rPr>
              <w:t>ALARA  </w:t>
            </w:r>
          </w:p>
        </w:tc>
      </w:tr>
      <w:tr w14:paraId="753E90DA"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4BFDBA3D"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5FDE9A57" w14:textId="77777777">
            <w:pPr>
              <w:textAlignment w:val="baseline"/>
              <w:rPr>
                <w:rFonts w:ascii="Times New Roman" w:hAnsi="Times New Roman"/>
                <w:sz w:val="18"/>
                <w:szCs w:val="18"/>
              </w:rPr>
            </w:pPr>
            <w:r w:rsidRPr="00527FF5">
              <w:rPr>
                <w:rFonts w:ascii="Calibri" w:hAnsi="Calibri" w:cs="Calibri"/>
                <w:b/>
                <w:bCs/>
                <w:sz w:val="18"/>
                <w:szCs w:val="18"/>
              </w:rPr>
              <w:t>Testis_L/R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79D3DB49" w14:textId="77777777">
            <w:pPr>
              <w:textAlignment w:val="baseline"/>
              <w:rPr>
                <w:rFonts w:ascii="Times New Roman" w:hAnsi="Times New Roman"/>
                <w:sz w:val="18"/>
                <w:szCs w:val="18"/>
              </w:rPr>
            </w:pPr>
            <w:r w:rsidRPr="00527FF5">
              <w:rPr>
                <w:rFonts w:ascii="Calibri" w:hAnsi="Calibri" w:cs="Calibri"/>
                <w:sz w:val="18"/>
                <w:szCs w:val="18"/>
              </w:rPr>
              <w:t>Så lavt som mulig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4F907DFF" w14:textId="77777777">
            <w:pPr>
              <w:textAlignment w:val="baseline"/>
              <w:rPr>
                <w:rFonts w:ascii="Times New Roman" w:hAnsi="Times New Roman"/>
                <w:sz w:val="18"/>
                <w:szCs w:val="18"/>
              </w:rPr>
            </w:pPr>
            <w:r w:rsidRPr="00527FF5">
              <w:rPr>
                <w:rFonts w:ascii="Calibri" w:hAnsi="Calibri" w:cs="Calibri"/>
                <w:sz w:val="18"/>
                <w:szCs w:val="18"/>
              </w:rPr>
              <w:t>ALARA  </w:t>
            </w:r>
          </w:p>
        </w:tc>
      </w:tr>
      <w:tr w14:paraId="05D777EE"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7C47E6A4"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6D680DB2" w14:textId="77777777">
            <w:pPr>
              <w:textAlignment w:val="baseline"/>
              <w:rPr>
                <w:rFonts w:ascii="Times New Roman" w:hAnsi="Times New Roman"/>
                <w:sz w:val="18"/>
                <w:szCs w:val="18"/>
              </w:rPr>
            </w:pPr>
            <w:r w:rsidRPr="00527FF5">
              <w:rPr>
                <w:rFonts w:ascii="Calibri" w:hAnsi="Calibri" w:cs="Calibri"/>
                <w:b/>
                <w:bCs/>
                <w:sz w:val="18"/>
                <w:szCs w:val="18"/>
              </w:rPr>
              <w:t>BowelBag</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4BE26A10" w14:textId="77777777">
            <w:pPr>
              <w:textAlignment w:val="baseline"/>
              <w:rPr>
                <w:rFonts w:ascii="Times New Roman" w:hAnsi="Times New Roman"/>
                <w:sz w:val="18"/>
                <w:szCs w:val="18"/>
              </w:rPr>
            </w:pPr>
            <w:r w:rsidRPr="00527FF5">
              <w:rPr>
                <w:rFonts w:ascii="Calibri" w:hAnsi="Calibri" w:cs="Calibri"/>
                <w:sz w:val="18"/>
                <w:szCs w:val="18"/>
              </w:rPr>
              <w:t>Så lavt som mulig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480BC027" w14:textId="5D88701A">
            <w:pPr>
              <w:textAlignment w:val="baseline"/>
              <w:rPr>
                <w:rFonts w:ascii="Times New Roman" w:hAnsi="Times New Roman"/>
                <w:sz w:val="18"/>
                <w:szCs w:val="18"/>
              </w:rPr>
            </w:pPr>
            <w:r w:rsidRPr="00527FF5">
              <w:rPr>
                <w:rFonts w:ascii="Calibri" w:hAnsi="Calibri" w:cs="Calibri"/>
                <w:sz w:val="18"/>
                <w:szCs w:val="18"/>
              </w:rPr>
              <w:t>ALARA </w:t>
            </w:r>
          </w:p>
        </w:tc>
      </w:tr>
      <w:tr w14:paraId="54749E77"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36209E2F"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C6137CF" w14:textId="77777777">
            <w:pPr>
              <w:textAlignment w:val="baseline"/>
              <w:rPr>
                <w:rFonts w:ascii="Times New Roman" w:hAnsi="Times New Roman"/>
                <w:sz w:val="18"/>
                <w:szCs w:val="18"/>
              </w:rPr>
            </w:pPr>
            <w:r w:rsidRPr="00527FF5">
              <w:rPr>
                <w:rFonts w:ascii="Calibri" w:hAnsi="Calibri" w:cs="Calibri"/>
                <w:b/>
                <w:bCs/>
                <w:sz w:val="18"/>
                <w:szCs w:val="18"/>
              </w:rPr>
              <w:t>Rectum</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7BAC30B5" w14:textId="77777777">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75Gy (RBE)</w:t>
            </w:r>
            <w:r w:rsidRPr="00527FF5">
              <w:rPr>
                <w:rFonts w:ascii="Calibri" w:hAnsi="Calibri" w:cs="Calibri"/>
                <w:sz w:val="18"/>
                <w:szCs w:val="18"/>
                <w:lang w:val="en-US"/>
              </w:rPr>
              <w:t xml:space="preserve"> &lt; 15%</w:t>
            </w:r>
          </w:p>
          <w:p w:rsidR="00713DB8" w:rsidRPr="00527FF5" w:rsidP="00713DB8" w14:paraId="17D57F40" w14:textId="77777777">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70Gy (RBE)</w:t>
            </w:r>
            <w:r w:rsidRPr="00527FF5">
              <w:rPr>
                <w:rFonts w:ascii="Calibri" w:hAnsi="Calibri" w:cs="Calibri"/>
                <w:sz w:val="18"/>
                <w:szCs w:val="18"/>
                <w:lang w:val="en-US"/>
              </w:rPr>
              <w:t xml:space="preserve"> &lt; 20%</w:t>
            </w:r>
          </w:p>
          <w:p w:rsidR="00713DB8" w:rsidRPr="00527FF5" w:rsidP="00713DB8" w14:paraId="747F7883" w14:textId="77777777">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65Gy (RBE)</w:t>
            </w:r>
            <w:r w:rsidRPr="00527FF5">
              <w:rPr>
                <w:rFonts w:ascii="Calibri" w:hAnsi="Calibri" w:cs="Calibri"/>
                <w:sz w:val="18"/>
                <w:szCs w:val="18"/>
                <w:lang w:val="en-US"/>
              </w:rPr>
              <w:t xml:space="preserve"> &lt; 25%</w:t>
            </w:r>
          </w:p>
          <w:p w:rsidR="00713DB8" w:rsidRPr="00527FF5" w:rsidP="00713DB8" w14:paraId="593F379E" w14:textId="77777777">
            <w:pPr>
              <w:textAlignment w:val="baseline"/>
              <w:rPr>
                <w:rFonts w:ascii="Calibri" w:hAnsi="Calibri" w:cs="Calibr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60Gy (RBE)</w:t>
            </w:r>
            <w:r w:rsidRPr="00527FF5">
              <w:rPr>
                <w:rFonts w:ascii="Calibri" w:hAnsi="Calibri" w:cs="Calibri"/>
                <w:sz w:val="18"/>
                <w:szCs w:val="18"/>
                <w:lang w:val="en-US"/>
              </w:rPr>
              <w:t xml:space="preserve"> &lt; 35%</w:t>
            </w:r>
          </w:p>
          <w:p w:rsidR="00713DB8" w:rsidRPr="00527FF5" w:rsidP="00713DB8" w14:paraId="58A6C5A8" w14:textId="69459651">
            <w:pPr>
              <w:textAlignment w:val="baseline"/>
              <w:rPr>
                <w:rFonts w:ascii="Times New Roman" w:hAnsi="Times New Roman"/>
                <w:sz w:val="18"/>
                <w:szCs w:val="18"/>
              </w:rPr>
            </w:pPr>
            <w:r w:rsidRPr="00527FF5">
              <w:rPr>
                <w:rFonts w:ascii="Calibri" w:hAnsi="Calibri" w:cs="Calibri"/>
                <w:sz w:val="18"/>
                <w:szCs w:val="18"/>
                <w:lang w:val="en-US"/>
              </w:rPr>
              <w:t>V</w:t>
            </w:r>
            <w:r w:rsidRPr="00527FF5">
              <w:rPr>
                <w:rFonts w:ascii="Calibri" w:hAnsi="Calibri" w:cs="Calibri"/>
                <w:sz w:val="18"/>
                <w:szCs w:val="18"/>
                <w:vertAlign w:val="subscript"/>
                <w:lang w:val="en-US"/>
              </w:rPr>
              <w:t>50Gy (RBE)</w:t>
            </w:r>
            <w:r w:rsidRPr="00527FF5">
              <w:rPr>
                <w:rFonts w:ascii="Calibri" w:hAnsi="Calibri" w:cs="Calibri"/>
                <w:sz w:val="18"/>
                <w:szCs w:val="18"/>
                <w:lang w:val="en-US"/>
              </w:rPr>
              <w:t xml:space="preserve"> &lt; 50%</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0F9A67C" w14:textId="522C0B55">
            <w:pPr>
              <w:textAlignment w:val="baseline"/>
              <w:rPr>
                <w:rFonts w:ascii="Times New Roman" w:hAnsi="Times New Roman"/>
                <w:sz w:val="18"/>
                <w:szCs w:val="18"/>
              </w:rPr>
            </w:pPr>
            <w:r w:rsidRPr="00527FF5">
              <w:rPr>
                <w:rFonts w:ascii="Calibri" w:hAnsi="Calibri" w:cs="Calibri"/>
                <w:sz w:val="18"/>
                <w:szCs w:val="18"/>
              </w:rPr>
              <w:t>Marks et al. (2010)</w:t>
            </w:r>
          </w:p>
        </w:tc>
      </w:tr>
      <w:tr w14:paraId="0F6E8524"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18F016A5"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4DA1827F" w14:textId="77777777">
            <w:pPr>
              <w:textAlignment w:val="baseline"/>
              <w:rPr>
                <w:rFonts w:ascii="Times New Roman" w:hAnsi="Times New Roman"/>
                <w:sz w:val="18"/>
                <w:szCs w:val="18"/>
              </w:rPr>
            </w:pPr>
            <w:r w:rsidRPr="00527FF5">
              <w:rPr>
                <w:rFonts w:ascii="Calibri" w:hAnsi="Calibri" w:cs="Calibri"/>
                <w:b/>
                <w:bCs/>
                <w:sz w:val="18"/>
                <w:szCs w:val="18"/>
              </w:rPr>
              <w:t>Liver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7B416B24" w14:textId="2A7B9BF8">
            <w:pPr>
              <w:textAlignment w:val="baseline"/>
              <w:rPr>
                <w:rFonts w:ascii="Times New Roman" w:hAnsi="Times New Roman"/>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mean</w:t>
            </w:r>
            <w:r w:rsidRPr="00527FF5">
              <w:rPr>
                <w:rFonts w:ascii="Calibri" w:hAnsi="Calibri" w:cs="Calibri"/>
                <w:sz w:val="18"/>
                <w:szCs w:val="18"/>
                <w:lang w:val="en-US"/>
              </w:rPr>
              <w:t xml:space="preserve"> ≤ 28 Gy (RBE)</w:t>
            </w: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0F717A53" w14:textId="2721B0D7">
            <w:pPr>
              <w:textAlignment w:val="baseline"/>
              <w:rPr>
                <w:rFonts w:ascii="Times New Roman" w:hAnsi="Times New Roman"/>
                <w:sz w:val="18"/>
                <w:szCs w:val="18"/>
              </w:rPr>
            </w:pPr>
            <w:r w:rsidRPr="00527FF5">
              <w:rPr>
                <w:rFonts w:ascii="Calibri" w:hAnsi="Calibri" w:cs="Calibri"/>
                <w:sz w:val="18"/>
                <w:szCs w:val="18"/>
              </w:rPr>
              <w:t>Marks et al. (2010)</w:t>
            </w:r>
            <w:r w:rsidRPr="00527FF5">
              <w:rPr>
                <w:rFonts w:ascii="Calibri" w:hAnsi="Calibri" w:cs="Calibri"/>
                <w:sz w:val="18"/>
                <w:szCs w:val="18"/>
                <w:lang w:val="en-US"/>
              </w:rPr>
              <w:t> </w:t>
            </w:r>
            <w:r w:rsidRPr="00527FF5">
              <w:rPr>
                <w:rFonts w:ascii="Calibri" w:hAnsi="Calibri" w:cs="Calibri"/>
                <w:sz w:val="18"/>
                <w:szCs w:val="18"/>
              </w:rPr>
              <w:t> </w:t>
            </w:r>
          </w:p>
        </w:tc>
      </w:tr>
      <w:tr w14:paraId="241F30B1"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1DF67864"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37564A8" w14:textId="77777777">
            <w:pPr>
              <w:textAlignment w:val="baseline"/>
              <w:rPr>
                <w:rFonts w:ascii="Times New Roman" w:hAnsi="Times New Roman"/>
                <w:sz w:val="18"/>
                <w:szCs w:val="18"/>
              </w:rPr>
            </w:pPr>
            <w:r w:rsidRPr="00527FF5">
              <w:rPr>
                <w:rFonts w:ascii="Calibri" w:hAnsi="Calibri" w:cs="Calibri"/>
                <w:b/>
                <w:bCs/>
                <w:sz w:val="18"/>
                <w:szCs w:val="18"/>
              </w:rPr>
              <w:t>Bladder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DE68457" w14:textId="77777777">
            <w:pPr>
              <w:textAlignment w:val="baseline"/>
              <w:rPr>
                <w:rFonts w:ascii="Calibri" w:hAnsi="Calibri" w:cs="Calibri"/>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0.03cc</w:t>
            </w:r>
            <w:r w:rsidRPr="00527FF5">
              <w:rPr>
                <w:rFonts w:ascii="Calibri" w:hAnsi="Calibri" w:cs="Calibri"/>
                <w:sz w:val="18"/>
                <w:szCs w:val="18"/>
                <w:lang w:val="en-US"/>
              </w:rPr>
              <w:t xml:space="preserve"> &lt; 65 Gy (RBE) </w:t>
            </w:r>
          </w:p>
          <w:p w:rsidR="00713DB8" w:rsidRPr="00527FF5" w:rsidP="00713DB8" w14:paraId="2F6FB3EE" w14:textId="77777777">
            <w:pPr>
              <w:textAlignment w:val="baseline"/>
              <w:rPr>
                <w:rFonts w:ascii="Segoe UI" w:hAnsi="Segoe UI" w:cs="Segoe U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80Gy (RBE)</w:t>
            </w:r>
            <w:r w:rsidRPr="00527FF5">
              <w:rPr>
                <w:rFonts w:ascii="Calibri" w:hAnsi="Calibri" w:cs="Calibri"/>
                <w:sz w:val="18"/>
                <w:szCs w:val="18"/>
                <w:lang w:val="en-US"/>
              </w:rPr>
              <w:t xml:space="preserve"> ≤ 15% </w:t>
            </w:r>
          </w:p>
          <w:p w:rsidR="00713DB8" w:rsidRPr="00527FF5" w:rsidP="00713DB8" w14:paraId="6B567F62" w14:textId="77777777">
            <w:pPr>
              <w:textAlignment w:val="baseline"/>
              <w:rPr>
                <w:rFonts w:ascii="Segoe UI" w:hAnsi="Segoe UI" w:cs="Segoe U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75Gy (RBE)</w:t>
            </w:r>
            <w:r w:rsidRPr="00527FF5">
              <w:rPr>
                <w:rFonts w:ascii="Calibri" w:hAnsi="Calibri" w:cs="Calibri"/>
                <w:sz w:val="18"/>
                <w:szCs w:val="18"/>
                <w:lang w:val="en-US"/>
              </w:rPr>
              <w:t xml:space="preserve"> ≤ 25% </w:t>
            </w:r>
          </w:p>
          <w:p w:rsidR="00713DB8" w:rsidRPr="00527FF5" w:rsidP="00713DB8" w14:paraId="7061CF34" w14:textId="77777777">
            <w:pPr>
              <w:textAlignment w:val="baseline"/>
              <w:rPr>
                <w:rFonts w:ascii="Segoe UI" w:hAnsi="Segoe UI" w:cs="Segoe UI"/>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70Gy (RBE)</w:t>
            </w:r>
            <w:r w:rsidRPr="00527FF5">
              <w:rPr>
                <w:rFonts w:ascii="Calibri" w:hAnsi="Calibri" w:cs="Calibri"/>
                <w:sz w:val="18"/>
                <w:szCs w:val="18"/>
                <w:lang w:val="en-US"/>
              </w:rPr>
              <w:t xml:space="preserve"> ≤ 35% </w:t>
            </w:r>
          </w:p>
          <w:p w:rsidR="00713DB8" w:rsidRPr="00527FF5" w:rsidP="00713DB8" w14:paraId="19A329B8" w14:textId="735700CA">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65Gy (RBE)</w:t>
            </w:r>
            <w:r w:rsidRPr="00527FF5">
              <w:rPr>
                <w:rFonts w:ascii="Calibri" w:hAnsi="Calibri" w:cs="Calibri"/>
                <w:sz w:val="18"/>
                <w:szCs w:val="18"/>
                <w:lang w:val="en-US"/>
              </w:rPr>
              <w:t xml:space="preserve"> ≤ 50%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23844386" w14:textId="7ED4C621">
            <w:pPr>
              <w:textAlignment w:val="baseline"/>
              <w:rPr>
                <w:rFonts w:ascii="Times New Roman" w:hAnsi="Times New Roman"/>
                <w:sz w:val="18"/>
                <w:szCs w:val="18"/>
              </w:rPr>
            </w:pPr>
            <w:r w:rsidRPr="00527FF5">
              <w:rPr>
                <w:rFonts w:ascii="Calibri" w:hAnsi="Calibri" w:cs="Calibri"/>
                <w:sz w:val="18"/>
                <w:szCs w:val="18"/>
              </w:rPr>
              <w:t>Marks et al. (2010)</w:t>
            </w:r>
          </w:p>
        </w:tc>
      </w:tr>
      <w:tr w14:paraId="598F672B"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5B9BB4F1"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7F7955B1" w14:textId="77777777">
            <w:pPr>
              <w:textAlignment w:val="baseline"/>
              <w:rPr>
                <w:rFonts w:ascii="Times New Roman" w:hAnsi="Times New Roman"/>
                <w:sz w:val="18"/>
                <w:szCs w:val="18"/>
              </w:rPr>
            </w:pPr>
            <w:r w:rsidRPr="00527FF5">
              <w:rPr>
                <w:rFonts w:ascii="Calibri" w:hAnsi="Calibri" w:cs="Calibri"/>
                <w:b/>
                <w:bCs/>
                <w:sz w:val="18"/>
                <w:szCs w:val="18"/>
              </w:rPr>
              <w:t>Kidney_L/R</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6CD966D4" w14:textId="77777777">
            <w:pPr>
              <w:textAlignment w:val="baseline"/>
              <w:rPr>
                <w:rFonts w:ascii="Times New Roman" w:hAnsi="Times New Roman"/>
                <w:sz w:val="18"/>
                <w:szCs w:val="18"/>
                <w:lang w:val="en-US"/>
              </w:rPr>
            </w:pPr>
            <w:r w:rsidRPr="00527FF5">
              <w:rPr>
                <w:rFonts w:ascii="Calibri" w:hAnsi="Calibri" w:cs="Calibri"/>
                <w:sz w:val="18"/>
                <w:szCs w:val="18"/>
                <w:lang w:val="en-US"/>
              </w:rPr>
              <w:t>D</w:t>
            </w:r>
            <w:r w:rsidRPr="00527FF5">
              <w:rPr>
                <w:rFonts w:ascii="Calibri" w:hAnsi="Calibri" w:cs="Calibri"/>
                <w:sz w:val="18"/>
                <w:szCs w:val="18"/>
                <w:vertAlign w:val="subscript"/>
                <w:lang w:val="en-US"/>
              </w:rPr>
              <w:t>mean</w:t>
            </w:r>
            <w:r w:rsidRPr="00527FF5">
              <w:rPr>
                <w:rFonts w:ascii="Calibri" w:hAnsi="Calibri" w:cs="Calibri"/>
                <w:sz w:val="18"/>
                <w:szCs w:val="18"/>
                <w:lang w:val="en-US"/>
              </w:rPr>
              <w:t xml:space="preserve"> ≤ 15 Gy (RBE)  </w:t>
            </w:r>
          </w:p>
          <w:p w:rsidR="00713DB8" w:rsidRPr="00527FF5" w:rsidP="00713DB8" w14:paraId="6B4AB2D9" w14:textId="77777777">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28Gy (RBE)</w:t>
            </w:r>
            <w:r w:rsidRPr="00527FF5">
              <w:rPr>
                <w:rFonts w:ascii="Calibri" w:hAnsi="Calibri" w:cs="Calibri"/>
                <w:sz w:val="18"/>
                <w:szCs w:val="18"/>
                <w:lang w:val="en-US"/>
              </w:rPr>
              <w:t xml:space="preserve"> ≤ 20%  </w:t>
            </w:r>
          </w:p>
          <w:p w:rsidR="00713DB8" w:rsidRPr="00527FF5" w:rsidP="00713DB8" w14:paraId="2BBC14F6" w14:textId="77777777">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23Gy (RBE)</w:t>
            </w:r>
            <w:r w:rsidRPr="00527FF5">
              <w:rPr>
                <w:rFonts w:ascii="Calibri" w:hAnsi="Calibri" w:cs="Calibri"/>
                <w:sz w:val="18"/>
                <w:szCs w:val="18"/>
                <w:lang w:val="en-US"/>
              </w:rPr>
              <w:t xml:space="preserve"> ≤ 30%  </w:t>
            </w:r>
          </w:p>
          <w:p w:rsidR="00713DB8" w:rsidRPr="00527FF5" w:rsidP="00713DB8" w14:paraId="697CEB05" w14:textId="77777777">
            <w:pPr>
              <w:textAlignment w:val="baseline"/>
              <w:rPr>
                <w:rFonts w:ascii="Times New Roman" w:hAnsi="Times New Roman"/>
                <w:sz w:val="18"/>
                <w:szCs w:val="18"/>
                <w:lang w:val="en-US"/>
              </w:rPr>
            </w:pPr>
            <w:r w:rsidRPr="00527FF5">
              <w:rPr>
                <w:rFonts w:ascii="Calibri" w:hAnsi="Calibri" w:cs="Calibri"/>
                <w:sz w:val="18"/>
                <w:szCs w:val="18"/>
                <w:lang w:val="en-US"/>
              </w:rPr>
              <w:t>V</w:t>
            </w:r>
            <w:r w:rsidRPr="00527FF5">
              <w:rPr>
                <w:rFonts w:ascii="Calibri" w:hAnsi="Calibri" w:cs="Calibri"/>
                <w:sz w:val="18"/>
                <w:szCs w:val="18"/>
                <w:vertAlign w:val="subscript"/>
                <w:lang w:val="en-US"/>
              </w:rPr>
              <w:t>20Gy (RBE)</w:t>
            </w:r>
            <w:r w:rsidRPr="00527FF5">
              <w:rPr>
                <w:rFonts w:ascii="Calibri" w:hAnsi="Calibri" w:cs="Calibri"/>
                <w:sz w:val="18"/>
                <w:szCs w:val="18"/>
                <w:lang w:val="en-US"/>
              </w:rPr>
              <w:t xml:space="preserve"> ≤ 32%  </w:t>
            </w:r>
          </w:p>
          <w:p w:rsidR="00713DB8" w:rsidRPr="00527FF5" w:rsidP="00713DB8" w14:paraId="78510DDB" w14:textId="77777777">
            <w:pPr>
              <w:textAlignment w:val="baseline"/>
              <w:rPr>
                <w:rFonts w:ascii="Times New Roman" w:hAnsi="Times New Roman"/>
                <w:sz w:val="18"/>
                <w:szCs w:val="18"/>
              </w:rPr>
            </w:pPr>
            <w:r w:rsidRPr="00527FF5">
              <w:rPr>
                <w:rFonts w:ascii="Calibri" w:hAnsi="Calibri" w:cs="Calibri"/>
                <w:sz w:val="18"/>
                <w:szCs w:val="18"/>
                <w:lang w:val="en-US"/>
              </w:rPr>
              <w:t>V</w:t>
            </w:r>
            <w:r w:rsidRPr="00527FF5">
              <w:rPr>
                <w:rFonts w:ascii="Calibri" w:hAnsi="Calibri" w:cs="Calibri"/>
                <w:sz w:val="18"/>
                <w:szCs w:val="18"/>
                <w:vertAlign w:val="subscript"/>
                <w:lang w:val="en-US"/>
              </w:rPr>
              <w:t>12Gy (RBE)</w:t>
            </w:r>
            <w:r w:rsidRPr="00527FF5">
              <w:rPr>
                <w:rFonts w:ascii="Calibri" w:hAnsi="Calibri" w:cs="Calibri"/>
                <w:sz w:val="18"/>
                <w:szCs w:val="18"/>
                <w:lang w:val="en-US"/>
              </w:rPr>
              <w:t xml:space="preserve"> ≤ 55% </w:t>
            </w:r>
            <w:r w:rsidRPr="00527FF5">
              <w:rPr>
                <w:rFonts w:ascii="Calibri" w:hAnsi="Calibri" w:cs="Calibri"/>
                <w:sz w:val="18"/>
                <w:szCs w:val="18"/>
              </w:rPr>
              <w:t> </w:t>
            </w:r>
          </w:p>
        </w:tc>
        <w:tc>
          <w:tcPr>
            <w:tcW w:w="4091" w:type="dxa"/>
            <w:tcBorders>
              <w:top w:val="single" w:sz="6" w:space="0" w:color="95B3D7"/>
              <w:left w:val="single" w:sz="6" w:space="0" w:color="95B3D7"/>
              <w:bottom w:val="single" w:sz="6" w:space="0" w:color="95B3D7"/>
              <w:right w:val="single" w:sz="6" w:space="0" w:color="95B3D7"/>
            </w:tcBorders>
            <w:shd w:val="clear" w:color="auto" w:fill="DBE5F1"/>
            <w:hideMark/>
          </w:tcPr>
          <w:p w:rsidR="00713DB8" w:rsidRPr="00527FF5" w:rsidP="00713DB8" w14:paraId="69DCE022" w14:textId="3BEC4A4C">
            <w:pPr>
              <w:textAlignment w:val="baseline"/>
              <w:rPr>
                <w:rFonts w:ascii="Times New Roman" w:hAnsi="Times New Roman"/>
                <w:sz w:val="18"/>
                <w:szCs w:val="18"/>
              </w:rPr>
            </w:pPr>
            <w:r w:rsidRPr="00527FF5">
              <w:rPr>
                <w:rFonts w:ascii="Calibri" w:hAnsi="Calibri" w:cs="Calibri"/>
                <w:sz w:val="18"/>
                <w:szCs w:val="18"/>
              </w:rPr>
              <w:t>Marks et al. (2010) </w:t>
            </w:r>
          </w:p>
        </w:tc>
      </w:tr>
      <w:tr w14:paraId="73D4A00F" w14:textId="77777777" w:rsidTr="00D7654D">
        <w:tblPrEx>
          <w:tblW w:w="9045" w:type="dxa"/>
          <w:tblCellMar>
            <w:left w:w="0" w:type="dxa"/>
            <w:right w:w="0" w:type="dxa"/>
          </w:tblCellMar>
          <w:tblLook w:val="04A0"/>
        </w:tblPrEx>
        <w:trPr>
          <w:trHeight w:val="300"/>
        </w:trPr>
        <w:tc>
          <w:tcPr>
            <w:tcW w:w="1126" w:type="dxa"/>
            <w:vMerge/>
            <w:tcBorders>
              <w:top w:val="single" w:sz="6" w:space="0" w:color="95B3D7"/>
              <w:left w:val="single" w:sz="6" w:space="0" w:color="95B3D7"/>
              <w:bottom w:val="single" w:sz="6" w:space="0" w:color="95B3D7"/>
              <w:right w:val="single" w:sz="6" w:space="0" w:color="95B3D7"/>
            </w:tcBorders>
            <w:shd w:val="clear" w:color="auto" w:fill="auto"/>
            <w:vAlign w:val="center"/>
            <w:hideMark/>
          </w:tcPr>
          <w:p w:rsidR="00713DB8" w:rsidRPr="00527FF5" w:rsidP="00713DB8" w14:paraId="6D75CF42" w14:textId="77777777">
            <w:pPr>
              <w:rPr>
                <w:rFonts w:ascii="Times New Roman" w:hAnsi="Times New Roman"/>
                <w:sz w:val="18"/>
                <w:szCs w:val="18"/>
              </w:rPr>
            </w:pPr>
          </w:p>
        </w:tc>
        <w:tc>
          <w:tcPr>
            <w:tcW w:w="170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5B9D13BB" w14:textId="2A5AAB6E">
            <w:pPr>
              <w:textAlignment w:val="baseline"/>
              <w:rPr>
                <w:rFonts w:ascii="Times New Roman" w:hAnsi="Times New Roman"/>
                <w:sz w:val="18"/>
                <w:szCs w:val="18"/>
              </w:rPr>
            </w:pPr>
            <w:r w:rsidRPr="00527FF5">
              <w:rPr>
                <w:rFonts w:ascii="Calibri" w:hAnsi="Calibri" w:cs="Calibri"/>
                <w:b/>
                <w:bCs/>
                <w:sz w:val="18"/>
                <w:szCs w:val="18"/>
              </w:rPr>
              <w:t>CaudaEquina</w:t>
            </w:r>
            <w:r w:rsidRPr="00527FF5">
              <w:rPr>
                <w:rFonts w:ascii="Calibri" w:hAnsi="Calibri" w:cs="Calibri"/>
                <w:sz w:val="18"/>
                <w:szCs w:val="18"/>
              </w:rPr>
              <w:t>  </w:t>
            </w:r>
          </w:p>
        </w:tc>
        <w:tc>
          <w:tcPr>
            <w:tcW w:w="2127"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340AD768" w14:textId="1456DFDD">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maks</w:t>
            </w:r>
            <w:r w:rsidRPr="00527FF5">
              <w:rPr>
                <w:rFonts w:ascii="Calibri" w:hAnsi="Calibri" w:cs="Calibri"/>
                <w:sz w:val="18"/>
                <w:szCs w:val="18"/>
              </w:rPr>
              <w:t xml:space="preserve"> ≤ 60 Gy (RBE)  </w:t>
            </w:r>
          </w:p>
        </w:tc>
        <w:tc>
          <w:tcPr>
            <w:tcW w:w="4091" w:type="dxa"/>
            <w:tcBorders>
              <w:top w:val="single" w:sz="6" w:space="0" w:color="95B3D7"/>
              <w:left w:val="single" w:sz="6" w:space="0" w:color="95B3D7"/>
              <w:bottom w:val="single" w:sz="6" w:space="0" w:color="95B3D7"/>
              <w:right w:val="single" w:sz="6" w:space="0" w:color="95B3D7"/>
            </w:tcBorders>
            <w:shd w:val="clear" w:color="auto" w:fill="auto"/>
            <w:hideMark/>
          </w:tcPr>
          <w:p w:rsidR="00713DB8" w:rsidRPr="00527FF5" w:rsidP="00713DB8" w14:paraId="1EF68EE5" w14:textId="1685C4E5">
            <w:pPr>
              <w:textAlignment w:val="baseline"/>
              <w:rPr>
                <w:rFonts w:ascii="Times New Roman" w:hAnsi="Times New Roman"/>
                <w:sz w:val="18"/>
                <w:szCs w:val="18"/>
              </w:rPr>
            </w:pPr>
            <w:r w:rsidRPr="00527FF5">
              <w:rPr>
                <w:rFonts w:ascii="Calibri" w:hAnsi="Calibri" w:cs="Calibri"/>
                <w:sz w:val="18"/>
                <w:szCs w:val="18"/>
              </w:rPr>
              <w:t>ALARA </w:t>
            </w:r>
          </w:p>
        </w:tc>
      </w:tr>
    </w:tbl>
    <w:p w:rsidR="001A3D0A" w:rsidRPr="001A3D0A" w:rsidP="001A3D0A" w14:paraId="5FBCA095" w14:textId="77777777">
      <w:pPr>
        <w:textAlignment w:val="baseline"/>
        <w:rPr>
          <w:rFonts w:ascii="Calibri" w:hAnsi="Calibri" w:cs="Calibri"/>
          <w:color w:val="365F91"/>
          <w:sz w:val="22"/>
          <w:szCs w:val="22"/>
        </w:rPr>
      </w:pPr>
      <w:r w:rsidRPr="001A3D0A">
        <w:rPr>
          <w:rFonts w:ascii="Cambria" w:hAnsi="Cambria" w:cs="Calibri"/>
          <w:color w:val="365F91"/>
          <w:sz w:val="26"/>
          <w:szCs w:val="26"/>
        </w:rPr>
        <w:t> </w:t>
      </w:r>
    </w:p>
    <w:p w:rsidR="001A3D0A" w:rsidRPr="001A3D0A" w:rsidP="00EF1D20" w14:paraId="62696B1D" w14:textId="77777777">
      <w:pPr>
        <w:pStyle w:val="Heading2"/>
      </w:pPr>
      <w:bookmarkStart w:id="26" w:name="_Toc256000024"/>
      <w:r w:rsidRPr="001A3D0A">
        <w:t>Robust evaluering</w:t>
      </w:r>
      <w:bookmarkEnd w:id="26"/>
      <w:r w:rsidRPr="001A3D0A">
        <w:t> </w:t>
      </w:r>
    </w:p>
    <w:p w:rsidR="001A3D0A" w:rsidRPr="001A3D0A" w:rsidP="001A3D0A" w14:paraId="013F2276" w14:textId="471EB230">
      <w:pPr>
        <w:textAlignment w:val="baseline"/>
        <w:rPr>
          <w:rFonts w:ascii="Calibri" w:hAnsi="Calibri" w:cs="Calibri"/>
          <w:sz w:val="22"/>
          <w:szCs w:val="22"/>
        </w:rPr>
      </w:pPr>
      <w:r w:rsidRPr="001A3D0A">
        <w:rPr>
          <w:rFonts w:ascii="Calibri" w:hAnsi="Calibri" w:cs="Calibri"/>
          <w:sz w:val="22"/>
          <w:szCs w:val="22"/>
        </w:rPr>
        <w:t xml:space="preserve">Planen skal robust evalueres ved å bruke </w:t>
      </w:r>
      <w:r w:rsidRPr="00F86B48">
        <w:rPr>
          <w:rFonts w:ascii="Calibri" w:hAnsi="Calibri" w:cs="Calibri"/>
          <w:sz w:val="22"/>
          <w:szCs w:val="22"/>
        </w:rPr>
        <w:t xml:space="preserve">robusthetsparametere i </w:t>
      </w:r>
      <w:r w:rsidRPr="00F86B48" w:rsidR="00F86B48">
        <w:rPr>
          <w:rFonts w:ascii="Calibri" w:hAnsi="Calibri" w:cs="Calibri"/>
          <w:sz w:val="22"/>
          <w:szCs w:val="22"/>
        </w:rPr>
        <w:fldChar w:fldCharType="begin"/>
      </w:r>
      <w:r w:rsidRPr="00F86B48" w:rsidR="00F86B48">
        <w:rPr>
          <w:rFonts w:ascii="Calibri" w:hAnsi="Calibri" w:cs="Calibri"/>
          <w:sz w:val="22"/>
          <w:szCs w:val="22"/>
        </w:rPr>
        <w:instrText xml:space="preserve"> REF _Ref170129706 \h </w:instrText>
      </w:r>
      <w:r w:rsidR="00F86B48">
        <w:rPr>
          <w:rFonts w:ascii="Calibri" w:hAnsi="Calibri" w:cs="Calibri"/>
          <w:sz w:val="22"/>
          <w:szCs w:val="22"/>
        </w:rPr>
        <w:instrText xml:space="preserve"> \* MERGEFORMAT </w:instrText>
      </w:r>
      <w:r w:rsidRPr="00F86B48" w:rsidR="00F86B48">
        <w:rPr>
          <w:rFonts w:ascii="Calibri" w:hAnsi="Calibri" w:cs="Calibri"/>
          <w:sz w:val="22"/>
          <w:szCs w:val="22"/>
        </w:rPr>
        <w:fldChar w:fldCharType="separate"/>
      </w:r>
      <w:r w:rsidRPr="00EB53AF" w:rsidR="00EB53AF">
        <w:rPr>
          <w:sz w:val="22"/>
          <w:szCs w:val="22"/>
        </w:rPr>
        <w:t xml:space="preserve">Tabell </w:t>
      </w:r>
      <w:r w:rsidRPr="00EB53AF" w:rsidR="00EB53AF">
        <w:rPr>
          <w:noProof/>
          <w:sz w:val="22"/>
          <w:szCs w:val="22"/>
        </w:rPr>
        <w:t>5</w:t>
      </w:r>
      <w:r w:rsidRPr="00F86B48" w:rsidR="00F86B48">
        <w:rPr>
          <w:rFonts w:ascii="Calibri" w:hAnsi="Calibri" w:cs="Calibri"/>
          <w:sz w:val="22"/>
          <w:szCs w:val="22"/>
        </w:rPr>
        <w:fldChar w:fldCharType="end"/>
      </w:r>
      <w:r w:rsidR="00F86B48">
        <w:rPr>
          <w:rFonts w:ascii="Calibri" w:hAnsi="Calibri" w:cs="Calibri"/>
          <w:sz w:val="22"/>
          <w:szCs w:val="22"/>
        </w:rPr>
        <w:t xml:space="preserve"> </w:t>
      </w:r>
      <w:r w:rsidRPr="00F86B48">
        <w:rPr>
          <w:rFonts w:ascii="Calibri" w:hAnsi="Calibri" w:cs="Calibri"/>
          <w:sz w:val="22"/>
          <w:szCs w:val="22"/>
        </w:rPr>
        <w:t>og</w:t>
      </w:r>
      <w:r w:rsidRPr="001A3D0A">
        <w:rPr>
          <w:rFonts w:ascii="Calibri" w:hAnsi="Calibri" w:cs="Calibri"/>
          <w:sz w:val="22"/>
          <w:szCs w:val="22"/>
        </w:rPr>
        <w:t xml:space="preserve"> skal inkludere forskyvninger langs kardinalaksene og diagonalene. 0 mm forskyvning skal også inngå. Dette resulterer i total 30 scenarioer som skal evalueres. Ved metaller og artefakter må man vurdere om man skal øke tetthetsusikkerheten [</w:t>
      </w:r>
      <w:r w:rsidRPr="001A3D0A">
        <w:rPr>
          <w:rFonts w:ascii="Calibri" w:hAnsi="Calibri" w:cs="Calibri"/>
          <w:color w:val="0000FF"/>
          <w:sz w:val="22"/>
          <w:szCs w:val="22"/>
        </w:rPr>
        <w:t>REF! &lt;metaller og artefakter&gt;</w:t>
      </w:r>
      <w:r w:rsidRPr="001A3D0A">
        <w:rPr>
          <w:rFonts w:ascii="Calibri" w:hAnsi="Calibri" w:cs="Calibri"/>
          <w:sz w:val="22"/>
          <w:szCs w:val="22"/>
        </w:rPr>
        <w:t>]. </w:t>
      </w:r>
    </w:p>
    <w:p w:rsidR="001A3D0A" w:rsidP="00F86B48" w14:paraId="6E19C40F" w14:textId="77777777">
      <w:pPr>
        <w:pStyle w:val="Heading3"/>
      </w:pPr>
      <w:bookmarkStart w:id="27" w:name="_Toc256000025"/>
      <w:r w:rsidRPr="001A3D0A">
        <w:t>Målvolum</w:t>
      </w:r>
      <w:bookmarkEnd w:id="27"/>
      <w:r w:rsidRPr="001A3D0A">
        <w:t> </w:t>
      </w:r>
    </w:p>
    <w:p w:rsidR="00CD11FA" w:rsidRPr="00CD11FA" w:rsidP="00CD11FA" w14:paraId="477C2159" w14:textId="77777777">
      <w:pPr>
        <w:rPr>
          <w:sz w:val="22"/>
          <w:szCs w:val="18"/>
        </w:rPr>
      </w:pPr>
    </w:p>
    <w:p w:rsidR="00CD11FA" w:rsidP="00CD11FA" w14:paraId="34FAF5B0" w14:textId="01690961">
      <w:pPr>
        <w:pStyle w:val="Caption"/>
        <w:keepNext/>
      </w:pPr>
      <w:r>
        <w:t xml:space="preserve">Tabell </w:t>
      </w:r>
      <w:r w:rsidR="00EB53AF">
        <w:fldChar w:fldCharType="begin"/>
      </w:r>
      <w:r w:rsidR="00EB53AF">
        <w:instrText xml:space="preserve"> SEQ Tabell \* ARABIC </w:instrText>
      </w:r>
      <w:r w:rsidR="00EB53AF">
        <w:fldChar w:fldCharType="separate"/>
      </w:r>
      <w:r w:rsidR="00EB53AF">
        <w:t>8</w:t>
      </w:r>
      <w:r w:rsidR="00EB53AF">
        <w:rPr>
          <w:noProof/>
        </w:rPr>
        <w:fldChar w:fldCharType="end"/>
      </w:r>
      <w:r>
        <w:t xml:space="preserve">: </w:t>
      </w:r>
      <w:r w:rsidR="008C2669">
        <w:t>Nominelle dekningskrav til GTV og PTV</w:t>
      </w:r>
      <w:r>
        <w:t>.</w:t>
      </w:r>
    </w:p>
    <w:tbl>
      <w:tblPr>
        <w:tblW w:w="6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5"/>
        <w:gridCol w:w="1410"/>
        <w:gridCol w:w="4245"/>
      </w:tblGrid>
      <w:tr w14:paraId="1BEFD729" w14:textId="77777777" w:rsidTr="00CD11FA">
        <w:tblPrEx>
          <w:tblW w:w="6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95" w:type="dxa"/>
            <w:tcBorders>
              <w:top w:val="single" w:sz="6" w:space="0" w:color="4F81BD"/>
              <w:left w:val="single" w:sz="6" w:space="0" w:color="4F81BD"/>
              <w:bottom w:val="single" w:sz="6" w:space="0" w:color="4F81BD"/>
              <w:right w:val="nil"/>
            </w:tcBorders>
            <w:shd w:val="clear" w:color="auto" w:fill="4F81BD"/>
            <w:hideMark/>
          </w:tcPr>
          <w:p w:rsidR="001A3D0A" w:rsidRPr="00527FF5" w:rsidP="001A3D0A" w14:paraId="64130C51"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Målvolum </w:t>
            </w:r>
          </w:p>
        </w:tc>
        <w:tc>
          <w:tcPr>
            <w:tcW w:w="1410" w:type="dxa"/>
            <w:tcBorders>
              <w:top w:val="single" w:sz="6" w:space="0" w:color="4F81BD"/>
              <w:left w:val="nil"/>
              <w:bottom w:val="single" w:sz="6" w:space="0" w:color="4F81BD"/>
              <w:right w:val="nil"/>
            </w:tcBorders>
            <w:shd w:val="clear" w:color="auto" w:fill="4F81BD"/>
            <w:hideMark/>
          </w:tcPr>
          <w:p w:rsidR="001A3D0A" w:rsidRPr="00527FF5" w:rsidP="001A3D0A" w14:paraId="49CC7A3C"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Dekningskrav </w:t>
            </w:r>
          </w:p>
        </w:tc>
        <w:tc>
          <w:tcPr>
            <w:tcW w:w="4245" w:type="dxa"/>
            <w:tcBorders>
              <w:top w:val="single" w:sz="6" w:space="0" w:color="4F81BD"/>
              <w:left w:val="nil"/>
              <w:bottom w:val="single" w:sz="6" w:space="0" w:color="4F81BD"/>
              <w:right w:val="single" w:sz="6" w:space="0" w:color="4F81BD"/>
            </w:tcBorders>
            <w:shd w:val="clear" w:color="auto" w:fill="4F81BD"/>
            <w:hideMark/>
          </w:tcPr>
          <w:p w:rsidR="001A3D0A" w:rsidRPr="00527FF5" w:rsidP="001A3D0A" w14:paraId="447A1E79" w14:textId="77777777">
            <w:pPr>
              <w:textAlignment w:val="baseline"/>
              <w:rPr>
                <w:rFonts w:ascii="Times New Roman" w:hAnsi="Times New Roman"/>
                <w:b/>
                <w:bCs/>
                <w:color w:val="FFFFFF"/>
                <w:sz w:val="18"/>
                <w:szCs w:val="18"/>
              </w:rPr>
            </w:pPr>
            <w:r w:rsidRPr="00527FF5">
              <w:rPr>
                <w:rFonts w:ascii="Calibri" w:hAnsi="Calibri" w:cs="Calibri"/>
                <w:b/>
                <w:bCs/>
                <w:color w:val="FFFFFF"/>
                <w:sz w:val="18"/>
                <w:szCs w:val="18"/>
              </w:rPr>
              <w:t>Robusthet </w:t>
            </w:r>
          </w:p>
        </w:tc>
      </w:tr>
      <w:tr w14:paraId="054D43DA" w14:textId="77777777" w:rsidTr="00CD11FA">
        <w:tblPrEx>
          <w:tblW w:w="6750" w:type="dxa"/>
          <w:tblCellMar>
            <w:left w:w="0" w:type="dxa"/>
            <w:right w:w="0" w:type="dxa"/>
          </w:tblCellMar>
          <w:tblLook w:val="04A0"/>
        </w:tblPrEx>
        <w:trPr>
          <w:trHeight w:val="300"/>
        </w:trPr>
        <w:tc>
          <w:tcPr>
            <w:tcW w:w="10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5B1DF325" w14:textId="77777777">
            <w:pPr>
              <w:textAlignment w:val="baseline"/>
              <w:rPr>
                <w:rFonts w:ascii="Times New Roman" w:hAnsi="Times New Roman"/>
                <w:b/>
                <w:bCs/>
                <w:sz w:val="18"/>
                <w:szCs w:val="18"/>
              </w:rPr>
            </w:pPr>
            <w:r w:rsidRPr="00527FF5">
              <w:rPr>
                <w:rFonts w:ascii="Calibri" w:hAnsi="Calibri" w:cs="Calibri"/>
                <w:b/>
                <w:bCs/>
                <w:sz w:val="18"/>
                <w:szCs w:val="18"/>
              </w:rPr>
              <w:t>GTV </w:t>
            </w:r>
          </w:p>
        </w:tc>
        <w:tc>
          <w:tcPr>
            <w:tcW w:w="141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2705B593"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99%</w:t>
            </w:r>
            <w:r w:rsidRPr="00527FF5">
              <w:rPr>
                <w:rFonts w:ascii="Calibri" w:hAnsi="Calibri" w:cs="Calibri"/>
                <w:sz w:val="18"/>
                <w:szCs w:val="18"/>
              </w:rPr>
              <w:t xml:space="preserve"> &gt; 95% </w:t>
            </w:r>
          </w:p>
        </w:tc>
        <w:tc>
          <w:tcPr>
            <w:tcW w:w="424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rsidR="001A3D0A" w:rsidRPr="00527FF5" w:rsidP="001A3D0A" w14:paraId="211387CB" w14:textId="77777777">
            <w:pPr>
              <w:textAlignment w:val="baseline"/>
              <w:rPr>
                <w:rFonts w:ascii="Times New Roman" w:hAnsi="Times New Roman"/>
                <w:sz w:val="18"/>
                <w:szCs w:val="18"/>
              </w:rPr>
            </w:pPr>
            <w:r w:rsidRPr="00527FF5">
              <w:rPr>
                <w:rFonts w:ascii="Calibri" w:hAnsi="Calibri" w:cs="Calibri"/>
                <w:sz w:val="18"/>
                <w:szCs w:val="18"/>
              </w:rPr>
              <w:t>Worst case scenario </w:t>
            </w:r>
          </w:p>
        </w:tc>
      </w:tr>
      <w:tr w14:paraId="16D07CD2" w14:textId="77777777" w:rsidTr="00CD11FA">
        <w:tblPrEx>
          <w:tblW w:w="6750" w:type="dxa"/>
          <w:tblCellMar>
            <w:left w:w="0" w:type="dxa"/>
            <w:right w:w="0" w:type="dxa"/>
          </w:tblCellMar>
          <w:tblLook w:val="04A0"/>
        </w:tblPrEx>
        <w:trPr>
          <w:trHeight w:val="300"/>
        </w:trPr>
        <w:tc>
          <w:tcPr>
            <w:tcW w:w="109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0030B227" w14:textId="77777777">
            <w:pPr>
              <w:textAlignment w:val="baseline"/>
              <w:rPr>
                <w:rFonts w:ascii="Times New Roman" w:hAnsi="Times New Roman"/>
                <w:b/>
                <w:bCs/>
                <w:sz w:val="18"/>
                <w:szCs w:val="18"/>
              </w:rPr>
            </w:pPr>
            <w:r w:rsidRPr="00527FF5">
              <w:rPr>
                <w:rFonts w:ascii="Calibri" w:hAnsi="Calibri" w:cs="Calibri"/>
                <w:b/>
                <w:bCs/>
                <w:sz w:val="18"/>
                <w:szCs w:val="18"/>
              </w:rPr>
              <w:t>CTV_xx* </w:t>
            </w:r>
          </w:p>
        </w:tc>
        <w:tc>
          <w:tcPr>
            <w:tcW w:w="141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672F3F3C" w14:textId="77777777">
            <w:pPr>
              <w:textAlignment w:val="baseline"/>
              <w:rPr>
                <w:rFonts w:ascii="Times New Roman" w:hAnsi="Times New Roman"/>
                <w:sz w:val="18"/>
                <w:szCs w:val="18"/>
              </w:rPr>
            </w:pPr>
            <w:r w:rsidRPr="00527FF5">
              <w:rPr>
                <w:rFonts w:ascii="Calibri" w:hAnsi="Calibri" w:cs="Calibri"/>
                <w:sz w:val="18"/>
                <w:szCs w:val="18"/>
              </w:rPr>
              <w:t>D</w:t>
            </w:r>
            <w:r w:rsidRPr="00527FF5">
              <w:rPr>
                <w:rFonts w:ascii="Calibri" w:hAnsi="Calibri" w:cs="Calibri"/>
                <w:sz w:val="18"/>
                <w:szCs w:val="18"/>
                <w:vertAlign w:val="subscript"/>
              </w:rPr>
              <w:t>98%</w:t>
            </w:r>
            <w:r w:rsidRPr="00527FF5">
              <w:rPr>
                <w:rFonts w:ascii="Calibri" w:hAnsi="Calibri" w:cs="Calibri"/>
                <w:sz w:val="18"/>
                <w:szCs w:val="18"/>
              </w:rPr>
              <w:t xml:space="preserve"> &gt; 95% </w:t>
            </w:r>
          </w:p>
        </w:tc>
        <w:tc>
          <w:tcPr>
            <w:tcW w:w="424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rsidR="001A3D0A" w:rsidRPr="00527FF5" w:rsidP="001A3D0A" w14:paraId="1A99BC10" w14:textId="77777777">
            <w:pPr>
              <w:textAlignment w:val="baseline"/>
              <w:rPr>
                <w:rFonts w:ascii="Times New Roman" w:hAnsi="Times New Roman"/>
                <w:sz w:val="18"/>
                <w:szCs w:val="18"/>
              </w:rPr>
            </w:pPr>
            <w:r w:rsidRPr="00527FF5">
              <w:rPr>
                <w:rFonts w:ascii="Calibri" w:hAnsi="Calibri" w:cs="Calibri"/>
                <w:sz w:val="18"/>
                <w:szCs w:val="18"/>
              </w:rPr>
              <w:t>Worst case scenario </w:t>
            </w:r>
          </w:p>
        </w:tc>
      </w:tr>
    </w:tbl>
    <w:p w:rsidR="001A3D0A" w:rsidRPr="001A3D0A" w:rsidP="001A3D0A" w14:paraId="575130F2" w14:textId="77777777">
      <w:pPr>
        <w:textAlignment w:val="baseline"/>
        <w:rPr>
          <w:rFonts w:ascii="Calibri" w:hAnsi="Calibri" w:cs="Calibri"/>
          <w:sz w:val="22"/>
          <w:szCs w:val="22"/>
        </w:rPr>
      </w:pPr>
      <w:r w:rsidRPr="001A3D0A">
        <w:rPr>
          <w:rFonts w:ascii="Calibri" w:hAnsi="Calibri" w:cs="Calibri"/>
          <w:sz w:val="16"/>
          <w:szCs w:val="16"/>
        </w:rPr>
        <w:t>* Gjelder croppet CTV der dette er aktuelt volum. </w:t>
      </w:r>
    </w:p>
    <w:p w:rsidR="008C2669" w:rsidP="008C2669" w14:paraId="3938C878" w14:textId="77777777"/>
    <w:p w:rsidR="001A3D0A" w:rsidRPr="001A3D0A" w:rsidP="00F86B48" w14:paraId="60CF97A4" w14:textId="564F3F35">
      <w:pPr>
        <w:pStyle w:val="Heading3"/>
      </w:pPr>
      <w:bookmarkStart w:id="28" w:name="_Toc256000026"/>
      <w:r w:rsidRPr="001A3D0A">
        <w:t>Risikoorganer</w:t>
      </w:r>
      <w:bookmarkEnd w:id="28"/>
      <w:r w:rsidRPr="001A3D0A">
        <w:t> </w:t>
      </w:r>
    </w:p>
    <w:p w:rsidR="001A3D0A" w:rsidRPr="001A3D0A" w:rsidP="001A3D0A" w14:paraId="16F965B8" w14:textId="77777777">
      <w:pPr>
        <w:textAlignment w:val="baseline"/>
        <w:rPr>
          <w:rFonts w:ascii="Calibri" w:hAnsi="Calibri" w:cs="Calibri"/>
          <w:sz w:val="22"/>
          <w:szCs w:val="22"/>
        </w:rPr>
      </w:pPr>
      <w:r w:rsidRPr="001A3D0A">
        <w:rPr>
          <w:rFonts w:ascii="Calibri" w:hAnsi="Calibri" w:cs="Calibri"/>
          <w:sz w:val="22"/>
          <w:szCs w:val="22"/>
        </w:rPr>
        <w:t>Robusthet til risikoorganer bør evalueres tverrfaglig mellom leger, doseplanleggere og fysikere. Det er ikke mulig å konkretisere en spesifikk robusthet som gjelder for alle pasienter, men robustheten må bestemmes individuelt for hver pasient. </w:t>
      </w:r>
    </w:p>
    <w:p w:rsidR="008C2669" w:rsidP="001A3D0A" w14:paraId="0CCCDAB3" w14:textId="77777777">
      <w:pPr>
        <w:textAlignment w:val="baseline"/>
        <w:rPr>
          <w:rFonts w:ascii="Calibri" w:hAnsi="Calibri" w:cs="Calibri"/>
          <w:sz w:val="22"/>
          <w:szCs w:val="22"/>
        </w:rPr>
      </w:pPr>
    </w:p>
    <w:p w:rsidR="001A3D0A" w:rsidP="001A3D0A" w14:paraId="78BFEFF9" w14:textId="0E84841C">
      <w:pPr>
        <w:textAlignment w:val="baseline"/>
        <w:rPr>
          <w:rFonts w:ascii="Calibri" w:hAnsi="Calibri" w:cs="Calibri"/>
          <w:sz w:val="22"/>
          <w:szCs w:val="22"/>
        </w:rPr>
      </w:pPr>
      <w:r w:rsidRPr="001A3D0A">
        <w:rPr>
          <w:rFonts w:ascii="Calibri" w:hAnsi="Calibri" w:cs="Calibri"/>
          <w:sz w:val="22"/>
          <w:szCs w:val="22"/>
        </w:rPr>
        <w:t>Generelt sett er det ønskelig at serielle risikoorganer er under nominelle krav ved robust evaluering i worst case. Dette vil ofte ikke være mulig og heller ikke nødvendigvis hensiktsmessig. Det er likevel ønskelig at det tilstrebes å minimere doser til risikoorganer i robusthetsscenarioene, med høyest prioritet på scenarioer med systematiske usikkerheter.  </w:t>
      </w:r>
    </w:p>
    <w:p w:rsidR="00561498" w:rsidRPr="001A3D0A" w:rsidP="001A3D0A" w14:paraId="76662322" w14:textId="77777777">
      <w:pPr>
        <w:textAlignment w:val="baseline"/>
        <w:rPr>
          <w:rFonts w:ascii="Calibri" w:hAnsi="Calibri" w:cs="Calibri"/>
          <w:sz w:val="22"/>
          <w:szCs w:val="22"/>
        </w:rPr>
      </w:pPr>
    </w:p>
    <w:p w:rsidR="001A3D0A" w:rsidRPr="001A3D0A" w:rsidP="00561498" w14:paraId="475EBCF9" w14:textId="77777777">
      <w:pPr>
        <w:pStyle w:val="Heading1"/>
      </w:pPr>
      <w:bookmarkStart w:id="29" w:name="_Toc256000027"/>
      <w:r w:rsidRPr="001A3D0A">
        <w:t>Bildeveiledning</w:t>
      </w:r>
      <w:bookmarkEnd w:id="29"/>
      <w:r w:rsidRPr="001A3D0A">
        <w:t> </w:t>
      </w:r>
    </w:p>
    <w:p w:rsidR="001A3D0A" w:rsidP="001A3D0A" w14:paraId="18846C69" w14:textId="1473E3D2">
      <w:pPr>
        <w:textAlignment w:val="baseline"/>
        <w:rPr>
          <w:rFonts w:ascii="Calibri" w:hAnsi="Calibri" w:cs="Calibri"/>
          <w:sz w:val="22"/>
          <w:szCs w:val="22"/>
        </w:rPr>
      </w:pPr>
      <w:r w:rsidRPr="001A3D0A">
        <w:rPr>
          <w:rFonts w:ascii="Calibri" w:hAnsi="Calibri" w:cs="Calibri"/>
          <w:sz w:val="22"/>
          <w:szCs w:val="22"/>
        </w:rPr>
        <w:t xml:space="preserve">Bildeveiledning utføres ved hjelp av CBCT og/eller to ortogonale setup-felt. Se </w:t>
      </w:r>
      <w:r w:rsidRPr="00A4565C" w:rsidR="00A4565C">
        <w:rPr>
          <w:rFonts w:ascii="Calibri" w:hAnsi="Calibri" w:cs="Calibri"/>
          <w:color w:val="0000FF"/>
          <w:sz w:val="22"/>
          <w:szCs w:val="22"/>
        </w:rPr>
        <w:t>Nasjona</w:t>
      </w:r>
      <w:r w:rsidR="00A4565C">
        <w:rPr>
          <w:rFonts w:ascii="Calibri" w:hAnsi="Calibri" w:cs="Calibri"/>
          <w:color w:val="0000FF"/>
          <w:sz w:val="22"/>
          <w:szCs w:val="22"/>
        </w:rPr>
        <w:t>l retningslinje for gjennomføring av strålebehandling med protoner</w:t>
      </w:r>
      <w:r w:rsidRPr="001A3D0A">
        <w:rPr>
          <w:rFonts w:ascii="Calibri" w:hAnsi="Calibri" w:cs="Calibri"/>
          <w:sz w:val="22"/>
          <w:szCs w:val="22"/>
        </w:rPr>
        <w:t xml:space="preserve"> for utførelse på apparat. </w:t>
      </w:r>
    </w:p>
    <w:p w:rsidR="00561498" w:rsidRPr="001A3D0A" w:rsidP="001A3D0A" w14:paraId="2B3FA45B" w14:textId="77777777">
      <w:pPr>
        <w:textAlignment w:val="baseline"/>
        <w:rPr>
          <w:rFonts w:ascii="Calibri" w:hAnsi="Calibri" w:cs="Calibri"/>
          <w:color w:val="365F91"/>
          <w:sz w:val="22"/>
          <w:szCs w:val="22"/>
        </w:rPr>
      </w:pPr>
    </w:p>
    <w:p w:rsidR="001A3D0A" w:rsidRPr="001A3D0A" w:rsidP="00561498" w14:paraId="4390F0FA" w14:textId="77777777">
      <w:pPr>
        <w:pStyle w:val="Heading1"/>
      </w:pPr>
      <w:bookmarkStart w:id="30" w:name="_Toc256000028"/>
      <w:r w:rsidRPr="001A3D0A">
        <w:t>Kontrollbilder og adapsjon</w:t>
      </w:r>
      <w:bookmarkEnd w:id="30"/>
      <w:r w:rsidRPr="001A3D0A">
        <w:t> </w:t>
      </w:r>
    </w:p>
    <w:p w:rsidR="001A3D0A" w:rsidP="001A3D0A" w14:paraId="2A799052" w14:textId="6D21F572">
      <w:pPr>
        <w:textAlignment w:val="baseline"/>
        <w:rPr>
          <w:rFonts w:ascii="Calibri" w:hAnsi="Calibri" w:cs="Calibri"/>
          <w:sz w:val="22"/>
          <w:szCs w:val="22"/>
        </w:rPr>
      </w:pPr>
      <w:r w:rsidRPr="001A3D0A">
        <w:rPr>
          <w:rFonts w:ascii="Calibri" w:hAnsi="Calibri" w:cs="Calibri"/>
          <w:sz w:val="22"/>
          <w:szCs w:val="22"/>
        </w:rPr>
        <w:t xml:space="preserve">Ved sarkom vil behovet for adapsjon variere. Det kan for eksempel inntreffe at større anatomiske endringer bemerkes på CBCT. Om slike tilfeller kan påvirke dosedekning eller doser til risikoorganer bør det tas ny doseplan-CT for replanlegging. Se prosedyren </w:t>
      </w:r>
      <w:r w:rsidR="00A4565C">
        <w:rPr>
          <w:rFonts w:ascii="Calibri" w:hAnsi="Calibri" w:cs="Calibri"/>
          <w:sz w:val="22"/>
          <w:szCs w:val="22"/>
        </w:rPr>
        <w:t>[</w:t>
      </w:r>
      <w:r w:rsidRPr="00A4565C" w:rsidR="00A4565C">
        <w:rPr>
          <w:rFonts w:ascii="Calibri" w:hAnsi="Calibri" w:cs="Calibri"/>
          <w:color w:val="0000FF"/>
          <w:sz w:val="22"/>
          <w:szCs w:val="22"/>
        </w:rPr>
        <w:t>REF! Behandling/adapsjon</w:t>
      </w:r>
      <w:r w:rsidR="00A4565C">
        <w:rPr>
          <w:rFonts w:ascii="Calibri" w:hAnsi="Calibri" w:cs="Calibri"/>
          <w:sz w:val="22"/>
          <w:szCs w:val="22"/>
        </w:rPr>
        <w:t>] for detaljer.</w:t>
      </w:r>
    </w:p>
    <w:p w:rsidR="00561498" w:rsidRPr="001A3D0A" w:rsidP="001A3D0A" w14:paraId="14A26A0A" w14:textId="77777777">
      <w:pPr>
        <w:textAlignment w:val="baseline"/>
        <w:rPr>
          <w:rFonts w:ascii="Calibri" w:hAnsi="Calibri" w:cs="Calibri"/>
          <w:sz w:val="22"/>
          <w:szCs w:val="22"/>
        </w:rPr>
      </w:pPr>
    </w:p>
    <w:p w:rsidR="001A3D0A" w:rsidRPr="001A3D0A" w:rsidP="00561498" w14:paraId="35CAC9B7" w14:textId="77777777">
      <w:pPr>
        <w:pStyle w:val="Heading1"/>
      </w:pPr>
      <w:bookmarkStart w:id="31" w:name="_Toc256000029"/>
      <w:r w:rsidRPr="001A3D0A">
        <w:t>Tiltak og prioritering ved nedetid</w:t>
      </w:r>
      <w:bookmarkEnd w:id="31"/>
      <w:r w:rsidRPr="001A3D0A">
        <w:t> </w:t>
      </w:r>
    </w:p>
    <w:p w:rsidR="001A3D0A" w:rsidRPr="001A3D0A" w:rsidP="001A3D0A" w14:paraId="3FA94148" w14:textId="77777777">
      <w:pPr>
        <w:textAlignment w:val="baseline"/>
        <w:rPr>
          <w:rFonts w:ascii="Calibri" w:hAnsi="Calibri" w:cs="Calibri"/>
          <w:sz w:val="22"/>
          <w:szCs w:val="22"/>
        </w:rPr>
      </w:pPr>
      <w:r w:rsidRPr="001A3D0A">
        <w:rPr>
          <w:rFonts w:ascii="Calibri" w:hAnsi="Calibri" w:cs="Calibri"/>
          <w:sz w:val="22"/>
          <w:szCs w:val="22"/>
        </w:rPr>
        <w:t>Prioritering av pasienter vil være lik som for fotoner. Vurdering av hvilke pasienter som skal avvente, behandles med fotoner eller sendes til OUS/HUS bør gjøres av en egen gruppe. </w:t>
      </w:r>
    </w:p>
    <w:p w:rsidR="001A3D0A" w:rsidRPr="001A3D0A" w:rsidP="001A3D0A" w14:paraId="5B3A2BCA" w14:textId="77777777">
      <w:pPr>
        <w:textAlignment w:val="baseline"/>
        <w:rPr>
          <w:rFonts w:ascii="Calibri" w:hAnsi="Calibri" w:cs="Calibri"/>
          <w:sz w:val="22"/>
          <w:szCs w:val="22"/>
        </w:rPr>
      </w:pPr>
      <w:r w:rsidRPr="001A3D0A">
        <w:rPr>
          <w:rFonts w:ascii="Calibri" w:hAnsi="Calibri" w:cs="Calibri"/>
          <w:sz w:val="22"/>
          <w:szCs w:val="22"/>
        </w:rPr>
        <w:t> </w:t>
      </w:r>
    </w:p>
    <w:p w:rsidR="00A4565C" w:rsidRPr="00A4565C" w:rsidP="00A4565C" w14:paraId="75F75CF5" w14:textId="0A1B725D">
      <w:pPr>
        <w:pStyle w:val="Heading1"/>
      </w:pPr>
      <w:bookmarkStart w:id="32" w:name="_Toc256000030"/>
      <w:r w:rsidRPr="001A3D0A">
        <w:t>Referanser</w:t>
      </w:r>
      <w:bookmarkEnd w:id="32"/>
      <w:r w:rsidRPr="001A3D0A">
        <w:t> </w:t>
      </w:r>
    </w:p>
    <w:p w:rsidR="00F86B48" w:rsidRPr="00F86B48" w:rsidP="00F86B48" w14:paraId="1F62E448" w14:textId="4AD2042F">
      <w:pPr>
        <w:pStyle w:val="ListParagraph"/>
        <w:numPr>
          <w:ilvl w:val="0"/>
          <w:numId w:val="59"/>
        </w:numPr>
        <w:spacing w:after="200" w:line="276" w:lineRule="auto"/>
        <w:rPr>
          <w:sz w:val="22"/>
          <w:szCs w:val="18"/>
          <w:lang w:val="en-US"/>
        </w:rPr>
      </w:pPr>
      <w:r w:rsidRPr="00F86B48">
        <w:rPr>
          <w:sz w:val="22"/>
          <w:szCs w:val="18"/>
          <w:lang w:val="en-US"/>
        </w:rPr>
        <w:t xml:space="preserve">Feng, M. et al. (2011) “Development and validation of a heart atlas to study cardiac exposure to radiation following treatment for breast cancer.” </w:t>
      </w:r>
      <w:r w:rsidRPr="00F86B48">
        <w:rPr>
          <w:i/>
          <w:iCs/>
          <w:sz w:val="22"/>
          <w:szCs w:val="18"/>
          <w:lang w:val="en-US"/>
        </w:rPr>
        <w:t>International journal of radiation oncology, biology, physics</w:t>
      </w:r>
      <w:r w:rsidRPr="00F86B48">
        <w:rPr>
          <w:sz w:val="22"/>
          <w:szCs w:val="18"/>
          <w:lang w:val="en-US"/>
        </w:rPr>
        <w:t xml:space="preserve"> vol. 79,1: 10-8. doi:10.1016/j.ijrobp.2009.10.058</w:t>
      </w:r>
    </w:p>
    <w:p w:rsidR="00F86B48" w:rsidRPr="00F86B48" w:rsidP="00F86B48" w14:paraId="2FDC52E8" w14:textId="77777777">
      <w:pPr>
        <w:pStyle w:val="ListParagraph"/>
        <w:numPr>
          <w:ilvl w:val="0"/>
          <w:numId w:val="59"/>
        </w:numPr>
        <w:spacing w:after="200" w:line="276" w:lineRule="auto"/>
        <w:rPr>
          <w:sz w:val="22"/>
          <w:szCs w:val="18"/>
          <w:lang w:val="en-US"/>
        </w:rPr>
      </w:pPr>
      <w:r w:rsidRPr="00F86B48">
        <w:rPr>
          <w:sz w:val="22"/>
          <w:szCs w:val="18"/>
          <w:lang w:val="en-US"/>
        </w:rPr>
        <w:t xml:space="preserve">Duane, F., et al. (2017).  “A cardiac contouring atlas for radiotherapy”. </w:t>
      </w:r>
      <w:r w:rsidRPr="00F86B48">
        <w:rPr>
          <w:i/>
          <w:iCs/>
          <w:sz w:val="22"/>
          <w:szCs w:val="18"/>
          <w:lang w:val="en-US"/>
        </w:rPr>
        <w:t>Radiotherapy and Oncology</w:t>
      </w:r>
      <w:r w:rsidRPr="00F86B48">
        <w:rPr>
          <w:sz w:val="22"/>
          <w:szCs w:val="18"/>
          <w:lang w:val="en-US"/>
        </w:rPr>
        <w:t xml:space="preserve"> 122: 416–422.</w:t>
      </w:r>
      <w:r w:rsidRPr="00F86B48">
        <w:rPr>
          <w:sz w:val="22"/>
          <w:szCs w:val="18"/>
        </w:rPr>
        <w:t xml:space="preserve"> </w:t>
      </w:r>
      <w:r w:rsidRPr="00F86B48">
        <w:rPr>
          <w:sz w:val="22"/>
          <w:szCs w:val="18"/>
          <w:lang w:val="en-US"/>
        </w:rPr>
        <w:t>doi:10.1016/j.radonc.2017.01.008.</w:t>
      </w:r>
    </w:p>
    <w:p w:rsidR="00F86B48" w:rsidRPr="00F86B48" w:rsidP="00F86B48" w14:paraId="32656353" w14:textId="77777777">
      <w:pPr>
        <w:pStyle w:val="ListParagraph"/>
        <w:numPr>
          <w:ilvl w:val="0"/>
          <w:numId w:val="59"/>
        </w:numPr>
        <w:spacing w:after="200" w:line="276" w:lineRule="auto"/>
        <w:rPr>
          <w:sz w:val="22"/>
          <w:szCs w:val="18"/>
          <w:lang w:val="en-US"/>
        </w:rPr>
      </w:pPr>
      <w:r w:rsidRPr="00F86B48">
        <w:rPr>
          <w:sz w:val="22"/>
          <w:szCs w:val="18"/>
        </w:rPr>
        <w:t xml:space="preserve">Gay, H. A., et al. (2012c). </w:t>
      </w:r>
      <w:r w:rsidRPr="00F86B48">
        <w:rPr>
          <w:sz w:val="22"/>
          <w:szCs w:val="18"/>
          <w:lang w:val="en-US"/>
        </w:rPr>
        <w:t xml:space="preserve">“Pelvic normal tissue contouring guidelines for radiation therapy: a Radiation Therapy Oncology Group consensus panel atlas.” </w:t>
      </w:r>
      <w:r w:rsidRPr="00F86B48">
        <w:rPr>
          <w:i/>
          <w:iCs/>
          <w:sz w:val="22"/>
          <w:szCs w:val="18"/>
          <w:lang w:val="en-US"/>
        </w:rPr>
        <w:t>International journal of radiation oncology, biology, physics</w:t>
      </w:r>
      <w:r w:rsidRPr="00F86B48">
        <w:rPr>
          <w:sz w:val="22"/>
          <w:szCs w:val="18"/>
          <w:lang w:val="en-US"/>
        </w:rPr>
        <w:t xml:space="preserve"> vol. 83,3 (2012): e353-62. doi:10.1016/j.ijrobp.2012.01.023.</w:t>
      </w:r>
    </w:p>
    <w:p w:rsidR="00F86B48" w:rsidRPr="00F86B48" w:rsidP="00F86B48" w14:paraId="76A04735" w14:textId="6FE97C62">
      <w:pPr>
        <w:pStyle w:val="ListParagraph"/>
        <w:numPr>
          <w:ilvl w:val="0"/>
          <w:numId w:val="59"/>
        </w:numPr>
        <w:spacing w:after="200" w:line="276" w:lineRule="auto"/>
        <w:rPr>
          <w:sz w:val="22"/>
          <w:szCs w:val="18"/>
        </w:rPr>
      </w:pPr>
      <w:r w:rsidRPr="00F86B48">
        <w:rPr>
          <w:sz w:val="22"/>
          <w:szCs w:val="18"/>
          <w:lang w:val="en-US"/>
        </w:rPr>
        <w:t xml:space="preserve">Gay, H.A., et al. (2012a). “MALE PELVIS Normal Tissue RTOG Consensus Contouring Guidelines”. </w:t>
      </w:r>
      <w:hyperlink r:id="rId5" w:history="1">
        <w:r w:rsidRPr="00F86B48">
          <w:rPr>
            <w:rStyle w:val="Hyperlink"/>
            <w:color w:val="0070C0"/>
            <w:sz w:val="22"/>
            <w:szCs w:val="18"/>
          </w:rPr>
          <w:t>https://www.nrgoncology.org/Portals/0/Scientific%20Program/CIRO/Atlases/Male%20RTOG%20Normal%20Pelvis%20Atlas.pdf</w:t>
        </w:r>
      </w:hyperlink>
    </w:p>
    <w:p w:rsidR="00F86B48" w:rsidRPr="00F86B48" w:rsidP="00F86B48" w14:paraId="7DD8B735" w14:textId="6B72C47B">
      <w:pPr>
        <w:pStyle w:val="ListParagraph"/>
        <w:numPr>
          <w:ilvl w:val="0"/>
          <w:numId w:val="59"/>
        </w:numPr>
        <w:spacing w:after="200" w:line="276" w:lineRule="auto"/>
        <w:rPr>
          <w:sz w:val="22"/>
          <w:szCs w:val="18"/>
        </w:rPr>
      </w:pPr>
      <w:r w:rsidRPr="00F86B48">
        <w:rPr>
          <w:sz w:val="22"/>
          <w:szCs w:val="18"/>
        </w:rPr>
        <w:t xml:space="preserve">Gay, H.A., et al. (2012b). </w:t>
      </w:r>
      <w:r w:rsidRPr="00F86B48">
        <w:rPr>
          <w:sz w:val="22"/>
          <w:szCs w:val="18"/>
          <w:lang w:val="en-US"/>
        </w:rPr>
        <w:t xml:space="preserve">“FEMALE PELVIS Normal Tissue RTOG Consensus Contouring Guidelines”. </w:t>
      </w:r>
      <w:hyperlink r:id="rId6" w:history="1">
        <w:r w:rsidRPr="00F86B48">
          <w:rPr>
            <w:rStyle w:val="Hyperlink"/>
            <w:color w:val="0070C0"/>
            <w:sz w:val="22"/>
            <w:szCs w:val="18"/>
          </w:rPr>
          <w:t>https://www.nrgoncology.org/Portals/0/Scientific%20Program/CIRO/Atlases/Female%20RTOG%20Normal%20Pelvis%20Atlas.pdf</w:t>
        </w:r>
      </w:hyperlink>
      <w:r w:rsidRPr="00F86B48">
        <w:rPr>
          <w:color w:val="0070C0"/>
          <w:sz w:val="22"/>
          <w:szCs w:val="18"/>
        </w:rPr>
        <w:t xml:space="preserve"> </w:t>
      </w:r>
    </w:p>
    <w:p w:rsidR="00F86B48" w:rsidRPr="00F86B48" w:rsidP="00F86B48" w14:paraId="7DF96F4D" w14:textId="77777777">
      <w:pPr>
        <w:pStyle w:val="ListParagraph"/>
        <w:numPr>
          <w:ilvl w:val="0"/>
          <w:numId w:val="59"/>
        </w:numPr>
        <w:spacing w:after="200" w:line="276" w:lineRule="auto"/>
        <w:rPr>
          <w:sz w:val="22"/>
          <w:szCs w:val="18"/>
          <w:lang w:val="en-US"/>
        </w:rPr>
      </w:pPr>
      <w:r w:rsidRPr="00F86B48">
        <w:rPr>
          <w:sz w:val="22"/>
          <w:szCs w:val="18"/>
        </w:rPr>
        <w:t xml:space="preserve">Kong, F.-M., et al. </w:t>
      </w:r>
      <w:r w:rsidRPr="00F86B48">
        <w:rPr>
          <w:sz w:val="22"/>
          <w:szCs w:val="18"/>
          <w:lang w:val="en-US"/>
        </w:rPr>
        <w:t>(2011). “Consideration of Dose Limits for Organs at Risk of Thoracic Radiotherapy: Atlas for Lung, Proximal Bronchial Tree, Esophagus, Spinal Cord, Ribs, and Brachial Plexus.” International Journal of Radiation Oncology*Biology*Physics 81(5): 1442-1457.</w:t>
      </w:r>
    </w:p>
    <w:p w:rsidR="00F86B48" w:rsidRPr="00F86B48" w:rsidP="00F86B48" w14:paraId="652FD156" w14:textId="77777777">
      <w:pPr>
        <w:pStyle w:val="ListParagraph"/>
        <w:numPr>
          <w:ilvl w:val="0"/>
          <w:numId w:val="59"/>
        </w:numPr>
        <w:spacing w:after="200" w:line="276" w:lineRule="auto"/>
        <w:rPr>
          <w:sz w:val="22"/>
          <w:szCs w:val="18"/>
          <w:lang w:val="en-US"/>
        </w:rPr>
      </w:pPr>
      <w:r w:rsidRPr="00F86B48">
        <w:rPr>
          <w:sz w:val="22"/>
          <w:szCs w:val="18"/>
        </w:rPr>
        <w:t xml:space="preserve">Marks, L. B., et al. </w:t>
      </w:r>
      <w:r w:rsidRPr="00F86B48">
        <w:rPr>
          <w:sz w:val="22"/>
          <w:szCs w:val="18"/>
          <w:lang w:val="en-US"/>
        </w:rPr>
        <w:t>(2010). “Radiation Dose–Volume Effects in the Lung.” International Journal of Radiation Oncology*Biology*Physics 76(3, Supplement): S70-S76</w:t>
      </w:r>
    </w:p>
    <w:p w:rsidR="00F86B48" w:rsidRPr="00F86B48" w:rsidP="00F86B48" w14:paraId="767EAD86" w14:textId="7E3B6EF5">
      <w:pPr>
        <w:pStyle w:val="ListParagraph"/>
        <w:numPr>
          <w:ilvl w:val="0"/>
          <w:numId w:val="59"/>
        </w:numPr>
        <w:spacing w:after="200" w:line="276" w:lineRule="auto"/>
        <w:rPr>
          <w:sz w:val="22"/>
          <w:szCs w:val="18"/>
          <w:lang w:val="en-US"/>
        </w:rPr>
      </w:pPr>
      <w:r w:rsidRPr="00F86B48">
        <w:rPr>
          <w:sz w:val="22"/>
          <w:szCs w:val="18"/>
          <w:lang w:val="en-US"/>
        </w:rPr>
        <w:t xml:space="preserve">Danish center for particle therapy. (2024a). DP: Spinal – DCPTwiki. </w:t>
      </w:r>
      <w:hyperlink r:id="rId7" w:history="1">
        <w:r w:rsidRPr="00F86B48">
          <w:rPr>
            <w:rStyle w:val="Hyperlink"/>
            <w:color w:val="0070C0"/>
            <w:sz w:val="22"/>
            <w:szCs w:val="18"/>
            <w:lang w:val="en-US"/>
          </w:rPr>
          <w:t>https://www.dcptwiki.dk/index.php/DP:_Spinal</w:t>
        </w:r>
      </w:hyperlink>
    </w:p>
    <w:p w:rsidR="00F86B48" w:rsidRPr="00F86B48" w:rsidP="00F86B48" w14:paraId="74D3F359" w14:textId="1448DFF8">
      <w:pPr>
        <w:pStyle w:val="ListParagraph"/>
        <w:numPr>
          <w:ilvl w:val="0"/>
          <w:numId w:val="59"/>
        </w:numPr>
        <w:spacing w:after="200" w:line="276" w:lineRule="auto"/>
        <w:rPr>
          <w:sz w:val="22"/>
          <w:szCs w:val="18"/>
        </w:rPr>
      </w:pPr>
      <w:r w:rsidRPr="00F86B48">
        <w:rPr>
          <w:sz w:val="22"/>
          <w:szCs w:val="18"/>
          <w:lang w:val="en-US"/>
        </w:rPr>
        <w:t xml:space="preserve">Danish center for particle therapy. </w:t>
      </w:r>
      <w:r w:rsidRPr="00F86B48">
        <w:rPr>
          <w:sz w:val="22"/>
          <w:szCs w:val="18"/>
        </w:rPr>
        <w:t xml:space="preserve">(2024b). Eclipse: Robusthetsparametere - DCPTwiki. </w:t>
      </w:r>
      <w:hyperlink r:id="rId8" w:history="1">
        <w:r w:rsidRPr="00F86B48">
          <w:rPr>
            <w:rStyle w:val="Hyperlink"/>
            <w:color w:val="0070C0"/>
            <w:sz w:val="22"/>
            <w:szCs w:val="18"/>
          </w:rPr>
          <w:t>https://www.dcptwiki.dk/index.php/Eclipse:_Robusthedsparametre</w:t>
        </w:r>
      </w:hyperlink>
    </w:p>
    <w:p w:rsidR="00F86B48" w:rsidRPr="00F86B48" w:rsidP="00F86B48" w14:paraId="022B9F56" w14:textId="77777777">
      <w:pPr>
        <w:pStyle w:val="ListParagraph"/>
        <w:numPr>
          <w:ilvl w:val="0"/>
          <w:numId w:val="59"/>
        </w:numPr>
        <w:spacing w:after="200" w:line="276" w:lineRule="auto"/>
        <w:rPr>
          <w:sz w:val="22"/>
          <w:szCs w:val="18"/>
          <w:lang w:val="en-US"/>
        </w:rPr>
      </w:pPr>
      <w:r w:rsidRPr="00F86B48">
        <w:rPr>
          <w:sz w:val="22"/>
          <w:szCs w:val="18"/>
        </w:rPr>
        <w:t xml:space="preserve">Wiltink, L. M., et al. </w:t>
      </w:r>
      <w:r w:rsidRPr="00F86B48">
        <w:rPr>
          <w:sz w:val="22"/>
          <w:szCs w:val="18"/>
          <w:lang w:val="en-US"/>
        </w:rPr>
        <w:t>(2024). “Unraveling the Myth of Radiation Resistance in Soft Tissue Sarcomas.” Semin Radiat Oncol 34(2): 172-179.</w:t>
      </w:r>
    </w:p>
    <w:p w:rsidR="00F86B48" w:rsidRPr="00F86B48" w:rsidP="00F86B48" w14:paraId="5E8C5F69" w14:textId="77777777">
      <w:pPr>
        <w:pStyle w:val="ListParagraph"/>
        <w:numPr>
          <w:ilvl w:val="0"/>
          <w:numId w:val="59"/>
        </w:numPr>
        <w:spacing w:after="200" w:line="276" w:lineRule="auto"/>
        <w:rPr>
          <w:sz w:val="22"/>
          <w:szCs w:val="18"/>
          <w:lang w:val="en-US"/>
        </w:rPr>
      </w:pPr>
      <w:r w:rsidRPr="00F86B48">
        <w:rPr>
          <w:sz w:val="22"/>
          <w:szCs w:val="18"/>
          <w:lang w:val="en-US"/>
        </w:rPr>
        <w:t>Roohani, S., et al. (2024). “Update on Dosing and Fractionation for Neoadjuvant Radiotherapy for Localized Soft Tissue Sarcoma.” Curr Treat Options Oncol.</w:t>
      </w:r>
    </w:p>
    <w:p w:rsidR="00935DE6" w:rsidRPr="008C2669" w:rsidP="008C2669" w14:paraId="761D57CA" w14:textId="730E8B90">
      <w:pPr>
        <w:pStyle w:val="ListParagraph"/>
        <w:numPr>
          <w:ilvl w:val="0"/>
          <w:numId w:val="59"/>
        </w:numPr>
        <w:spacing w:after="200" w:line="276" w:lineRule="auto"/>
        <w:rPr>
          <w:sz w:val="22"/>
          <w:szCs w:val="18"/>
        </w:rPr>
      </w:pPr>
      <w:r w:rsidRPr="00F86B48">
        <w:rPr>
          <w:sz w:val="22"/>
          <w:szCs w:val="18"/>
        </w:rPr>
        <w:t>Norsk Lunge Cancer Gruppe, KVIST-gruppen. Faglige anbefalinger for strålebehandling ved ikke-småcellet lunge-cancer. Oppdatert versjon 2016. StrålevernRapport 2017:6. Østerås: Statens strålevern, 2017.</w:t>
      </w:r>
    </w:p>
    <w:p w:rsidR="009D023B" w:rsidRPr="005F0E8F" w:rsidP="00066A58" w14:paraId="5EBDD6D8" w14:textId="77777777">
      <w:pPr>
        <w:pStyle w:val="Heading1"/>
        <w:spacing w:line="259" w:lineRule="auto"/>
      </w:pPr>
      <w:bookmarkStart w:id="33" w:name="_Toc256000031"/>
      <w:r w:rsidRPr="005F0E8F">
        <w:t>Endringer siden forrige versjon</w:t>
      </w:r>
      <w:bookmarkEnd w:id="33"/>
    </w:p>
    <w:p w:rsidR="009D023B" w:rsidRPr="00CD11FA" w:rsidP="00066A58" w14:paraId="65E3BABB" w14:textId="088D9EFC">
      <w:pPr>
        <w:spacing w:line="259" w:lineRule="auto"/>
        <w:rPr>
          <w:rFonts w:cstheme="minorHAnsi"/>
          <w:color w:val="000080"/>
          <w:sz w:val="22"/>
          <w:szCs w:val="18"/>
        </w:rPr>
      </w:pPr>
      <w:r w:rsidRPr="00CD11FA">
        <w:rPr>
          <w:rFonts w:cstheme="minorHAnsi"/>
          <w:color w:val="000080"/>
          <w:sz w:val="22"/>
          <w:szCs w:val="18"/>
        </w:rPr>
        <w:fldChar w:fldCharType="begin" w:fldLock="1"/>
      </w:r>
      <w:r w:rsidRPr="00CD11FA">
        <w:rPr>
          <w:rFonts w:cstheme="minorHAnsi"/>
          <w:color w:val="000080"/>
          <w:sz w:val="22"/>
          <w:szCs w:val="18"/>
        </w:rPr>
        <w:instrText xml:space="preserve"> DOCVARIABLE EK_Merknad </w:instrText>
      </w:r>
      <w:r w:rsidRPr="00CD11FA">
        <w:rPr>
          <w:rFonts w:cstheme="minorHAnsi"/>
          <w:color w:val="000080"/>
          <w:sz w:val="22"/>
          <w:szCs w:val="18"/>
        </w:rPr>
        <w:fldChar w:fldCharType="separate"/>
      </w:r>
      <w:r w:rsidRPr="00CD11FA">
        <w:rPr>
          <w:rFonts w:cstheme="minorHAnsi"/>
          <w:color w:val="000080"/>
          <w:sz w:val="22"/>
          <w:szCs w:val="18"/>
        </w:rPr>
        <w:t>Første versjon</w:t>
      </w:r>
      <w:r w:rsidRPr="00CD11FA">
        <w:rPr>
          <w:rFonts w:cstheme="minorHAnsi"/>
          <w:color w:val="000080"/>
          <w:sz w:val="22"/>
          <w:szCs w:val="18"/>
        </w:rPr>
        <w:fldChar w:fldCharType="end"/>
      </w:r>
      <w:r w:rsidR="00CD11FA">
        <w:rPr>
          <w:rFonts w:cstheme="minorHAnsi"/>
          <w:color w:val="000080"/>
          <w:sz w:val="22"/>
          <w:szCs w:val="18"/>
        </w:rPr>
        <w:t>.</w:t>
      </w:r>
    </w:p>
    <w:sectPr w:rsidSect="00D03EE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2D84BF1D"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0919E9E" w14:textId="6B7C129A">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D71EB" w:rsidRPr="00AD71EB" w:rsidP="00AD71EB" w14:textId="20B034E4">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AD71EB" w:rsidRPr="00AD71EB" w:rsidP="00AD71EB" w14:paraId="4E835DBF" w14:textId="20B034E4">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v:textbox>
                  </v:shape>
                </w:pict>
              </mc:Fallback>
            </mc:AlternateContent>
          </w:r>
          <w:r w:rsidR="00C57588">
            <w:rPr>
              <w:sz w:val="16"/>
            </w:rPr>
            <w:t xml:space="preserve">Side </w:t>
          </w:r>
          <w:r w:rsidR="00C57588">
            <w:rPr>
              <w:rStyle w:val="PageNumber"/>
              <w:sz w:val="16"/>
            </w:rPr>
            <w:fldChar w:fldCharType="begin"/>
          </w:r>
          <w:r w:rsidR="00C57588">
            <w:rPr>
              <w:rStyle w:val="PageNumber"/>
              <w:sz w:val="16"/>
            </w:rPr>
            <w:instrText xml:space="preserve"> PAGE </w:instrText>
          </w:r>
          <w:r w:rsidR="00C57588">
            <w:rPr>
              <w:rStyle w:val="PageNumber"/>
              <w:sz w:val="16"/>
            </w:rPr>
            <w:fldChar w:fldCharType="separate"/>
          </w:r>
          <w:r w:rsidR="008A218A">
            <w:rPr>
              <w:rStyle w:val="PageNumber"/>
              <w:noProof/>
              <w:sz w:val="16"/>
            </w:rPr>
            <w:t>1</w:t>
          </w:r>
          <w:r w:rsidR="00C57588">
            <w:rPr>
              <w:rStyle w:val="PageNumber"/>
              <w:sz w:val="16"/>
            </w:rPr>
            <w:fldChar w:fldCharType="end"/>
          </w:r>
          <w:r w:rsidR="00C57588">
            <w:rPr>
              <w:sz w:val="16"/>
            </w:rPr>
            <w:t xml:space="preserve"> av </w:t>
          </w:r>
          <w:r w:rsidR="00C57588">
            <w:rPr>
              <w:rStyle w:val="PageNumber"/>
              <w:sz w:val="16"/>
            </w:rPr>
            <w:fldChar w:fldCharType="begin"/>
          </w:r>
          <w:r w:rsidR="00C57588">
            <w:rPr>
              <w:rStyle w:val="PageNumber"/>
              <w:sz w:val="16"/>
            </w:rPr>
            <w:instrText xml:space="preserve"> NUMPAGES </w:instrText>
          </w:r>
          <w:r w:rsidR="00C57588">
            <w:rPr>
              <w:rStyle w:val="PageNumber"/>
              <w:sz w:val="16"/>
            </w:rPr>
            <w:fldChar w:fldCharType="separate"/>
          </w:r>
          <w:r w:rsidR="008A218A">
            <w:rPr>
              <w:rStyle w:val="PageNumber"/>
              <w:noProof/>
              <w:sz w:val="16"/>
            </w:rPr>
            <w:t>1</w:t>
          </w:r>
          <w:r w:rsidR="00C57588">
            <w:rPr>
              <w:rStyle w:val="PageNumber"/>
              <w:sz w:val="16"/>
            </w:rPr>
            <w:fldChar w:fldCharType="end"/>
          </w:r>
        </w:p>
      </w:tc>
      <w:tc>
        <w:tcPr>
          <w:tcW w:w="4074" w:type="dxa"/>
          <w:tcBorders>
            <w:left w:val="single" w:sz="4" w:space="0" w:color="auto"/>
          </w:tcBorders>
        </w:tcPr>
        <w:p w:rsidR="00485214" w14:paraId="1D7F08E3"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3.1.2.5.9.4.1-05</w:t>
          </w:r>
          <w:r>
            <w:rPr>
              <w:color w:val="000080"/>
              <w:sz w:val="16"/>
            </w:rPr>
            <w:fldChar w:fldCharType="end"/>
          </w:r>
        </w:p>
      </w:tc>
    </w:tr>
  </w:tbl>
  <w:p w:rsidR="00485214" w14:paraId="58A47C6C"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0E2B6B02"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525DF7A8" w14:textId="3A28F55A">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D71EB" w:rsidRPr="00AD71EB" w:rsidP="00AD71EB" w14:textId="725A7BBA">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AD71EB" w:rsidRPr="00AD71EB" w:rsidP="00AD71EB" w14:paraId="10D9107E" w14:textId="725A7BBA">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v:textbox>
                  </v:shape>
                </w:pict>
              </mc:Fallback>
            </mc:AlternateContent>
          </w:r>
          <w:r w:rsidR="00C57588">
            <w:rPr>
              <w:sz w:val="16"/>
            </w:rPr>
            <w:t xml:space="preserve">Dok.id: </w:t>
          </w:r>
          <w:r w:rsidR="00C57588">
            <w:rPr>
              <w:color w:val="000080"/>
              <w:sz w:val="16"/>
            </w:rPr>
            <w:fldChar w:fldCharType="begin" w:fldLock="1"/>
          </w:r>
          <w:r w:rsidR="00C57588">
            <w:rPr>
              <w:color w:val="000080"/>
              <w:sz w:val="16"/>
            </w:rPr>
            <w:instrText xml:space="preserve"> DOCPROPERTY EK_DokumentID </w:instrText>
          </w:r>
          <w:r w:rsidR="00C57588">
            <w:rPr>
              <w:color w:val="000080"/>
              <w:sz w:val="16"/>
            </w:rPr>
            <w:fldChar w:fldCharType="separate"/>
          </w:r>
          <w:r w:rsidR="00C57588">
            <w:rPr>
              <w:color w:val="000080"/>
              <w:sz w:val="16"/>
            </w:rPr>
            <w:t>D78851</w:t>
          </w:r>
          <w:r w:rsidR="00C57588">
            <w:rPr>
              <w:color w:val="000080"/>
              <w:sz w:val="16"/>
            </w:rPr>
            <w:fldChar w:fldCharType="end"/>
          </w:r>
        </w:p>
      </w:tc>
      <w:tc>
        <w:tcPr>
          <w:tcW w:w="2268" w:type="dxa"/>
          <w:tcBorders>
            <w:right w:val="single" w:sz="4" w:space="0" w:color="auto"/>
          </w:tcBorders>
        </w:tcPr>
        <w:p w:rsidR="009B041D" w:rsidRPr="009B041D" w:rsidP="007E4125" w14:paraId="79F2D2F3"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3.1.2.5.9.4.1-05</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393BC3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05A7B730"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11</w:t>
          </w:r>
          <w:r>
            <w:rPr>
              <w:rStyle w:val="PageNumber"/>
              <w:sz w:val="16"/>
            </w:rPr>
            <w:fldChar w:fldCharType="end"/>
          </w:r>
        </w:p>
      </w:tc>
    </w:tr>
  </w:tbl>
  <w:p w:rsidR="00B24A00" w:rsidRPr="009E0D59" w:rsidP="00B24A00" w14:paraId="32B4D28A"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5F609DEF"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3081F48A" w14:textId="05100789">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1"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D71EB" w:rsidRPr="00AD71EB" w:rsidP="00AD71EB" w14:textId="1D40EBEC">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AD71EB" w:rsidRPr="00AD71EB" w:rsidP="00AD71EB" w14:paraId="515DF9B1" w14:textId="1D40EBEC">
                          <w:pPr>
                            <w:rPr>
                              <w:rFonts w:ascii="Calibri" w:eastAsia="Calibri" w:hAnsi="Calibri" w:cs="Calibri"/>
                              <w:noProof/>
                              <w:color w:val="000000"/>
                              <w:sz w:val="20"/>
                            </w:rPr>
                          </w:pPr>
                          <w:r w:rsidRPr="00AD71EB">
                            <w:rPr>
                              <w:rFonts w:ascii="Calibri" w:eastAsia="Calibri" w:hAnsi="Calibri" w:cs="Calibri"/>
                              <w:noProof/>
                              <w:color w:val="000000"/>
                              <w:sz w:val="20"/>
                            </w:rPr>
                            <w:t>Følsomhet Intern (gul)</w:t>
                          </w:r>
                        </w:p>
                      </w:txbxContent>
                    </v:textbox>
                  </v:shape>
                </w:pict>
              </mc:Fallback>
            </mc:AlternateContent>
          </w:r>
          <w:r w:rsidR="00C57588">
            <w:rPr>
              <w:color w:val="000080"/>
              <w:sz w:val="16"/>
            </w:rPr>
            <w:t xml:space="preserve">Ref.nr: </w:t>
          </w:r>
          <w:r w:rsidR="00C57588">
            <w:rPr>
              <w:color w:val="000080"/>
              <w:sz w:val="16"/>
            </w:rPr>
            <w:fldChar w:fldCharType="begin" w:fldLock="1"/>
          </w:r>
          <w:r w:rsidR="00C57588">
            <w:rPr>
              <w:color w:val="000080"/>
              <w:sz w:val="16"/>
            </w:rPr>
            <w:instrText xml:space="preserve"> DOCPROPERTY EK_RefNr </w:instrText>
          </w:r>
          <w:r w:rsidR="00C57588">
            <w:rPr>
              <w:color w:val="000080"/>
              <w:sz w:val="16"/>
            </w:rPr>
            <w:fldChar w:fldCharType="separate"/>
          </w:r>
          <w:r w:rsidR="00C57588">
            <w:rPr>
              <w:color w:val="000080"/>
              <w:sz w:val="16"/>
            </w:rPr>
            <w:t>3.1.2.5.9.4.1-05</w:t>
          </w:r>
          <w:r w:rsidR="00C57588">
            <w:rPr>
              <w:color w:val="000080"/>
              <w:sz w:val="16"/>
            </w:rPr>
            <w:fldChar w:fldCharType="end"/>
          </w:r>
        </w:p>
      </w:tc>
      <w:tc>
        <w:tcPr>
          <w:tcW w:w="4395" w:type="dxa"/>
          <w:tcBorders>
            <w:left w:val="single" w:sz="4" w:space="0" w:color="auto"/>
            <w:right w:val="single" w:sz="4" w:space="0" w:color="auto"/>
          </w:tcBorders>
        </w:tcPr>
        <w:p w:rsidR="004B40D7" w:rsidRPr="00D320CC" w:rsidP="007E4125" w14:paraId="048F22AF"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232512B"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11</w:t>
          </w:r>
          <w:r>
            <w:rPr>
              <w:rStyle w:val="PageNumber"/>
              <w:sz w:val="16"/>
            </w:rPr>
            <w:fldChar w:fldCharType="end"/>
          </w:r>
        </w:p>
      </w:tc>
    </w:tr>
  </w:tbl>
  <w:p w:rsidR="00B24A00" w:rsidP="00B24A00" w14:paraId="1897C653"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1EE4F543"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153E6C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6BAE80BA" w14:textId="77777777">
          <w:pPr>
            <w:pStyle w:val="Header"/>
            <w:jc w:val="center"/>
            <w:rPr>
              <w:sz w:val="28"/>
            </w:rPr>
          </w:pPr>
          <w:r w:rsidR="008340F7">
            <w:rPr>
              <w:sz w:val="28"/>
            </w:rPr>
            <w:fldChar w:fldCharType="begin" w:fldLock="1"/>
          </w:r>
          <w:r w:rsidR="008340F7">
            <w:rPr>
              <w:color w:val="000080"/>
              <w:sz w:val="28"/>
            </w:rPr>
            <w:instrText xml:space="preserve"> DOCPROPERTY EK_DokTittel </w:instrText>
          </w:r>
          <w:r w:rsidR="008340F7">
            <w:rPr>
              <w:sz w:val="28"/>
            </w:rPr>
            <w:fldChar w:fldCharType="separate"/>
          </w:r>
          <w:r w:rsidR="008340F7">
            <w:rPr>
              <w:color w:val="000080"/>
              <w:sz w:val="28"/>
            </w:rPr>
            <w:t>Sarcom - Retningslinje for protonplanlegging</w:t>
          </w:r>
          <w:r w:rsidR="008340F7">
            <w:rPr>
              <w:sz w:val="28"/>
            </w:rPr>
            <w:fldChar w:fldCharType="end"/>
          </w:r>
        </w:p>
      </w:tc>
      <w:tc>
        <w:tcPr>
          <w:tcW w:w="992" w:type="dxa"/>
          <w:tcBorders>
            <w:bottom w:val="single" w:sz="4" w:space="0" w:color="auto"/>
            <w:right w:val="single" w:sz="4" w:space="0" w:color="auto"/>
          </w:tcBorders>
        </w:tcPr>
        <w:p w:rsidR="00485214" w14:paraId="208D616C" w14:textId="77777777">
          <w:pPr>
            <w:pStyle w:val="Header"/>
            <w:jc w:val="left"/>
            <w:rPr>
              <w:sz w:val="12"/>
            </w:rPr>
          </w:pPr>
        </w:p>
        <w:p w:rsidR="00485214" w14:paraId="6ADF3DD4"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5ACA18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C1E46DD"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6DF1492D" w14:textId="77777777">
          <w:pPr>
            <w:pStyle w:val="Header"/>
            <w:jc w:val="center"/>
            <w:rPr>
              <w:sz w:val="16"/>
            </w:rPr>
          </w:pPr>
          <w:r w:rsidR="008340F7">
            <w:rPr>
              <w:noProof/>
              <w:sz w:val="16"/>
            </w:rPr>
            <w:drawing>
              <wp:inline distT="0" distB="0" distL="0" distR="0">
                <wp:extent cx="1091565" cy="208915"/>
                <wp:effectExtent l="0" t="0" r="0" b="63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5C914559" w14:textId="2910D65F">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Sarcom - Retningslinje for protonplanlegging</w:t>
          </w:r>
          <w:r>
            <w:rPr>
              <w:sz w:val="28"/>
            </w:rPr>
            <w:fldChar w:fldCharType="end"/>
          </w:r>
          <w:r w:rsidR="002947CC">
            <w:rPr>
              <w:sz w:val="28"/>
            </w:rPr>
            <w:t xml:space="preserve"> </w:t>
          </w:r>
        </w:p>
      </w:tc>
    </w:tr>
    <w:tr w14:paraId="379AB0DF"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0917CD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Pasientbehandling/Fagprosedyrer/Kreft</w:t>
          </w:r>
          <w:r>
            <w:rPr>
              <w:sz w:val="16"/>
            </w:rPr>
            <w:fldChar w:fldCharType="end"/>
          </w:r>
        </w:p>
      </w:tc>
      <w:tc>
        <w:tcPr>
          <w:tcW w:w="2879" w:type="dxa"/>
          <w:vAlign w:val="bottom"/>
        </w:tcPr>
        <w:p w:rsidR="00FD5284" w:rsidRPr="005F0E8F" w:rsidP="00540375" w14:paraId="286EA41D"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27.06.2024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27.06.2026</w:t>
          </w:r>
          <w:r>
            <w:rPr>
              <w:color w:val="000080"/>
              <w:sz w:val="16"/>
            </w:rPr>
            <w:fldChar w:fldCharType="end"/>
          </w:r>
        </w:p>
      </w:tc>
    </w:tr>
    <w:tr w14:paraId="25C03148"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48027AA"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HF/Avdeling for kreftbehandling og medisinsk fysikk</w:t>
          </w:r>
          <w:r>
            <w:rPr>
              <w:sz w:val="16"/>
            </w:rPr>
            <w:fldChar w:fldCharType="end"/>
          </w:r>
        </w:p>
      </w:tc>
      <w:tc>
        <w:tcPr>
          <w:tcW w:w="2879" w:type="dxa"/>
          <w:vAlign w:val="bottom"/>
        </w:tcPr>
        <w:p w:rsidR="005F0E8F" w14:paraId="037E77A2"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6EBAFB4A"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592F702B"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Oddbjørn Straume</w:t>
          </w:r>
          <w:r>
            <w:rPr>
              <w:color w:val="000080"/>
              <w:sz w:val="16"/>
            </w:rPr>
            <w:fldChar w:fldCharType="end"/>
          </w:r>
          <w:r>
            <w:rPr>
              <w:color w:val="000080"/>
              <w:sz w:val="16"/>
            </w:rPr>
            <w:t xml:space="preserve"> </w:t>
          </w:r>
        </w:p>
      </w:tc>
      <w:tc>
        <w:tcPr>
          <w:tcW w:w="2879" w:type="dxa"/>
        </w:tcPr>
        <w:p w:rsidR="00FD5284" w:rsidP="00FD5284" w14:paraId="0BEF19BC"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3532D4FB"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1647365A"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Einar Waldeland, +++</w:t>
          </w:r>
          <w:r>
            <w:rPr>
              <w:color w:val="000080"/>
              <w:sz w:val="16"/>
            </w:rPr>
            <w:fldChar w:fldCharType="end"/>
          </w:r>
          <w:r>
            <w:rPr>
              <w:color w:val="000080"/>
              <w:sz w:val="16"/>
            </w:rPr>
            <w:t xml:space="preserve"> </w:t>
          </w:r>
        </w:p>
      </w:tc>
      <w:tc>
        <w:tcPr>
          <w:tcW w:w="2879" w:type="dxa"/>
        </w:tcPr>
        <w:p w:rsidR="00FD5284" w14:paraId="44FCE6E6"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D78851</w:t>
          </w:r>
          <w:r>
            <w:rPr>
              <w:color w:val="000080"/>
              <w:sz w:val="16"/>
            </w:rPr>
            <w:fldChar w:fldCharType="end"/>
          </w:r>
        </w:p>
      </w:tc>
    </w:tr>
  </w:tbl>
  <w:p w:rsidR="00485214" w14:paraId="7A216956"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F2154"/>
    <w:multiLevelType w:val="multilevel"/>
    <w:tmpl w:val="8B06F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948AE"/>
    <w:multiLevelType w:val="multilevel"/>
    <w:tmpl w:val="19D69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A9A74D2"/>
    <w:multiLevelType w:val="multilevel"/>
    <w:tmpl w:val="FD4AA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94758"/>
    <w:multiLevelType w:val="multilevel"/>
    <w:tmpl w:val="A03A6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60A90"/>
    <w:multiLevelType w:val="multilevel"/>
    <w:tmpl w:val="C11CC6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8611D"/>
    <w:multiLevelType w:val="multilevel"/>
    <w:tmpl w:val="C74671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61438"/>
    <w:multiLevelType w:val="hybridMultilevel"/>
    <w:tmpl w:val="30D48706"/>
    <w:lvl w:ilvl="0">
      <w:start w:val="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F64421"/>
    <w:multiLevelType w:val="hybridMultilevel"/>
    <w:tmpl w:val="CC42AC84"/>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23E0418"/>
    <w:multiLevelType w:val="multilevel"/>
    <w:tmpl w:val="5C72F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975568"/>
    <w:multiLevelType w:val="multilevel"/>
    <w:tmpl w:val="7A70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C5F89"/>
    <w:multiLevelType w:val="multilevel"/>
    <w:tmpl w:val="9918A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B754CE"/>
    <w:multiLevelType w:val="multilevel"/>
    <w:tmpl w:val="41D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93490A"/>
    <w:multiLevelType w:val="hybridMultilevel"/>
    <w:tmpl w:val="653899BC"/>
    <w:lvl w:ilvl="0">
      <w:start w:val="7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A41A92"/>
    <w:multiLevelType w:val="multilevel"/>
    <w:tmpl w:val="F6769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8253FD"/>
    <w:multiLevelType w:val="multilevel"/>
    <w:tmpl w:val="B2842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181E74"/>
    <w:multiLevelType w:val="multilevel"/>
    <w:tmpl w:val="22323A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D40E15"/>
    <w:multiLevelType w:val="multilevel"/>
    <w:tmpl w:val="E0A6D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08359D"/>
    <w:multiLevelType w:val="multilevel"/>
    <w:tmpl w:val="07140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B2104"/>
    <w:multiLevelType w:val="multilevel"/>
    <w:tmpl w:val="8B6667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065725"/>
    <w:multiLevelType w:val="multilevel"/>
    <w:tmpl w:val="2C1451FC"/>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3C5284"/>
    <w:multiLevelType w:val="multilevel"/>
    <w:tmpl w:val="8B98C0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276A90"/>
    <w:multiLevelType w:val="multilevel"/>
    <w:tmpl w:val="AFC0E0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30AC04CB"/>
    <w:multiLevelType w:val="multilevel"/>
    <w:tmpl w:val="424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473BCC"/>
    <w:multiLevelType w:val="multilevel"/>
    <w:tmpl w:val="5DBED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5537FA4"/>
    <w:multiLevelType w:val="multilevel"/>
    <w:tmpl w:val="34782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6F2F42"/>
    <w:multiLevelType w:val="multilevel"/>
    <w:tmpl w:val="5B0C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71A13AD"/>
    <w:multiLevelType w:val="multilevel"/>
    <w:tmpl w:val="335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72410E1"/>
    <w:multiLevelType w:val="multilevel"/>
    <w:tmpl w:val="92B6B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4A3DB1"/>
    <w:multiLevelType w:val="multilevel"/>
    <w:tmpl w:val="FCC8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665957"/>
    <w:multiLevelType w:val="multilevel"/>
    <w:tmpl w:val="50845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EC70E9"/>
    <w:multiLevelType w:val="multilevel"/>
    <w:tmpl w:val="EA347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9261C7A"/>
    <w:multiLevelType w:val="multilevel"/>
    <w:tmpl w:val="6F626752"/>
    <w:lvl w:ilvl="0">
      <w:start w:val="1"/>
      <w:numFmt w:val="bullet"/>
      <w:lvlText w:val=""/>
      <w:lvlJc w:val="left"/>
      <w:pPr>
        <w:tabs>
          <w:tab w:val="num" w:pos="720"/>
        </w:tabs>
        <w:ind w:left="720" w:hanging="360"/>
      </w:pPr>
      <w:rPr>
        <w:rFonts w:ascii="Symbol" w:hAnsi="Symbol" w:hint="default"/>
        <w:sz w:val="16"/>
        <w:szCs w:val="1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C4A16E5"/>
    <w:multiLevelType w:val="multilevel"/>
    <w:tmpl w:val="0A6E9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EA5F09"/>
    <w:multiLevelType w:val="multilevel"/>
    <w:tmpl w:val="6062F4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D519BD"/>
    <w:multiLevelType w:val="hybridMultilevel"/>
    <w:tmpl w:val="586A689E"/>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508042E"/>
    <w:multiLevelType w:val="multilevel"/>
    <w:tmpl w:val="F404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073052"/>
    <w:multiLevelType w:val="multilevel"/>
    <w:tmpl w:val="F4D40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AC67E2"/>
    <w:multiLevelType w:val="multilevel"/>
    <w:tmpl w:val="140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3FD469A"/>
    <w:multiLevelType w:val="multilevel"/>
    <w:tmpl w:val="85A0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7F3425C"/>
    <w:multiLevelType w:val="multilevel"/>
    <w:tmpl w:val="F1C4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9E60574"/>
    <w:multiLevelType w:val="multilevel"/>
    <w:tmpl w:val="D3D4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C4F0A63"/>
    <w:multiLevelType w:val="multilevel"/>
    <w:tmpl w:val="6D3A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E815FA"/>
    <w:multiLevelType w:val="multilevel"/>
    <w:tmpl w:val="983E1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4B66758"/>
    <w:multiLevelType w:val="multilevel"/>
    <w:tmpl w:val="AE3CE3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4F729BD"/>
    <w:multiLevelType w:val="multilevel"/>
    <w:tmpl w:val="D758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2D434D"/>
    <w:multiLevelType w:val="multilevel"/>
    <w:tmpl w:val="4C82A4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5B21AAB"/>
    <w:multiLevelType w:val="multilevel"/>
    <w:tmpl w:val="90940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BF7F7A"/>
    <w:multiLevelType w:val="multilevel"/>
    <w:tmpl w:val="69E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7807846"/>
    <w:multiLevelType w:val="multilevel"/>
    <w:tmpl w:val="C206D7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AC3A83"/>
    <w:multiLevelType w:val="multilevel"/>
    <w:tmpl w:val="CAE8C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713D3C"/>
    <w:multiLevelType w:val="multilevel"/>
    <w:tmpl w:val="D40458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ECB3FDC"/>
    <w:multiLevelType w:val="hybridMultilevel"/>
    <w:tmpl w:val="37AAD2EA"/>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0636898"/>
    <w:multiLevelType w:val="multilevel"/>
    <w:tmpl w:val="97DA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4374071"/>
    <w:multiLevelType w:val="multilevel"/>
    <w:tmpl w:val="F1DE9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5215626"/>
    <w:multiLevelType w:val="multilevel"/>
    <w:tmpl w:val="8D348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3A034D"/>
    <w:multiLevelType w:val="multilevel"/>
    <w:tmpl w:val="8F58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0B513C"/>
    <w:multiLevelType w:val="multilevel"/>
    <w:tmpl w:val="4C1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997F76"/>
    <w:multiLevelType w:val="multilevel"/>
    <w:tmpl w:val="33665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C581BA9"/>
    <w:multiLevelType w:val="multilevel"/>
    <w:tmpl w:val="C5B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532637">
    <w:abstractNumId w:val="21"/>
  </w:num>
  <w:num w:numId="2" w16cid:durableId="154222535">
    <w:abstractNumId w:val="11"/>
  </w:num>
  <w:num w:numId="3" w16cid:durableId="2049842182">
    <w:abstractNumId w:val="23"/>
  </w:num>
  <w:num w:numId="4" w16cid:durableId="1233008956">
    <w:abstractNumId w:val="26"/>
  </w:num>
  <w:num w:numId="5" w16cid:durableId="1977685180">
    <w:abstractNumId w:val="25"/>
  </w:num>
  <w:num w:numId="6" w16cid:durableId="795871389">
    <w:abstractNumId w:val="38"/>
  </w:num>
  <w:num w:numId="7" w16cid:durableId="386684311">
    <w:abstractNumId w:val="40"/>
  </w:num>
  <w:num w:numId="8" w16cid:durableId="1545099676">
    <w:abstractNumId w:val="47"/>
  </w:num>
  <w:num w:numId="9" w16cid:durableId="1875730711">
    <w:abstractNumId w:val="58"/>
  </w:num>
  <w:num w:numId="10" w16cid:durableId="2026399564">
    <w:abstractNumId w:val="1"/>
  </w:num>
  <w:num w:numId="11" w16cid:durableId="214317567">
    <w:abstractNumId w:val="37"/>
  </w:num>
  <w:num w:numId="12" w16cid:durableId="2020766520">
    <w:abstractNumId w:val="8"/>
  </w:num>
  <w:num w:numId="13" w16cid:durableId="64882717">
    <w:abstractNumId w:val="49"/>
  </w:num>
  <w:num w:numId="14" w16cid:durableId="1756170968">
    <w:abstractNumId w:val="44"/>
  </w:num>
  <w:num w:numId="15" w16cid:durableId="960765368">
    <w:abstractNumId w:val="14"/>
  </w:num>
  <w:num w:numId="16" w16cid:durableId="1712656694">
    <w:abstractNumId w:val="53"/>
  </w:num>
  <w:num w:numId="17" w16cid:durableId="2069066354">
    <w:abstractNumId w:val="35"/>
  </w:num>
  <w:num w:numId="18" w16cid:durableId="1029991659">
    <w:abstractNumId w:val="52"/>
  </w:num>
  <w:num w:numId="19" w16cid:durableId="875895563">
    <w:abstractNumId w:val="42"/>
  </w:num>
  <w:num w:numId="20" w16cid:durableId="760177892">
    <w:abstractNumId w:val="2"/>
  </w:num>
  <w:num w:numId="21" w16cid:durableId="1161920201">
    <w:abstractNumId w:val="16"/>
  </w:num>
  <w:num w:numId="22" w16cid:durableId="699748611">
    <w:abstractNumId w:val="17"/>
  </w:num>
  <w:num w:numId="23" w16cid:durableId="330644103">
    <w:abstractNumId w:val="39"/>
  </w:num>
  <w:num w:numId="24" w16cid:durableId="140121669">
    <w:abstractNumId w:val="3"/>
  </w:num>
  <w:num w:numId="25" w16cid:durableId="2013021816">
    <w:abstractNumId w:val="32"/>
  </w:num>
  <w:num w:numId="26" w16cid:durableId="762920206">
    <w:abstractNumId w:val="31"/>
  </w:num>
  <w:num w:numId="27" w16cid:durableId="60567006">
    <w:abstractNumId w:val="29"/>
  </w:num>
  <w:num w:numId="28" w16cid:durableId="1635719225">
    <w:abstractNumId w:val="22"/>
  </w:num>
  <w:num w:numId="29" w16cid:durableId="1924758842">
    <w:abstractNumId w:val="13"/>
  </w:num>
  <w:num w:numId="30" w16cid:durableId="2090034992">
    <w:abstractNumId w:val="48"/>
  </w:num>
  <w:num w:numId="31" w16cid:durableId="1673685054">
    <w:abstractNumId w:val="20"/>
  </w:num>
  <w:num w:numId="32" w16cid:durableId="1318916087">
    <w:abstractNumId w:val="30"/>
  </w:num>
  <w:num w:numId="33" w16cid:durableId="826089936">
    <w:abstractNumId w:val="18"/>
  </w:num>
  <w:num w:numId="34" w16cid:durableId="1585257004">
    <w:abstractNumId w:val="55"/>
  </w:num>
  <w:num w:numId="35" w16cid:durableId="1057826395">
    <w:abstractNumId w:val="41"/>
  </w:num>
  <w:num w:numId="36" w16cid:durableId="893854379">
    <w:abstractNumId w:val="9"/>
  </w:num>
  <w:num w:numId="37" w16cid:durableId="697198383">
    <w:abstractNumId w:val="56"/>
  </w:num>
  <w:num w:numId="38" w16cid:durableId="1220362191">
    <w:abstractNumId w:val="10"/>
  </w:num>
  <w:num w:numId="39" w16cid:durableId="681009386">
    <w:abstractNumId w:val="0"/>
  </w:num>
  <w:num w:numId="40" w16cid:durableId="1179469775">
    <w:abstractNumId w:val="27"/>
  </w:num>
  <w:num w:numId="41" w16cid:durableId="551356263">
    <w:abstractNumId w:val="5"/>
  </w:num>
  <w:num w:numId="42" w16cid:durableId="845749976">
    <w:abstractNumId w:val="33"/>
  </w:num>
  <w:num w:numId="43" w16cid:durableId="2007703615">
    <w:abstractNumId w:val="19"/>
  </w:num>
  <w:num w:numId="44" w16cid:durableId="1134064123">
    <w:abstractNumId w:val="36"/>
  </w:num>
  <w:num w:numId="45" w16cid:durableId="1762408351">
    <w:abstractNumId w:val="46"/>
  </w:num>
  <w:num w:numId="46" w16cid:durableId="267394970">
    <w:abstractNumId w:val="28"/>
  </w:num>
  <w:num w:numId="47" w16cid:durableId="464854207">
    <w:abstractNumId w:val="57"/>
  </w:num>
  <w:num w:numId="48" w16cid:durableId="26564432">
    <w:abstractNumId w:val="24"/>
  </w:num>
  <w:num w:numId="49" w16cid:durableId="1530332089">
    <w:abstractNumId w:val="15"/>
  </w:num>
  <w:num w:numId="50" w16cid:durableId="275454390">
    <w:abstractNumId w:val="54"/>
  </w:num>
  <w:num w:numId="51" w16cid:durableId="8334480">
    <w:abstractNumId w:val="43"/>
  </w:num>
  <w:num w:numId="52" w16cid:durableId="1473598758">
    <w:abstractNumId w:val="4"/>
  </w:num>
  <w:num w:numId="53" w16cid:durableId="1316450965">
    <w:abstractNumId w:val="50"/>
  </w:num>
  <w:num w:numId="54" w16cid:durableId="401373998">
    <w:abstractNumId w:val="45"/>
  </w:num>
  <w:num w:numId="55" w16cid:durableId="646133000">
    <w:abstractNumId w:val="6"/>
  </w:num>
  <w:num w:numId="56" w16cid:durableId="2078091088">
    <w:abstractNumId w:val="12"/>
  </w:num>
  <w:num w:numId="57" w16cid:durableId="1201213195">
    <w:abstractNumId w:val="34"/>
  </w:num>
  <w:num w:numId="58" w16cid:durableId="659889866">
    <w:abstractNumId w:val="51"/>
  </w:num>
  <w:num w:numId="59" w16cid:durableId="5716086">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104B4"/>
    <w:rsid w:val="00020754"/>
    <w:rsid w:val="00025B4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E4142"/>
    <w:rsid w:val="000F32C5"/>
    <w:rsid w:val="000F5FC0"/>
    <w:rsid w:val="00101002"/>
    <w:rsid w:val="00115094"/>
    <w:rsid w:val="00117E18"/>
    <w:rsid w:val="00140619"/>
    <w:rsid w:val="00144BC1"/>
    <w:rsid w:val="00150F73"/>
    <w:rsid w:val="00151E16"/>
    <w:rsid w:val="00155765"/>
    <w:rsid w:val="00157C37"/>
    <w:rsid w:val="00161FD5"/>
    <w:rsid w:val="00176BA5"/>
    <w:rsid w:val="00183B08"/>
    <w:rsid w:val="00187793"/>
    <w:rsid w:val="0019138B"/>
    <w:rsid w:val="0019290E"/>
    <w:rsid w:val="001A3D0A"/>
    <w:rsid w:val="001A4CED"/>
    <w:rsid w:val="001B1D43"/>
    <w:rsid w:val="001B37A6"/>
    <w:rsid w:val="001C094A"/>
    <w:rsid w:val="001D4128"/>
    <w:rsid w:val="001E1DBA"/>
    <w:rsid w:val="001F43D4"/>
    <w:rsid w:val="001F7E88"/>
    <w:rsid w:val="0020110C"/>
    <w:rsid w:val="002014B5"/>
    <w:rsid w:val="00203F1E"/>
    <w:rsid w:val="00227AF8"/>
    <w:rsid w:val="00231DC5"/>
    <w:rsid w:val="00241F65"/>
    <w:rsid w:val="00245A17"/>
    <w:rsid w:val="00246C9E"/>
    <w:rsid w:val="002744C3"/>
    <w:rsid w:val="00281B8D"/>
    <w:rsid w:val="00284EBB"/>
    <w:rsid w:val="00291CD7"/>
    <w:rsid w:val="002947CC"/>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963AC"/>
    <w:rsid w:val="003A669E"/>
    <w:rsid w:val="003A6B8A"/>
    <w:rsid w:val="003C5594"/>
    <w:rsid w:val="003D3C2E"/>
    <w:rsid w:val="003E1B52"/>
    <w:rsid w:val="003E25C1"/>
    <w:rsid w:val="003E4741"/>
    <w:rsid w:val="003F4A3C"/>
    <w:rsid w:val="00403A56"/>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5764"/>
    <w:rsid w:val="004E763F"/>
    <w:rsid w:val="0050053D"/>
    <w:rsid w:val="00507D96"/>
    <w:rsid w:val="005103B6"/>
    <w:rsid w:val="00510BDF"/>
    <w:rsid w:val="00520D11"/>
    <w:rsid w:val="00524CF7"/>
    <w:rsid w:val="00527FF5"/>
    <w:rsid w:val="00532237"/>
    <w:rsid w:val="0053273E"/>
    <w:rsid w:val="005370F4"/>
    <w:rsid w:val="00540375"/>
    <w:rsid w:val="0054179A"/>
    <w:rsid w:val="00542714"/>
    <w:rsid w:val="0054461F"/>
    <w:rsid w:val="00547EEF"/>
    <w:rsid w:val="005562F2"/>
    <w:rsid w:val="00556838"/>
    <w:rsid w:val="00557C81"/>
    <w:rsid w:val="00561498"/>
    <w:rsid w:val="00577FEE"/>
    <w:rsid w:val="005810F3"/>
    <w:rsid w:val="0058166E"/>
    <w:rsid w:val="0058663E"/>
    <w:rsid w:val="00590E1D"/>
    <w:rsid w:val="005A5E90"/>
    <w:rsid w:val="005B084B"/>
    <w:rsid w:val="005B0B7E"/>
    <w:rsid w:val="005B308D"/>
    <w:rsid w:val="005B4C45"/>
    <w:rsid w:val="005F0E8F"/>
    <w:rsid w:val="00606A4F"/>
    <w:rsid w:val="00610B7B"/>
    <w:rsid w:val="00611A93"/>
    <w:rsid w:val="00611B44"/>
    <w:rsid w:val="00617242"/>
    <w:rsid w:val="006479E1"/>
    <w:rsid w:val="00650773"/>
    <w:rsid w:val="00652242"/>
    <w:rsid w:val="00655DBF"/>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13DB8"/>
    <w:rsid w:val="00727E6C"/>
    <w:rsid w:val="007367F2"/>
    <w:rsid w:val="0078621E"/>
    <w:rsid w:val="00793756"/>
    <w:rsid w:val="007C3E55"/>
    <w:rsid w:val="007E4125"/>
    <w:rsid w:val="0080313B"/>
    <w:rsid w:val="00806640"/>
    <w:rsid w:val="008078AB"/>
    <w:rsid w:val="00820775"/>
    <w:rsid w:val="00820B61"/>
    <w:rsid w:val="008340F7"/>
    <w:rsid w:val="008361CD"/>
    <w:rsid w:val="008419E2"/>
    <w:rsid w:val="00842234"/>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2669"/>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10A4"/>
    <w:rsid w:val="009D4154"/>
    <w:rsid w:val="009E0D59"/>
    <w:rsid w:val="009E1AE8"/>
    <w:rsid w:val="009F7668"/>
    <w:rsid w:val="00A17D23"/>
    <w:rsid w:val="00A271A9"/>
    <w:rsid w:val="00A3019C"/>
    <w:rsid w:val="00A43AE5"/>
    <w:rsid w:val="00A4565C"/>
    <w:rsid w:val="00A55D47"/>
    <w:rsid w:val="00A577D4"/>
    <w:rsid w:val="00A75A8B"/>
    <w:rsid w:val="00A9508B"/>
    <w:rsid w:val="00AB08E0"/>
    <w:rsid w:val="00AC0D84"/>
    <w:rsid w:val="00AC35FB"/>
    <w:rsid w:val="00AD1672"/>
    <w:rsid w:val="00AD1E4B"/>
    <w:rsid w:val="00AD296B"/>
    <w:rsid w:val="00AD3BC6"/>
    <w:rsid w:val="00AD6B34"/>
    <w:rsid w:val="00AD71EB"/>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71DF"/>
    <w:rsid w:val="00C20179"/>
    <w:rsid w:val="00C24BA6"/>
    <w:rsid w:val="00C40A3A"/>
    <w:rsid w:val="00C4283A"/>
    <w:rsid w:val="00C450FE"/>
    <w:rsid w:val="00C47D6B"/>
    <w:rsid w:val="00C5222B"/>
    <w:rsid w:val="00C57588"/>
    <w:rsid w:val="00C72834"/>
    <w:rsid w:val="00C81FA3"/>
    <w:rsid w:val="00C836EE"/>
    <w:rsid w:val="00C84942"/>
    <w:rsid w:val="00C962F9"/>
    <w:rsid w:val="00C97AFA"/>
    <w:rsid w:val="00CA0ECF"/>
    <w:rsid w:val="00CB3EB0"/>
    <w:rsid w:val="00CB523D"/>
    <w:rsid w:val="00CD11FA"/>
    <w:rsid w:val="00CD6C43"/>
    <w:rsid w:val="00CE5024"/>
    <w:rsid w:val="00CF2E4A"/>
    <w:rsid w:val="00D013CC"/>
    <w:rsid w:val="00D03EED"/>
    <w:rsid w:val="00D13046"/>
    <w:rsid w:val="00D26789"/>
    <w:rsid w:val="00D27DD8"/>
    <w:rsid w:val="00D320CC"/>
    <w:rsid w:val="00D36983"/>
    <w:rsid w:val="00D36A2D"/>
    <w:rsid w:val="00D40E94"/>
    <w:rsid w:val="00D4374F"/>
    <w:rsid w:val="00D5294B"/>
    <w:rsid w:val="00D53A2C"/>
    <w:rsid w:val="00D7283E"/>
    <w:rsid w:val="00D7654D"/>
    <w:rsid w:val="00D8507D"/>
    <w:rsid w:val="00D948F4"/>
    <w:rsid w:val="00D95FB8"/>
    <w:rsid w:val="00DA0D76"/>
    <w:rsid w:val="00DB372D"/>
    <w:rsid w:val="00DC4390"/>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4AB9"/>
    <w:rsid w:val="00E96F17"/>
    <w:rsid w:val="00EA5771"/>
    <w:rsid w:val="00EB193A"/>
    <w:rsid w:val="00EB3357"/>
    <w:rsid w:val="00EB3728"/>
    <w:rsid w:val="00EB53AF"/>
    <w:rsid w:val="00EB79E9"/>
    <w:rsid w:val="00EC1A89"/>
    <w:rsid w:val="00ED248C"/>
    <w:rsid w:val="00EE0410"/>
    <w:rsid w:val="00EE3B2D"/>
    <w:rsid w:val="00EF1D20"/>
    <w:rsid w:val="00EF5BB3"/>
    <w:rsid w:val="00F166F5"/>
    <w:rsid w:val="00F16CEA"/>
    <w:rsid w:val="00F24469"/>
    <w:rsid w:val="00F43A32"/>
    <w:rsid w:val="00F46524"/>
    <w:rsid w:val="00F712A2"/>
    <w:rsid w:val="00F8392F"/>
    <w:rsid w:val="00F86B48"/>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Fredheim, Kari Merethe Henriksen"/>
    <w:docVar w:name="ek_dbfields" w:val="EK_Avdeling¤2#4¤2#¤3#EK_Avsnitt¤2#4¤2#¤3#EK_Bedriftsnavn¤2#1¤2#Helse Bergen¤3#EK_GjelderFra¤2#0¤2#¤3#EK_KlGjelderFra¤2#0¤2#¤3#EK_Opprettet¤2#0¤2#15.05.2024¤3#EK_Utgitt¤2#0¤2#¤3#EK_IBrukDato¤2#0¤2#¤3#EK_DokumentID¤2#0¤2#D78851¤3#EK_DokTittel¤2#0¤2#Sarcom - Retningslinje for protonplanlegging¤3#EK_DokType¤2#0¤2#Retningslinje¤3#EK_DocLvlShort¤2#0¤2#Nivå 2¤3#EK_DocLevel¤2#0¤2#Enhetsdokumenter¤3#EK_EksRef¤2#2¤2# 0_x0009_¤3#EK_Erstatter¤2#0¤2#¤3#EK_ErstatterD¤2#0¤2#¤3#EK_Signatur¤2#0¤2#¤3#EK_Verifisert¤2#0¤2#¤3#EK_Hørt¤2#0¤2#¤3#EK_AuditReview¤2#2¤2#¤3#EK_AuditApprove¤2#2¤2#¤3#EK_Gradering¤2#0¤2#Åpen¤3#EK_Gradnr¤2#4¤2#0¤3#EK_Kapittel¤2#4¤2#¤3#EK_Referanse¤2#2¤2# 0_x0009_¤3#EK_RefNr¤2#0¤2#3.1.2.5.8.4.1-05¤3#EK_Revisjon¤2#0¤2#-¤3#EK_Ansvarlig¤2#0¤2#Fredheim, Kari Merethe Henriksen¤3#EK_SkrevetAv¤2#0¤2#¤3#EK_UText1¤2#0¤2#Einar Waldeland, +++¤3#EK_UText2¤2#0¤2#¤3#EK_UText3¤2#0¤2#¤3#EK_UText4¤2#0¤2#¤3#EK_Status¤2#0¤2#Skrives¤3#EK_Stikkord¤2#0¤2#¤3#EK_SuperStikkord¤2#0¤2#¤3#EK_Rapport¤2#3¤2#¤3#EK_EKPrintMerke¤2#0¤2#Uoffisiell utskrift er kun gyldig på utskriftsdato¤3#EK_Watermark¤2#0¤2#¤3#EK_Utgave¤2#0¤2#0.00¤3#EK_Merknad¤2#7¤2#Første versjon¤3#EK_VerLogg¤2#2¤2#Ver. 0.00 - |Første versjon¤3#EK_RF1¤2#4¤2#¤3#EK_RF2¤2#4¤2#¤3#EK_RF3¤2#4¤2#¤3#EK_RF4¤2#4¤2#¤3#EK_RF5¤2#4¤2#¤3#EK_RF6¤2#4¤2#¤3#EK_RF7¤2#4¤2#¤3#EK_RF8¤2#4¤2#¤3#EK_RF9¤2#4¤2#¤3#EK_Mappe1¤2#4¤2#¤3#EK_Mappe2¤2#4¤2#¤3#EK_Mappe3¤2#4¤2#¤3#EK_Mappe4¤2#4¤2#¤3#EK_Mappe5¤2#4¤2#¤3#EK_Mappe6¤2#4¤2#¤3#EK_Mappe7¤2#4¤2#¤3#EK_Mappe8¤2#4¤2#¤3#EK_Mappe9¤2#4¤2#¤3#EK_DL¤2#0¤2#5¤3#EK_GjelderTil¤2#0¤2#¤3#EK_Vedlegg¤2#2¤2# 0_x0009_¤3#EK_AvdelingOver¤2#4¤2#¤3#EK_HRefNr¤2#0¤2#¤3#EK_HbNavn¤2#0¤2#¤3#EK_DokRefnr¤2#4¤2#000103010205080401¤3#EK_Dokendrdato¤2#4¤2#15.05.2024 08:50:10¤3#EK_HbType¤2#4¤2#¤3#EK_Offisiell¤2#4¤2#¤3#EK_VedleggRef¤2#4¤2#3.1.2.5.8.4.1-05¤3#EK_Strukt00¤2#5¤2#¤5#¤5#Helse Bergen HF¤5#1¤5#0¤4#¤5#3¤5#Avdeling for kreftbehandling og medisinsk fysikk¤5#1¤5#0¤4#.¤5#1¤5#Felles dokumentasjon avdeling for kreftbeh. og med.fys.¤5#0¤5#0¤4#.¤5#2¤5#Kjerneaktiviteter¤5#0¤5#0¤4#.¤5#5¤5#Pasientbehandling¤5#0¤5#0¤4#.¤5#8¤5#Strålebehandling¤5#0¤5#0¤4#.¤5#4¤5#Proton¤5#0¤5#0¤4#.¤5#1¤5#Nasjonale retningslinjer¤5#0¤5#0¤4# - ¤3#EK_Strukt01¤2#5¤2#¤5#¤5#Kategorier HB (ikke dokumenter på dette nivået trykk dere videre ned +)¤5#0¤5#0¤4#¤5#¤5#Pasientbehandling¤5#3¤5#0¤4#¤5#¤5#Fagprosedyrer¤5#3¤5#0¤4#¤5#¤5#Kreft¤5#3¤5#0¤4# - ¤3#EK_Strukt02¤2#5¤2#¤3#EK_Strukt04¤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else Bergen HF¤5#1¤5#0¤4#¤5#3¤5#Avdeling for kreftbehandling og medisinsk fysikk¤5#1¤5#0¤4#.¤5#1¤5#Felles dokumentasjon avdeling for kreftbeh. og med.fys.¤5#0¤5#0¤4#.¤5#2¤5#Kjerneaktiviteter¤5#0¤5#0¤4#.¤5#5¤5#Pasientbehandling¤5#0¤5#0¤4#.¤5#8¤5#Strålebehandling¤5#0¤5#0¤4#.¤5#4¤5#Proton¤5#0¤5#0¤4#.¤5#1¤5#Nasjonale retningslinjer¤5#0¤5#0¤4# - ¤3#"/>
    <w:docVar w:name="ek_dl" w:val="5"/>
    <w:docVar w:name="ek_doclevel" w:val="Enhetsdokumenter"/>
    <w:docVar w:name="ek_doclvlshort" w:val="Nivå 2"/>
    <w:docVar w:name="ek_dok.ansvarlig" w:val="[Dok.ansvarlig]"/>
    <w:docVar w:name="ek_doktittel" w:val="Sarcom - Retningslinje for protonplanlegging"/>
    <w:docVar w:name="ek_dokumentid" w:val="[ID]"/>
    <w:docVar w:name="ek_eksref" w:val="[EK_EksRef]"/>
    <w:docVar w:name="ek_erstatter" w:val="[]"/>
    <w:docVar w:name="ek_erstatterd" w:val="[]"/>
    <w:docVar w:name="ek_format" w:val="-10"/>
    <w:docVar w:name="ek_gjelderfra" w:val="[GjelderFra]"/>
    <w:docVar w:name="ek_gjeldertil" w:val="[GyldigTil]"/>
    <w:docVar w:name="ek_gradering" w:val="Åpen"/>
    <w:docVar w:name="ek_hbnavn" w:val="[]"/>
    <w:docVar w:name="ek_hrefnr" w:val="[]"/>
    <w:docVar w:name="ek_hørt" w:val="[]"/>
    <w:docVar w:name="ek_ibrukdato" w:val="[]"/>
    <w:docVar w:name="ek_klgjelderfra" w:val="[]"/>
    <w:docVar w:name="ek_merknad" w:val="Første versjon"/>
    <w:docVar w:name="ek_opprettet" w:val="15.05.2024"/>
    <w:docVar w:name="ek_protection" w:val="0"/>
    <w:docVar w:name="ek_rapport" w:val="[]"/>
    <w:docVar w:name="ek_referanse" w:val="[EK_Referanse]"/>
    <w:docVar w:name="ek_refnr" w:val="3.1.2.5.8.4.1-05"/>
    <w:docVar w:name="ek_revisjon" w:val="-"/>
    <w:docVar w:name="ek_s00mt1" w:val="Helse Bergen HF - Avdeling for kreftbehandling og medisinsk fysikk"/>
    <w:docVar w:name="ek_s01mt3" w:val="Pasientbehandling - Fagprosedyrer - Kreft"/>
    <w:docVar w:name="ek_skrevetav" w:val="[]"/>
    <w:docVar w:name="ek_status" w:val="Skrives"/>
    <w:docVar w:name="ek_stikkord" w:val="[]"/>
    <w:docVar w:name="ek_superstikkord" w:val="[]"/>
    <w:docVar w:name="ek_type" w:val="ARB"/>
    <w:docVar w:name="ek_utext2" w:val="[]"/>
    <w:docVar w:name="ek_utext3" w:val="[]"/>
    <w:docVar w:name="ek_utext4" w:val="[]"/>
    <w:docVar w:name="ek_utgitt" w:val="[]"/>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42032F0"/>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E94AB9"/>
    <w:pPr>
      <w:numPr>
        <w:numId w:val="1"/>
      </w:numPr>
      <w:ind w:left="431" w:hanging="431"/>
      <w:outlineLvl w:val="0"/>
    </w:pPr>
    <w:rPr>
      <w:rFonts w:asciiTheme="majorHAnsi" w:hAnsiTheme="majorHAnsi"/>
      <w:color w:val="365F91"/>
      <w:sz w:val="32"/>
    </w:rPr>
  </w:style>
  <w:style w:type="paragraph" w:styleId="Heading2">
    <w:name w:val="heading 2"/>
    <w:basedOn w:val="Normal"/>
    <w:next w:val="Normal"/>
    <w:autoRedefine/>
    <w:qFormat/>
    <w:rsid w:val="00EF1D20"/>
    <w:pPr>
      <w:numPr>
        <w:ilvl w:val="1"/>
        <w:numId w:val="1"/>
      </w:numPr>
      <w:spacing w:before="120"/>
      <w:ind w:left="680" w:hanging="680"/>
      <w:outlineLvl w:val="1"/>
    </w:pPr>
    <w:rPr>
      <w:rFonts w:asciiTheme="majorHAnsi" w:hAnsiTheme="majorHAnsi"/>
      <w:color w:val="365F91"/>
      <w:sz w:val="26"/>
    </w:rPr>
  </w:style>
  <w:style w:type="paragraph" w:styleId="Heading3">
    <w:name w:val="heading 3"/>
    <w:basedOn w:val="Normal"/>
    <w:next w:val="Normal"/>
    <w:link w:val="Overskrift3Tegn"/>
    <w:autoRedefine/>
    <w:qFormat/>
    <w:rsid w:val="00EF1D20"/>
    <w:pPr>
      <w:numPr>
        <w:ilvl w:val="2"/>
        <w:numId w:val="1"/>
      </w:numPr>
      <w:spacing w:before="80"/>
      <w:outlineLvl w:val="2"/>
    </w:pPr>
    <w:rPr>
      <w:rFonts w:asciiTheme="majorHAnsi" w:hAnsiTheme="majorHAnsi"/>
      <w:color w:val="243F60"/>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uiPriority w:val="99"/>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uiPriority w:val="39"/>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customStyle="1" w:styleId="msonormal">
    <w:name w:val="msonormal"/>
    <w:basedOn w:val="Normal"/>
    <w:rsid w:val="001A3D0A"/>
    <w:pPr>
      <w:spacing w:before="100" w:beforeAutospacing="1" w:after="100" w:afterAutospacing="1"/>
    </w:pPr>
    <w:rPr>
      <w:rFonts w:ascii="Times New Roman" w:hAnsi="Times New Roman"/>
      <w:szCs w:val="24"/>
    </w:rPr>
  </w:style>
  <w:style w:type="paragraph" w:customStyle="1" w:styleId="paragraph">
    <w:name w:val="paragraph"/>
    <w:basedOn w:val="Normal"/>
    <w:rsid w:val="001A3D0A"/>
    <w:pPr>
      <w:spacing w:before="100" w:beforeAutospacing="1" w:after="100" w:afterAutospacing="1"/>
    </w:pPr>
    <w:rPr>
      <w:rFonts w:ascii="Times New Roman" w:hAnsi="Times New Roman"/>
      <w:szCs w:val="24"/>
    </w:rPr>
  </w:style>
  <w:style w:type="character" w:customStyle="1" w:styleId="textrun">
    <w:name w:val="textrun"/>
    <w:basedOn w:val="DefaultParagraphFont"/>
    <w:rsid w:val="001A3D0A"/>
  </w:style>
  <w:style w:type="character" w:customStyle="1" w:styleId="normaltextrun">
    <w:name w:val="normaltextrun"/>
    <w:basedOn w:val="DefaultParagraphFont"/>
    <w:rsid w:val="001A3D0A"/>
  </w:style>
  <w:style w:type="character" w:customStyle="1" w:styleId="eop">
    <w:name w:val="eop"/>
    <w:basedOn w:val="DefaultParagraphFont"/>
    <w:rsid w:val="001A3D0A"/>
  </w:style>
  <w:style w:type="paragraph" w:customStyle="1" w:styleId="outlineelement">
    <w:name w:val="outlineelement"/>
    <w:basedOn w:val="Normal"/>
    <w:rsid w:val="001A3D0A"/>
    <w:pPr>
      <w:spacing w:before="100" w:beforeAutospacing="1" w:after="100" w:afterAutospacing="1"/>
    </w:pPr>
    <w:rPr>
      <w:rFonts w:ascii="Times New Roman" w:hAnsi="Times New Roman"/>
      <w:szCs w:val="24"/>
    </w:rPr>
  </w:style>
  <w:style w:type="character" w:customStyle="1" w:styleId="fieldrange">
    <w:name w:val="fieldrange"/>
    <w:basedOn w:val="DefaultParagraphFont"/>
    <w:rsid w:val="001A3D0A"/>
  </w:style>
  <w:style w:type="character" w:customStyle="1" w:styleId="linebreakblob">
    <w:name w:val="linebreakblob"/>
    <w:basedOn w:val="DefaultParagraphFont"/>
    <w:rsid w:val="001A3D0A"/>
  </w:style>
  <w:style w:type="character" w:customStyle="1" w:styleId="scxw136388528">
    <w:name w:val="scxw136388528"/>
    <w:basedOn w:val="DefaultParagraphFont"/>
    <w:rsid w:val="001A3D0A"/>
  </w:style>
  <w:style w:type="character" w:customStyle="1" w:styleId="trackchangetextinsertion">
    <w:name w:val="trackchangetextinsertion"/>
    <w:basedOn w:val="DefaultParagraphFont"/>
    <w:rsid w:val="001A3D0A"/>
  </w:style>
  <w:style w:type="character" w:customStyle="1" w:styleId="trackchangetextdeletionmarker">
    <w:name w:val="trackchangetextdeletionmarker"/>
    <w:basedOn w:val="DefaultParagraphFont"/>
    <w:rsid w:val="001A3D0A"/>
  </w:style>
  <w:style w:type="character" w:customStyle="1" w:styleId="mathequationcontainer">
    <w:name w:val="mathequationcontainer"/>
    <w:basedOn w:val="DefaultParagraphFont"/>
    <w:rsid w:val="001A3D0A"/>
  </w:style>
  <w:style w:type="character" w:customStyle="1" w:styleId="mathspan">
    <w:name w:val="mathspan"/>
    <w:basedOn w:val="DefaultParagraphFont"/>
    <w:rsid w:val="001A3D0A"/>
  </w:style>
  <w:style w:type="character" w:customStyle="1" w:styleId="mathjaxpreview">
    <w:name w:val="mathjax_preview"/>
    <w:basedOn w:val="DefaultParagraphFont"/>
    <w:rsid w:val="001A3D0A"/>
  </w:style>
  <w:style w:type="character" w:customStyle="1" w:styleId="mathjax">
    <w:name w:val="mathjax"/>
    <w:basedOn w:val="DefaultParagraphFont"/>
    <w:rsid w:val="001A3D0A"/>
  </w:style>
  <w:style w:type="character" w:customStyle="1" w:styleId="math">
    <w:name w:val="math"/>
    <w:basedOn w:val="DefaultParagraphFont"/>
    <w:rsid w:val="001A3D0A"/>
  </w:style>
  <w:style w:type="character" w:customStyle="1" w:styleId="mrow">
    <w:name w:val="mrow"/>
    <w:basedOn w:val="DefaultParagraphFont"/>
    <w:rsid w:val="001A3D0A"/>
  </w:style>
  <w:style w:type="character" w:customStyle="1" w:styleId="mo">
    <w:name w:val="mo"/>
    <w:basedOn w:val="DefaultParagraphFont"/>
    <w:rsid w:val="001A3D0A"/>
  </w:style>
  <w:style w:type="character" w:customStyle="1" w:styleId="mjxassistivemathml">
    <w:name w:val="mjx_assistive_mathml"/>
    <w:basedOn w:val="DefaultParagraphFont"/>
    <w:rsid w:val="001A3D0A"/>
  </w:style>
  <w:style w:type="table" w:styleId="TableGrid">
    <w:name w:val="Table Grid"/>
    <w:basedOn w:val="TableNormal"/>
    <w:rsid w:val="006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55D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qFormat/>
    <w:rsid w:val="00610B7B"/>
    <w:pPr>
      <w:spacing w:after="200"/>
    </w:pPr>
    <w:rPr>
      <w:i/>
      <w:iCs/>
      <w:color w:val="1F497D" w:themeColor="text2"/>
      <w:sz w:val="18"/>
      <w:szCs w:val="18"/>
    </w:rPr>
  </w:style>
  <w:style w:type="character" w:customStyle="1" w:styleId="Overskrift3Tegn">
    <w:name w:val="Overskrift 3 Tegn"/>
    <w:basedOn w:val="DefaultParagraphFont"/>
    <w:link w:val="Heading3"/>
    <w:rsid w:val="00EF1D20"/>
    <w:rPr>
      <w:rFonts w:asciiTheme="majorHAnsi" w:hAnsiTheme="majorHAnsi"/>
      <w:color w:val="243F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rgoncology.org/Portals/0/Scientific%20Program/CIRO/Atlases/Male%20RTOG%20Normal%20Pelvis%20Atlas.pdf" TargetMode="External" /><Relationship Id="rId6" Type="http://schemas.openxmlformats.org/officeDocument/2006/relationships/hyperlink" Target="https://www.nrgoncology.org/Portals/0/Scientific%20Program/CIRO/Atlases/Female%20RTOG%20Normal%20Pelvis%20Atlas.pdf" TargetMode="External" /><Relationship Id="rId7" Type="http://schemas.openxmlformats.org/officeDocument/2006/relationships/hyperlink" Target="https://www.dcptwiki.dk/index.php/DP:_Spinal" TargetMode="External" /><Relationship Id="rId8" Type="http://schemas.openxmlformats.org/officeDocument/2006/relationships/hyperlink" Target="https://www.dcptwiki.dk/index.php/Eclipse:_Robusthedsparametre"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agutn\AppData\Roaming\Microsoft\Templates\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11</Pages>
  <Words>3787</Words>
  <Characters>22469</Characters>
  <Application>Microsoft Office Word</Application>
  <DocSecurity>0</DocSecurity>
  <Lines>732</Lines>
  <Paragraphs>434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Sarcom - Retningslinje for protonplanlegging</vt:lpstr>
      <vt:lpstr>HBHF-mal - stående</vt:lpstr>
    </vt:vector>
  </TitlesOfParts>
  <Company>Datakvalitet</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Sarcom - Retningslinje for protonplanlegging</dc:title>
  <dc:subject>000103010205080401|3.1.2.5.8.4.1-05|</dc:subject>
  <dc:creator>Handbok</dc:creator>
  <dc:description>EK_Avdeling_x0002_4_x0002__x0003_EK_Avsnitt_x0002_4_x0002__x0003_EK_Bedriftsnavn_x0002_1_x0002_Helse Bergen_x0003_EK_GjelderFra_x0002_0_x0002__x0003_EK_KlGjelderFra_x0002_0_x0002__x0003_EK_Opprettet_x0002_0_x0002_15.05.2024_x0003_EK_Utgitt_x0002_0_x0002__x0003_EK_IBrukDato_x0002_0_x0002__x0003_EK_DokumentID_x0002_0_x0002_D78851_x0003_EK_DokTittel_x0002_0_x0002_Sarcom - Retningslinje for protonplanlegging_x0003_EK_DokType_x0002_0_x0002_Retningslinje_x0003_EK_DocLvlShort_x0002_0_x0002_Nivå 2_x0003_EK_DocLevel_x0002_0_x0002_Enhetsdokumenter_x0003_EK_EksRef_x0002_2_x0002_ 0	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_x0003_EK_RefNr_x0002_0_x0002_3.1.2.5.8.4.1-05_x0003_EK_Revisjon_x0002_0_x0002_-_x0003_EK_Ansvarlig_x0002_0_x0002_Fredheim, Kari Merethe Henriksen_x0003_EK_SkrevetAv_x0002_0_x0002__x0003_EK_UText1_x0002_0_x0002_Einar Waldeland, +++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utskriftsdato_x0003_EK_Watermark_x0002_0_x0002__x0003_EK_Utgave_x0002_0_x0002_0.00_x0003_EK_Merknad_x0002_7_x0002_Første versjon_x0003_EK_VerLogg_x0002_2_x0002_Ver. 0.00 - |Første versjon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_x0003_EK_Vedlegg_x0002_2_x0002_ 0	_x0003_EK_AvdelingOver_x0002_4_x0002__x0003_EK_HRefNr_x0002_0_x0002__x0003_EK_HbNavn_x0002_0_x0002__x0003_EK_DokRefnr_x0002_4_x0002_000103010205080401_x0003_EK_Dokendrdato_x0002_4_x0002_15.05.2024 08:50:10_x0003_EK_HbType_x0002_4_x0002__x0003_EK_Offisiell_x0002_4_x0002__x0003_EK_VedleggRef_x0002_4_x0002_3.1.2.5.8.4.1-05_x0003_EK_Strukt00_x0002_5_x0002__x0005__x0005_Helse Bergen HF_x0005_1_x0005_0_x0004__x0005_3_x0005_Avdeling for kreftbehandling og medisinsk fysikk_x0005_1_x0005_0_x0004_._x0005_1_x0005_Felles dokumentasjon avdeling for kreftbeh. og med.fys._x0005_0_x0005_0_x0004_._x0005_2_x0005_Kjerneaktiviteter_x0005_0_x0005_0_x0004_._x0005_5_x0005_Pasientbehandling_x0005_0_x0005_0_x0004_._x0005_8_x0005_Strålebehandling_x0005_0_x0005_0_x0004_._x0005_4_x0005_Proton_x0005_0_x0005_0_x0004_._x0005_1_x0005_Nasjonale retningslinjer_x0005_0_x0005_0_x0004_ - _x0003_EK_Strukt01_x0002_5_x0002__x0005__x0005_Kategorier HB (ikke dokumenter på dette nivået trykk dere videre ned +)_x0005_0_x0005_0_x0004__x0005__x0005_Pasientbehandling_x0005_3_x0005_0_x0004__x0005__x0005_Fagprosedyrer_x0005_3_x0005_0_x0004__x0005__x0005_Kreft_x0005_3_x0005_0_x0004_ -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HF_x0005_1_x0005_0_x0004__x0005_3_x0005_Avdeling for kreftbehandling og medisinsk fysikk_x0005_1_x0005_0_x0004_._x0005_1_x0005_Felles dokumentasjon avdeling for kreftbeh. og med.fys._x0005_0_x0005_0_x0004_._x0005_2_x0005_Kjerneaktiviteter_x0005_0_x0005_0_x0004_._x0005_5_x0005_Pasientbehandling_x0005_0_x0005_0_x0004_._x0005_8_x0005_Strålebehandling_x0005_0_x0005_0_x0004_._x0005_4_x0005_Proton_x0005_0_x0005_0_x0004_._x0005_1_x0005_Nasjonale retningslinjer_x0005_0_x0005_0_x0004_ - _x0003_</dc:description>
  <cp:lastModifiedBy>Utne, Amalie</cp:lastModifiedBy>
  <cp:revision>2</cp:revision>
  <cp:lastPrinted>2006-09-07T08:52:00Z</cp:lastPrinted>
  <dcterms:created xsi:type="dcterms:W3CDTF">2024-06-24T13:37:00Z</dcterms:created>
  <dcterms:modified xsi:type="dcterms:W3CDTF">2024-06-24T13:37:00Z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Sarcom - Retningslinje for protonplanlegging</vt:lpwstr>
  </property>
  <property fmtid="{D5CDD505-2E9C-101B-9397-08002B2CF9AE}" pid="7" name="EK_DokType">
    <vt:lpwstr>Retningslinje</vt:lpwstr>
  </property>
  <property fmtid="{D5CDD505-2E9C-101B-9397-08002B2CF9AE}" pid="8" name="EK_DokumentID">
    <vt:lpwstr>D78851</vt:lpwstr>
  </property>
  <property fmtid="{D5CDD505-2E9C-101B-9397-08002B2CF9AE}" pid="9" name="EK_EKPrintMerke">
    <vt:lpwstr>Uoffisiell utskrift er kun gyldig på utskriftsdato</vt:lpwstr>
  </property>
  <property fmtid="{D5CDD505-2E9C-101B-9397-08002B2CF9AE}" pid="10" name="EK_GjelderFra">
    <vt:lpwstr>27.06.2024</vt:lpwstr>
  </property>
  <property fmtid="{D5CDD505-2E9C-101B-9397-08002B2CF9AE}" pid="11" name="EK_GjelderTil">
    <vt:lpwstr>27.06.2026</vt:lpwstr>
  </property>
  <property fmtid="{D5CDD505-2E9C-101B-9397-08002B2CF9AE}" pid="12" name="EK_Merknad">
    <vt:lpwstr>Første versjon</vt:lpwstr>
  </property>
  <property fmtid="{D5CDD505-2E9C-101B-9397-08002B2CF9AE}" pid="13" name="EK_RefNr">
    <vt:lpwstr>3.1.2.5.9.4.1-05</vt:lpwstr>
  </property>
  <property fmtid="{D5CDD505-2E9C-101B-9397-08002B2CF9AE}" pid="14" name="EK_S00MT1">
    <vt:lpwstr>Helse Bergen HF/Avdeling for kreftbehandling og medisinsk fysikk</vt:lpwstr>
  </property>
  <property fmtid="{D5CDD505-2E9C-101B-9397-08002B2CF9AE}" pid="15" name="EK_S01MT3">
    <vt:lpwstr>Pasientbehandling/Fagprosedyrer/Kreft</vt:lpwstr>
  </property>
  <property fmtid="{D5CDD505-2E9C-101B-9397-08002B2CF9AE}" pid="16" name="EK_Signatur">
    <vt:lpwstr>Oddbjørn Straume</vt:lpwstr>
  </property>
  <property fmtid="{D5CDD505-2E9C-101B-9397-08002B2CF9AE}" pid="17" name="EK_UText1">
    <vt:lpwstr>Einar Waldeland, +++</vt:lpwstr>
  </property>
  <property fmtid="{D5CDD505-2E9C-101B-9397-08002B2CF9AE}" pid="18" name="EK_Utgave">
    <vt:lpwstr>1.00</vt:lpwstr>
  </property>
  <property fmtid="{D5CDD505-2E9C-101B-9397-08002B2CF9AE}" pid="19" name="EK_Watermark">
    <vt:lpwstr> </vt:lpwstr>
  </property>
  <property fmtid="{D5CDD505-2E9C-101B-9397-08002B2CF9AE}" pid="20" name="MSIP_Label_0c3ffc1c-ef00-4620-9c2f-7d9c1597774b_ActionId">
    <vt:lpwstr>54bd0cf4-e146-4389-80e1-3296c1b376b5</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2024-06-24T12:41:53Z</vt:lpwstr>
  </property>
  <property fmtid="{D5CDD505-2E9C-101B-9397-08002B2CF9AE}" pid="26" name="MSIP_Label_0c3ffc1c-ef00-4620-9c2f-7d9c1597774b_SiteId">
    <vt:lpwstr>bdcbe535-f3cf-49f5-8a6a-fb6d98dc7837</vt:lpwstr>
  </property>
</Properties>
</file>