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2AD2C27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72C28">
              <w:rPr>
                <w:rStyle w:val="Hyperlink"/>
              </w:rPr>
              <w:t>Elektiv</w:t>
            </w:r>
            <w:r w:rsidR="00C917BA">
              <w:rPr>
                <w:rStyle w:val="Hyperlink"/>
              </w:rPr>
              <w:t>t</w:t>
            </w:r>
            <w:r w:rsidRPr="00772C28">
              <w:rPr>
                <w:rStyle w:val="Hyperlink"/>
              </w:rPr>
              <w:t xml:space="preserve"> keisersnitt: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3.2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72C28">
              <w:rPr>
                <w:rStyle w:val="Hyperlink"/>
              </w:rPr>
              <w:t>Dødfødsler: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3.3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72C28">
              <w:rPr>
                <w:rStyle w:val="Hyperlink"/>
              </w:rPr>
              <w:t>Selekteres til Føde A: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3.4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Selekteres til Føde C</w:t>
            </w:r>
            <w:r w:rsidRPr="00772C28"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3.5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Assistanse fra anestesi- / </w:t>
            </w:r>
            <w:r>
              <w:rPr>
                <w:rStyle w:val="Hyperlink"/>
              </w:rPr>
              <w:t>operasjonspersonell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3.6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Seleksjonskriterier til Føde D Storken: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Seleksjon av barselkvinner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Reinnleggelser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12AD2C31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66A58" w14:paraId="12AD2C32" w14:textId="45F10D36">
      <w:pPr>
        <w:spacing w:line="259" w:lineRule="auto"/>
        <w:rPr>
          <w:rFonts w:cstheme="minorHAnsi"/>
        </w:rPr>
      </w:pPr>
      <w:r w:rsidRPr="00772C28">
        <w:rPr>
          <w:rFonts w:cstheme="minorHAnsi"/>
        </w:rPr>
        <w:t>Korrekt</w:t>
      </w:r>
      <w:r w:rsidRPr="00772C28" w:rsidR="004036DE">
        <w:rPr>
          <w:rFonts w:cstheme="minorHAnsi"/>
        </w:rPr>
        <w:t xml:space="preserve"> seleksjon av fødekvinner, barselkvinner, </w:t>
      </w:r>
      <w:r w:rsidRPr="00772C28">
        <w:rPr>
          <w:rFonts w:cstheme="minorHAnsi"/>
        </w:rPr>
        <w:t>nyfødte og</w:t>
      </w:r>
      <w:r w:rsidRPr="00772C28" w:rsidR="004036DE">
        <w:rPr>
          <w:rFonts w:cstheme="minorHAnsi"/>
        </w:rPr>
        <w:t xml:space="preserve"> reinnleggelser på Fødeseksjonen.</w:t>
      </w:r>
    </w:p>
    <w:p w:rsidR="001860DA" w:rsidRPr="00772C28" w:rsidP="00066A58" w14:paraId="4B94AB81" w14:textId="77777777">
      <w:pPr>
        <w:spacing w:line="259" w:lineRule="auto"/>
        <w:rPr>
          <w:rFonts w:cstheme="minorHAnsi"/>
        </w:rPr>
      </w:pPr>
    </w:p>
    <w:p w:rsidR="002744C3" w:rsidP="00066A58" w14:paraId="12AD2C33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066A58" w14:paraId="12AD2C34" w14:textId="3326F7B3">
      <w:pPr>
        <w:spacing w:line="259" w:lineRule="auto"/>
      </w:pPr>
      <w:r>
        <w:t xml:space="preserve">Kvinner som skal føde og ha barselopphold på Kvinneklinikken HUS. Kvinner og /eller barn som reinnlegges etter utskrivelse. </w:t>
      </w:r>
    </w:p>
    <w:p w:rsidR="00DF7BA8" w:rsidRPr="00DF7BA8" w:rsidP="00066A58" w14:paraId="12AD2C39" w14:textId="62ED7E2C">
      <w:pPr>
        <w:spacing w:line="259" w:lineRule="auto"/>
        <w:rPr>
          <w:rFonts w:cstheme="minorHAnsi"/>
        </w:rPr>
      </w:pPr>
    </w:p>
    <w:p w:rsidR="00510BDF" w:rsidP="00066A58" w14:paraId="12AD2C3A" w14:textId="7F366F04">
      <w:pPr>
        <w:pStyle w:val="Heading1"/>
        <w:spacing w:line="259" w:lineRule="auto"/>
      </w:pPr>
      <w:bookmarkStart w:id="3" w:name="_Toc256000002"/>
      <w:r>
        <w:t>Gjennomføring</w:t>
      </w:r>
      <w:bookmarkEnd w:id="3"/>
      <w:r>
        <w:t xml:space="preserve"> </w:t>
      </w:r>
    </w:p>
    <w:p w:rsidR="00D86D1A" w:rsidRPr="00D86D1A" w:rsidP="00D86D1A" w14:paraId="664DF798" w14:textId="77777777"/>
    <w:p w:rsidR="00772C28" w:rsidRPr="00772C28" w:rsidP="00D86D1A" w14:paraId="22E6EBA2" w14:textId="6C39D677">
      <w:pPr>
        <w:pStyle w:val="Heading2"/>
      </w:pPr>
      <w:bookmarkStart w:id="4" w:name="_Toc256000003"/>
      <w:r w:rsidRPr="00772C28">
        <w:t>Elektiv</w:t>
      </w:r>
      <w:r w:rsidR="00C917BA">
        <w:t>t</w:t>
      </w:r>
      <w:r w:rsidRPr="00772C28">
        <w:t xml:space="preserve"> keisersnitt:</w:t>
      </w:r>
      <w:bookmarkEnd w:id="4"/>
    </w:p>
    <w:p w:rsidR="00772C28" w:rsidRPr="00772C28" w:rsidP="00772C28" w14:paraId="0FEA60D3" w14:textId="77777777">
      <w:pPr>
        <w:spacing w:line="259" w:lineRule="auto"/>
        <w:rPr>
          <w:rFonts w:cstheme="minorHAnsi"/>
        </w:rPr>
      </w:pPr>
    </w:p>
    <w:p w:rsidR="00772C28" w:rsidP="00772C28" w14:paraId="2D913042" w14:textId="6ADD717C">
      <w:pPr>
        <w:spacing w:line="259" w:lineRule="auto"/>
        <w:rPr>
          <w:rFonts w:cstheme="minorHAnsi"/>
        </w:rPr>
      </w:pPr>
      <w:r>
        <w:rPr>
          <w:rFonts w:cstheme="minorHAnsi"/>
        </w:rPr>
        <w:t>Se avsnitt «</w:t>
      </w:r>
      <w:r w:rsidR="00A71040">
        <w:rPr>
          <w:rFonts w:cstheme="minorHAnsi"/>
        </w:rPr>
        <w:t>Gjennomføring</w:t>
      </w:r>
      <w:r>
        <w:rPr>
          <w:rFonts w:cstheme="minorHAnsi"/>
        </w:rPr>
        <w:t>»</w:t>
      </w:r>
      <w:r w:rsidRPr="00772C28" w:rsidR="00A71040">
        <w:rPr>
          <w:rFonts w:cstheme="minorHAnsi"/>
        </w:rPr>
        <w:t xml:space="preserve"> </w:t>
      </w:r>
      <w:r w:rsidR="00D86D1A">
        <w:rPr>
          <w:rFonts w:cstheme="minorHAnsi"/>
        </w:rPr>
        <w:t>i prosedyre</w:t>
      </w:r>
      <w:r>
        <w:rPr>
          <w:rFonts w:cstheme="minorHAnsi"/>
        </w:rPr>
        <w:t>n for</w:t>
      </w:r>
      <w:r w:rsidR="00D86D1A">
        <w:rPr>
          <w:rFonts w:cstheme="minorHAnsi"/>
        </w:rPr>
        <w:t xml:space="preserve"> elektiv</w:t>
      </w:r>
      <w:r>
        <w:rPr>
          <w:rFonts w:cstheme="minorHAnsi"/>
        </w:rPr>
        <w:t>e</w:t>
      </w:r>
      <w:r w:rsidR="00D86D1A">
        <w:rPr>
          <w:rFonts w:cstheme="minorHAnsi"/>
        </w:rPr>
        <w:t xml:space="preserve"> keisersnitt:</w:t>
      </w:r>
    </w:p>
    <w:p w:rsidR="00D86D1A" w:rsidRPr="00772C28" w:rsidP="00772C28" w14:paraId="37E71EA4" w14:textId="7A3A9489">
      <w:pPr>
        <w:spacing w:line="259" w:lineRule="auto"/>
        <w:rPr>
          <w:rFonts w:cstheme="minorHAnsi"/>
        </w:rPr>
      </w:pPr>
      <w:hyperlink r:id="rId5" w:anchor="rpShowDynamicModalDocument-65708" w:history="1">
        <w:r>
          <w:rPr>
            <w:color w:val="0000FF"/>
            <w:u w:val="single"/>
          </w:rPr>
          <w:t>Elektiv sectio.</w:t>
        </w:r>
      </w:hyperlink>
    </w:p>
    <w:p w:rsidR="00772C28" w:rsidRPr="00772C28" w:rsidP="00772C28" w14:paraId="33EC292D" w14:textId="79B9119C">
      <w:pPr>
        <w:spacing w:line="259" w:lineRule="auto"/>
        <w:rPr>
          <w:rFonts w:cstheme="minorHAnsi"/>
        </w:rPr>
      </w:pPr>
    </w:p>
    <w:p w:rsidR="00772C28" w:rsidRPr="00772C28" w:rsidP="00D86D1A" w14:paraId="0F0910E6" w14:textId="38ADA30A">
      <w:pPr>
        <w:pStyle w:val="Heading2"/>
      </w:pPr>
      <w:bookmarkStart w:id="5" w:name="_Toc256000004"/>
      <w:r w:rsidRPr="00772C28">
        <w:t>Dødfødsler:</w:t>
      </w:r>
      <w:bookmarkEnd w:id="5"/>
    </w:p>
    <w:p w:rsidR="00772C28" w:rsidRPr="00772C28" w:rsidP="00772C28" w14:paraId="69D9F99B" w14:textId="01E578B0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Kvinner som kommer inn i fødsel og </w:t>
      </w:r>
      <w:r w:rsidR="00C917BA">
        <w:rPr>
          <w:rFonts w:cstheme="minorHAnsi"/>
        </w:rPr>
        <w:t xml:space="preserve">der </w:t>
      </w:r>
      <w:r>
        <w:rPr>
          <w:rFonts w:cstheme="minorHAnsi"/>
        </w:rPr>
        <w:t xml:space="preserve">det avdekkes IUFD, </w:t>
      </w:r>
      <w:r w:rsidR="00C917BA">
        <w:rPr>
          <w:rFonts w:cstheme="minorHAnsi"/>
        </w:rPr>
        <w:t xml:space="preserve">skal fortrinnsvis flyttes til Føde A. </w:t>
      </w:r>
      <w:r>
        <w:rPr>
          <w:rFonts w:cstheme="minorHAnsi"/>
        </w:rPr>
        <w:t xml:space="preserve"> Induksjon pga IUFD prioriteres til rom V108 på Føde A.</w:t>
      </w:r>
      <w:r w:rsidRPr="00772C28">
        <w:rPr>
          <w:rFonts w:cstheme="minorHAnsi"/>
        </w:rPr>
        <w:t xml:space="preserve"> </w:t>
      </w:r>
    </w:p>
    <w:p w:rsidR="00772C28" w:rsidRPr="00772C28" w:rsidP="00772C28" w14:paraId="3C7B6EE8" w14:textId="2919143B">
      <w:pPr>
        <w:spacing w:line="259" w:lineRule="auto"/>
        <w:rPr>
          <w:rFonts w:cstheme="minorHAnsi"/>
        </w:rPr>
      </w:pPr>
    </w:p>
    <w:p w:rsidR="00772C28" w:rsidRPr="00772C28" w:rsidP="00D86D1A" w14:paraId="665A7C37" w14:textId="77777777">
      <w:pPr>
        <w:pStyle w:val="Heading2"/>
      </w:pPr>
      <w:bookmarkStart w:id="6" w:name="_Toc256000005"/>
      <w:r w:rsidRPr="00772C28">
        <w:t>Selekteres til Føde A:</w:t>
      </w:r>
      <w:bookmarkEnd w:id="6"/>
    </w:p>
    <w:p w:rsidR="00772C28" w:rsidRPr="00772C28" w:rsidP="00772C28" w14:paraId="385C4430" w14:textId="77777777">
      <w:pPr>
        <w:spacing w:line="259" w:lineRule="auto"/>
        <w:rPr>
          <w:rFonts w:cstheme="minorHAnsi"/>
        </w:rPr>
      </w:pPr>
    </w:p>
    <w:p w:rsidR="00D86D1A" w:rsidP="00932C80" w14:paraId="2DA1B5F7" w14:textId="62E76170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 w:rsidRPr="00D86D1A">
        <w:rPr>
          <w:rFonts w:cstheme="minorHAnsi"/>
        </w:rPr>
        <w:t xml:space="preserve">Gestasjonsalder </w:t>
      </w:r>
      <w:r w:rsidRPr="00E25C73">
        <w:rPr>
          <w:rFonts w:cstheme="minorHAnsi"/>
        </w:rPr>
        <w:t>&lt; 34</w:t>
      </w:r>
      <w:r w:rsidRPr="00D86D1A">
        <w:rPr>
          <w:rFonts w:cstheme="minorHAnsi"/>
        </w:rPr>
        <w:t xml:space="preserve"> </w:t>
      </w:r>
      <w:r>
        <w:rPr>
          <w:rFonts w:cstheme="minorHAnsi"/>
        </w:rPr>
        <w:t>uker (dvs</w:t>
      </w:r>
      <w:r>
        <w:rPr>
          <w:rFonts w:cstheme="minorHAnsi"/>
        </w:rPr>
        <w:t xml:space="preserve"> 33 uker og 6 dager), indusert eller med rier</w:t>
      </w:r>
    </w:p>
    <w:p w:rsidR="00772C28" w:rsidRPr="00D86D1A" w:rsidP="00932C80" w14:paraId="46B0C918" w14:textId="1D23D683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>
        <w:rPr>
          <w:rFonts w:cstheme="minorHAnsi"/>
        </w:rPr>
        <w:t>Alle med truende prematur fødsel</w:t>
      </w:r>
      <w:r w:rsidRPr="00D86D1A">
        <w:rPr>
          <w:rFonts w:cstheme="minorHAnsi"/>
        </w:rPr>
        <w:t>.</w:t>
      </w:r>
    </w:p>
    <w:p w:rsidR="00772C28" w:rsidRPr="00D86D1A" w:rsidP="00932C80" w14:paraId="071F6787" w14:textId="77777777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 w:rsidRPr="00D86D1A">
        <w:rPr>
          <w:rFonts w:cstheme="minorHAnsi"/>
        </w:rPr>
        <w:t>Tvillinger.</w:t>
      </w:r>
    </w:p>
    <w:p w:rsidR="00D86D1A" w:rsidP="00932C80" w14:paraId="0A9AB427" w14:textId="2D5E4826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 w:rsidRPr="00D86D1A">
        <w:rPr>
          <w:rFonts w:cstheme="minorHAnsi"/>
        </w:rPr>
        <w:t>Alvorlig syke kvinner som har behov for kontinuerlig overvåking av blodtrykk. For eksempel alvorlig komplisert preeklampsi: HELLP, truende eklampsi/eklampsi.</w:t>
      </w:r>
    </w:p>
    <w:p w:rsidR="00772C28" w:rsidRPr="00D86D1A" w:rsidP="00932C80" w14:paraId="5AD3564C" w14:textId="5FAF04AA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>
        <w:rPr>
          <w:rFonts w:cstheme="minorHAnsi"/>
        </w:rPr>
        <w:t>Hjertesyke kvinner, med behov for overvåkning med scoop.</w:t>
      </w:r>
    </w:p>
    <w:p w:rsidR="00772C28" w:rsidRPr="00D86D1A" w:rsidP="00932C80" w14:paraId="78A27A8C" w14:textId="77777777">
      <w:pPr>
        <w:pStyle w:val="ListParagraph"/>
        <w:numPr>
          <w:ilvl w:val="0"/>
          <w:numId w:val="33"/>
        </w:numPr>
        <w:spacing w:line="259" w:lineRule="auto"/>
        <w:rPr>
          <w:rFonts w:cstheme="minorHAnsi"/>
        </w:rPr>
      </w:pPr>
      <w:r w:rsidRPr="00D86D1A">
        <w:rPr>
          <w:rFonts w:cstheme="minorHAnsi"/>
        </w:rPr>
        <w:t>Etter medisinsk vurdering. For eksempel forventet alvorlig sykt barn som krever høy nyfødtmedisinsk beredskap.</w:t>
      </w:r>
    </w:p>
    <w:p w:rsidR="00772C28" w:rsidRPr="00772C28" w:rsidP="00772C28" w14:paraId="0C443E01" w14:textId="77777777">
      <w:pPr>
        <w:spacing w:line="259" w:lineRule="auto"/>
        <w:rPr>
          <w:rFonts w:cstheme="minorHAnsi"/>
        </w:rPr>
      </w:pPr>
      <w:r w:rsidRPr="00772C28">
        <w:rPr>
          <w:rFonts w:cstheme="minorHAnsi"/>
        </w:rPr>
        <w:t xml:space="preserve"> </w:t>
      </w:r>
    </w:p>
    <w:p w:rsidR="00772C28" w:rsidRPr="00772C28" w:rsidP="00D86D1A" w14:paraId="1E067A28" w14:textId="7536E308">
      <w:pPr>
        <w:pStyle w:val="Note"/>
      </w:pPr>
      <w:r w:rsidRPr="00772C28">
        <w:t xml:space="preserve">Overflytting: Kvinnen skal ikke flyttes mellom avdelingene når hun er i fødsel. Unntak er overflytting fra </w:t>
      </w:r>
      <w:r>
        <w:t xml:space="preserve">Føde D </w:t>
      </w:r>
      <w:r w:rsidRPr="00772C28">
        <w:t>Storken</w:t>
      </w:r>
      <w:r w:rsidR="001860DA">
        <w:t xml:space="preserve"> pga </w:t>
      </w:r>
      <w:r w:rsidR="00AA7C21">
        <w:t>patologi.</w:t>
      </w:r>
      <w:r w:rsidRPr="00772C28">
        <w:t xml:space="preserve"> </w:t>
      </w:r>
      <w:r w:rsidR="002A132E">
        <w:t>Kvinnen overfly</w:t>
      </w:r>
      <w:r>
        <w:t>ttes da til</w:t>
      </w:r>
      <w:r w:rsidR="00AA7C21">
        <w:t xml:space="preserve"> ledig fødestue på F</w:t>
      </w:r>
      <w:r w:rsidR="00D86D1A">
        <w:t>øde A eller C</w:t>
      </w:r>
      <w:r w:rsidRPr="00772C28">
        <w:t>.</w:t>
      </w:r>
    </w:p>
    <w:p w:rsidR="00772C28" w:rsidRPr="00772C28" w:rsidP="00772C28" w14:paraId="0706335D" w14:textId="5FFC93C5">
      <w:pPr>
        <w:spacing w:line="259" w:lineRule="auto"/>
        <w:rPr>
          <w:rFonts w:cstheme="minorHAnsi"/>
        </w:rPr>
      </w:pPr>
    </w:p>
    <w:p w:rsidR="00772C28" w:rsidRPr="00772C28" w:rsidP="00D86D1A" w14:paraId="13ED3594" w14:textId="0C571586">
      <w:pPr>
        <w:pStyle w:val="Heading2"/>
      </w:pPr>
      <w:bookmarkStart w:id="7" w:name="_Toc256000006"/>
      <w:r>
        <w:t>Selekteres til Føde C</w:t>
      </w:r>
      <w:r w:rsidRPr="00772C28">
        <w:t>:</w:t>
      </w:r>
      <w:bookmarkEnd w:id="7"/>
    </w:p>
    <w:p w:rsidR="00772C28" w:rsidRPr="00D86D1A" w:rsidP="00932C80" w14:paraId="6BB3CD30" w14:textId="1A81C620">
      <w:pPr>
        <w:pStyle w:val="ListParagraph"/>
        <w:numPr>
          <w:ilvl w:val="0"/>
          <w:numId w:val="34"/>
        </w:numPr>
        <w:spacing w:line="259" w:lineRule="auto"/>
        <w:rPr>
          <w:rFonts w:cstheme="minorHAnsi"/>
        </w:rPr>
      </w:pPr>
      <w:r w:rsidRPr="00D86D1A">
        <w:rPr>
          <w:rFonts w:cstheme="minorHAnsi"/>
        </w:rPr>
        <w:t>Fødende med tilstander eller komplikasjoner som ikke fal</w:t>
      </w:r>
      <w:r>
        <w:rPr>
          <w:rFonts w:cstheme="minorHAnsi"/>
        </w:rPr>
        <w:t xml:space="preserve">ler under punktene nevnt </w:t>
      </w:r>
      <w:r w:rsidRPr="00D86D1A">
        <w:rPr>
          <w:rFonts w:cstheme="minorHAnsi"/>
        </w:rPr>
        <w:t>for Føde A</w:t>
      </w:r>
      <w:r w:rsidR="001860DA">
        <w:rPr>
          <w:rFonts w:cstheme="minorHAnsi"/>
        </w:rPr>
        <w:t>, kan føde på Føde C</w:t>
      </w:r>
      <w:r w:rsidRPr="00D86D1A">
        <w:rPr>
          <w:rFonts w:cstheme="minorHAnsi"/>
        </w:rPr>
        <w:t>.</w:t>
      </w:r>
    </w:p>
    <w:p w:rsidR="00772C28" w:rsidRPr="00D86D1A" w:rsidP="00932C80" w14:paraId="3727DD5E" w14:textId="65A79535">
      <w:pPr>
        <w:pStyle w:val="ListParagraph"/>
        <w:numPr>
          <w:ilvl w:val="0"/>
          <w:numId w:val="34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Kvinnen kan få epiduralanalgesi </w:t>
      </w:r>
      <w:r w:rsidR="00D86D1A">
        <w:rPr>
          <w:rFonts w:cstheme="minorHAnsi"/>
        </w:rPr>
        <w:t>på alle stuer</w:t>
      </w:r>
      <w:r>
        <w:rPr>
          <w:rFonts w:cstheme="minorHAnsi"/>
        </w:rPr>
        <w:t xml:space="preserve"> på Føde C.</w:t>
      </w:r>
    </w:p>
    <w:p w:rsidR="00772C28" w:rsidRPr="00772C28" w:rsidP="00772C28" w14:paraId="0F642F8D" w14:textId="77777777">
      <w:pPr>
        <w:spacing w:line="259" w:lineRule="auto"/>
        <w:rPr>
          <w:rFonts w:cstheme="minorHAnsi"/>
        </w:rPr>
      </w:pPr>
    </w:p>
    <w:p w:rsidR="00772C28" w:rsidRPr="00772C28" w:rsidP="00772C28" w14:paraId="249F86FF" w14:textId="79404A23">
      <w:pPr>
        <w:spacing w:line="259" w:lineRule="auto"/>
        <w:rPr>
          <w:rFonts w:cstheme="minorHAnsi"/>
        </w:rPr>
      </w:pPr>
      <w:r>
        <w:rPr>
          <w:rFonts w:cstheme="minorHAnsi"/>
        </w:rPr>
        <w:t>Dvs</w:t>
      </w:r>
      <w:r w:rsidRPr="00772C28">
        <w:rPr>
          <w:rFonts w:cstheme="minorHAnsi"/>
        </w:rPr>
        <w:t xml:space="preserve"> at kvinner som har behov for inngrep som krever anestesi</w:t>
      </w:r>
      <w:r>
        <w:rPr>
          <w:rFonts w:cstheme="minorHAnsi"/>
        </w:rPr>
        <w:t>,</w:t>
      </w:r>
      <w:r w:rsidRPr="00772C28">
        <w:rPr>
          <w:rFonts w:cstheme="minorHAnsi"/>
        </w:rPr>
        <w:t xml:space="preserve"> for eksempel manuell uthenting, utskraping eller sying av stor vaginalrift/grad 3-4 rift kan håndteres på føde</w:t>
      </w:r>
      <w:r w:rsidR="001860DA">
        <w:rPr>
          <w:rFonts w:cstheme="minorHAnsi"/>
        </w:rPr>
        <w:t xml:space="preserve"> C.</w:t>
      </w:r>
    </w:p>
    <w:p w:rsidR="00772C28" w:rsidP="00772C28" w14:paraId="170A9FC2" w14:textId="6DAE61C8">
      <w:pPr>
        <w:spacing w:line="259" w:lineRule="auto"/>
        <w:rPr>
          <w:rFonts w:cstheme="minorHAnsi"/>
        </w:rPr>
      </w:pPr>
    </w:p>
    <w:p w:rsidR="00D9397D" w:rsidRPr="00772C28" w:rsidP="00D9397D" w14:paraId="55EA3928" w14:textId="27BE059C">
      <w:pPr>
        <w:pStyle w:val="Heading2"/>
      </w:pPr>
      <w:bookmarkStart w:id="8" w:name="_Toc256000007"/>
      <w:r>
        <w:t xml:space="preserve">Assistanse fra anestesi- / </w:t>
      </w:r>
      <w:r>
        <w:t>operasjonspersonell</w:t>
      </w:r>
      <w:bookmarkEnd w:id="8"/>
    </w:p>
    <w:p w:rsidR="00772C28" w:rsidRPr="00772C28" w:rsidP="00772C28" w14:paraId="3E24957E" w14:textId="2913FFDA">
      <w:pPr>
        <w:spacing w:line="259" w:lineRule="auto"/>
        <w:rPr>
          <w:rFonts w:cstheme="minorHAnsi"/>
        </w:rPr>
      </w:pPr>
      <w:r w:rsidRPr="00772C28">
        <w:rPr>
          <w:rFonts w:cstheme="minorHAnsi"/>
        </w:rPr>
        <w:t>Dersom det er behov for bedre betingelser for operasjon som bedre lys</w:t>
      </w:r>
      <w:r w:rsidR="00D9397D">
        <w:rPr>
          <w:rFonts w:cstheme="minorHAnsi"/>
        </w:rPr>
        <w:t>,</w:t>
      </w:r>
      <w:r w:rsidRPr="00772C28">
        <w:rPr>
          <w:rFonts w:cstheme="minorHAnsi"/>
        </w:rPr>
        <w:t xml:space="preserve"> eventuelt assistanse av </w:t>
      </w:r>
      <w:r w:rsidRPr="00772C28" w:rsidR="00D9397D">
        <w:rPr>
          <w:rFonts w:cstheme="minorHAnsi"/>
        </w:rPr>
        <w:t>operasjonssykepleiere</w:t>
      </w:r>
      <w:r w:rsidR="00D9397D">
        <w:rPr>
          <w:rFonts w:cstheme="minorHAnsi"/>
        </w:rPr>
        <w:t>,</w:t>
      </w:r>
      <w:r w:rsidRPr="00772C28">
        <w:rPr>
          <w:rFonts w:cstheme="minorHAnsi"/>
        </w:rPr>
        <w:t xml:space="preserve"> vurder om kvinnen flyttes til operasjonsstue eller du kan få assistanse av op</w:t>
      </w:r>
      <w:r w:rsidR="00D9397D">
        <w:rPr>
          <w:rFonts w:cstheme="minorHAnsi"/>
        </w:rPr>
        <w:t>erasjonspersonell på fødestuen.</w:t>
      </w:r>
    </w:p>
    <w:p w:rsidR="00772C28" w:rsidP="00772C28" w14:paraId="162E4B55" w14:textId="376B2E84">
      <w:pPr>
        <w:spacing w:line="259" w:lineRule="auto"/>
        <w:rPr>
          <w:rFonts w:cstheme="minorHAnsi"/>
        </w:rPr>
      </w:pPr>
      <w:r w:rsidRPr="00772C28">
        <w:rPr>
          <w:rFonts w:cstheme="minorHAnsi"/>
        </w:rPr>
        <w:t xml:space="preserve">Anestesipersonell vil noen ganger bli bedt om å </w:t>
      </w:r>
      <w:r w:rsidR="002A132E">
        <w:rPr>
          <w:rFonts w:cstheme="minorHAnsi"/>
        </w:rPr>
        <w:t>være i beredskap ved tvillinger/seteleie/</w:t>
      </w:r>
      <w:r w:rsidRPr="00772C28">
        <w:rPr>
          <w:rFonts w:cstheme="minorHAnsi"/>
        </w:rPr>
        <w:t>kirurgiske forløsninger. Det forutsetter at kvinnen enten har et velfungerende epiduralkateter eller at anestesiapparatet er tilkoblet på fødestuen</w:t>
      </w:r>
      <w:r w:rsidR="001860DA">
        <w:rPr>
          <w:rFonts w:cstheme="minorHAnsi"/>
        </w:rPr>
        <w:t>.</w:t>
      </w:r>
    </w:p>
    <w:p w:rsidR="001860DA" w:rsidRPr="00772C28" w:rsidP="00772C28" w14:paraId="48C6AD57" w14:textId="77777777">
      <w:pPr>
        <w:spacing w:line="259" w:lineRule="auto"/>
        <w:rPr>
          <w:rFonts w:cstheme="minorHAnsi"/>
        </w:rPr>
      </w:pPr>
    </w:p>
    <w:p w:rsidR="00772C28" w:rsidRPr="00772C28" w:rsidP="001860DA" w14:paraId="090CAC5C" w14:textId="2E978D8E">
      <w:pPr>
        <w:pStyle w:val="Heading2"/>
      </w:pPr>
      <w:bookmarkStart w:id="9" w:name="_Toc256000008"/>
      <w:r>
        <w:t>Seleksjonskriterier til Føde D Storken:</w:t>
      </w:r>
      <w:bookmarkEnd w:id="9"/>
    </w:p>
    <w:p w:rsidR="00772C28" w:rsidRPr="001860DA" w:rsidP="00932C80" w14:paraId="32F0B6B2" w14:textId="7777777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60"/>
        <w:rPr>
          <w:rFonts w:cstheme="minorHAnsi"/>
          <w:szCs w:val="24"/>
        </w:rPr>
      </w:pPr>
      <w:r w:rsidRPr="001860DA">
        <w:rPr>
          <w:rFonts w:cstheme="minorHAnsi"/>
          <w:szCs w:val="24"/>
        </w:rPr>
        <w:t>Den gravide skal ha gått til regelmessig svangerskapskontroll.</w:t>
      </w:r>
    </w:p>
    <w:p w:rsidR="00772C28" w:rsidP="00932C80" w14:paraId="579D9BF6" w14:textId="09E1C33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60"/>
        <w:rPr>
          <w:rFonts w:ascii="Helvetica" w:hAnsi="Helvetica" w:cs="Helvetica"/>
          <w:sz w:val="23"/>
          <w:szCs w:val="23"/>
        </w:rPr>
      </w:pPr>
      <w:r w:rsidRPr="001860DA">
        <w:rPr>
          <w:rFonts w:cstheme="minorHAnsi"/>
          <w:szCs w:val="24"/>
        </w:rPr>
        <w:t>Det skal ikke være påvist vesentlig utviklingsavvik eller sykdom hos fosteret</w:t>
      </w:r>
      <w:r w:rsidRPr="001860DA">
        <w:rPr>
          <w:rFonts w:ascii="Helvetica" w:hAnsi="Helvetica" w:cs="Helvetica"/>
          <w:sz w:val="23"/>
          <w:szCs w:val="23"/>
        </w:rPr>
        <w:t>.</w:t>
      </w:r>
    </w:p>
    <w:p w:rsidR="00AA7C21" w:rsidRPr="00AA7C21" w:rsidP="00932C80" w14:paraId="350B49B3" w14:textId="401436C7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60"/>
        <w:rPr>
          <w:rFonts w:cstheme="minorHAnsi"/>
          <w:szCs w:val="24"/>
        </w:rPr>
      </w:pPr>
      <w:r w:rsidRPr="00AA7C21">
        <w:rPr>
          <w:rFonts w:cstheme="minorHAnsi"/>
          <w:szCs w:val="24"/>
        </w:rPr>
        <w:t>Epiduralanalgesi for smertelindring kan gis på Føde D Storken</w:t>
      </w:r>
    </w:p>
    <w:p w:rsidR="00772C28" w:rsidRPr="00772C28" w:rsidP="00772C28" w14:paraId="547517AA" w14:textId="77777777">
      <w:pPr>
        <w:shd w:val="clear" w:color="auto" w:fill="FFFFFF"/>
        <w:spacing w:after="60"/>
        <w:ind w:left="360"/>
        <w:rPr>
          <w:rFonts w:ascii="Helvetica" w:hAnsi="Helvetica" w:cs="Helvetica"/>
          <w:color w:val="333333"/>
          <w:sz w:val="23"/>
          <w:szCs w:val="23"/>
        </w:rPr>
      </w:pPr>
      <w:r w:rsidRPr="00772C28">
        <w:rPr>
          <w:rFonts w:ascii="Helvetica" w:hAnsi="Helvetica" w:cs="Helvetica"/>
          <w:color w:val="333333"/>
          <w:sz w:val="23"/>
          <w:szCs w:val="23"/>
        </w:rPr>
        <w:t> </w:t>
      </w:r>
    </w:p>
    <w:p w:rsidR="00772C28" w:rsidRPr="00D9397D" w:rsidP="00772C28" w14:paraId="2B19B2CB" w14:textId="7BE049BA">
      <w:pPr>
        <w:shd w:val="clear" w:color="auto" w:fill="FFFFFF"/>
        <w:spacing w:after="120"/>
        <w:rPr>
          <w:rFonts w:cstheme="minorHAnsi"/>
          <w:color w:val="333333"/>
          <w:sz w:val="28"/>
          <w:szCs w:val="28"/>
        </w:rPr>
      </w:pPr>
      <w:r>
        <w:rPr>
          <w:rFonts w:cstheme="minorHAnsi"/>
          <w:b/>
          <w:bCs/>
          <w:color w:val="333333"/>
          <w:sz w:val="28"/>
          <w:szCs w:val="28"/>
        </w:rPr>
        <w:t>Kvinnen kan ikke føde på Føde D</w:t>
      </w:r>
      <w:r w:rsidRPr="00D9397D">
        <w:rPr>
          <w:rFonts w:cstheme="minorHAnsi"/>
          <w:b/>
          <w:bCs/>
          <w:color w:val="333333"/>
          <w:sz w:val="28"/>
          <w:szCs w:val="28"/>
        </w:rPr>
        <w:t xml:space="preserve"> Storken når det foreligger: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8"/>
        <w:gridCol w:w="4317"/>
      </w:tblGrid>
      <w:tr w14:paraId="0AE1B7F2" w14:textId="77777777" w:rsidTr="00772C28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772C28" w14:paraId="13ECEE04" w14:textId="77777777">
            <w:pPr>
              <w:spacing w:before="120" w:after="12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b/>
                <w:bCs/>
                <w:color w:val="333333"/>
                <w:szCs w:val="24"/>
              </w:rPr>
              <w:t>Sykdom hos mor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772C28" w14:paraId="0373C1E2" w14:textId="77777777">
            <w:pPr>
              <w:spacing w:before="120" w:after="12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b/>
                <w:bCs/>
                <w:color w:val="333333"/>
                <w:szCs w:val="24"/>
              </w:rPr>
              <w:t>Komplisert svangerskap/tidligere fødsel</w:t>
            </w:r>
          </w:p>
        </w:tc>
      </w:tr>
      <w:tr w14:paraId="4D386DD6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05A8546" w14:textId="77777777">
            <w:pPr>
              <w:numPr>
                <w:ilvl w:val="0"/>
                <w:numId w:val="2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Hjerte-/karsykdom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7BB79768" w14:textId="77777777">
            <w:pPr>
              <w:numPr>
                <w:ilvl w:val="0"/>
                <w:numId w:val="3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 xml:space="preserve">Fødsel &lt; 37+0 uker eller &gt; 41+6 </w:t>
            </w:r>
            <w:r w:rsidRPr="00D9397D">
              <w:rPr>
                <w:rFonts w:cstheme="minorHAnsi"/>
                <w:color w:val="333333"/>
                <w:szCs w:val="24"/>
              </w:rPr>
              <w:t>uker</w:t>
            </w:r>
          </w:p>
        </w:tc>
      </w:tr>
      <w:tr w14:paraId="440191E6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8DA8ABB" w14:textId="77777777">
            <w:pPr>
              <w:numPr>
                <w:ilvl w:val="0"/>
                <w:numId w:val="4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Alvorlig lungesykdom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4308CF32" w14:textId="77777777">
            <w:pPr>
              <w:numPr>
                <w:ilvl w:val="0"/>
                <w:numId w:val="5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Tvillinger.  Sete- eller tverrleie</w:t>
            </w:r>
          </w:p>
        </w:tc>
      </w:tr>
      <w:tr w14:paraId="2C0D8D47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B46EB24" w14:textId="3110C248">
            <w:pPr>
              <w:numPr>
                <w:ilvl w:val="0"/>
                <w:numId w:val="6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Blodpropp, nå eller tidligere. Fragmin behandling i svangerskapet på grunn av øket tromboserisiko. Blødningstendens</w:t>
            </w:r>
            <w:r w:rsidR="00DA6186">
              <w:rPr>
                <w:rFonts w:cstheme="minorHAnsi"/>
                <w:color w:val="333333"/>
                <w:szCs w:val="24"/>
              </w:rPr>
              <w:t xml:space="preserve">. </w:t>
            </w:r>
            <w:r w:rsidR="00194A62">
              <w:rPr>
                <w:rFonts w:cstheme="minorHAnsi"/>
                <w:color w:val="333333"/>
                <w:szCs w:val="24"/>
              </w:rPr>
              <w:t xml:space="preserve">Fødsel på Føde D Storken kan vurderes.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3AB77B9A" w14:textId="77777777">
            <w:pPr>
              <w:numPr>
                <w:ilvl w:val="0"/>
                <w:numId w:val="7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Høyt blodtrykk i svangerskapet (BT≥140 mm Hg systolisk, eller ≥90 diastolisk)</w:t>
            </w:r>
          </w:p>
        </w:tc>
      </w:tr>
      <w:tr w14:paraId="4FE4798D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2C28" w:rsidRPr="00D9397D" w:rsidP="00772C28" w14:paraId="1EF19777" w14:textId="77777777">
            <w:pPr>
              <w:rPr>
                <w:rFonts w:cstheme="minorHAnsi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354C6C53" w14:textId="77777777">
            <w:pPr>
              <w:numPr>
                <w:ilvl w:val="0"/>
                <w:numId w:val="8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Preeklampsi</w:t>
            </w:r>
          </w:p>
        </w:tc>
      </w:tr>
      <w:tr w14:paraId="233047E7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B18086B" w14:textId="77777777">
            <w:pPr>
              <w:numPr>
                <w:ilvl w:val="0"/>
                <w:numId w:val="9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Alvorlig lever- eller nyresykdom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34079D74" w14:textId="77777777">
            <w:pPr>
              <w:numPr>
                <w:ilvl w:val="0"/>
                <w:numId w:val="10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Anemi (Hb &lt; 9g/dl ved fødselsstart)</w:t>
            </w:r>
          </w:p>
        </w:tc>
      </w:tr>
      <w:tr w14:paraId="5B83E469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E433DD1" w14:textId="77777777">
            <w:pPr>
              <w:numPr>
                <w:ilvl w:val="0"/>
                <w:numId w:val="11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Insulinbehandlet diabetes mellitus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44A726AF" w14:textId="77777777">
            <w:pPr>
              <w:numPr>
                <w:ilvl w:val="0"/>
                <w:numId w:val="12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 xml:space="preserve">Blødning i 3. </w:t>
            </w:r>
            <w:r w:rsidRPr="00D9397D">
              <w:rPr>
                <w:rFonts w:cstheme="minorHAnsi"/>
                <w:color w:val="333333"/>
                <w:szCs w:val="24"/>
              </w:rPr>
              <w:t>trimester</w:t>
            </w:r>
          </w:p>
        </w:tc>
      </w:tr>
      <w:tr w14:paraId="6E25FADB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6DDE6C01" w14:textId="77777777">
            <w:pPr>
              <w:numPr>
                <w:ilvl w:val="0"/>
                <w:numId w:val="13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Alvorlig nevrologisk sykdom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8E256BB" w14:textId="77777777">
            <w:pPr>
              <w:numPr>
                <w:ilvl w:val="0"/>
                <w:numId w:val="14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Isoimmunisering</w:t>
            </w:r>
          </w:p>
        </w:tc>
      </w:tr>
      <w:tr w14:paraId="157681FB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421582DE" w14:textId="77777777">
            <w:pPr>
              <w:numPr>
                <w:ilvl w:val="0"/>
                <w:numId w:val="15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Stoff-/rusmisbruk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4E4A5A49" w14:textId="77777777">
            <w:pPr>
              <w:numPr>
                <w:ilvl w:val="0"/>
                <w:numId w:val="16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Infeksjonssykdom (unntak: ukomplisert cystitt)</w:t>
            </w:r>
          </w:p>
        </w:tc>
      </w:tr>
      <w:tr w14:paraId="19D5089B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7E653D64" w14:textId="77777777">
            <w:pPr>
              <w:numPr>
                <w:ilvl w:val="0"/>
                <w:numId w:val="17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Systemisk lupus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0CF122E9" w14:textId="77355FB8">
            <w:pPr>
              <w:numPr>
                <w:ilvl w:val="0"/>
                <w:numId w:val="18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Intrauterin veksthemming (estimert fostervekt &lt; 10 percentilen</w:t>
            </w:r>
            <w:r>
              <w:rPr>
                <w:rFonts w:cstheme="minorHAnsi"/>
                <w:color w:val="333333"/>
                <w:szCs w:val="24"/>
              </w:rPr>
              <w:t>, eller uavklart SF mål &lt; 10 percentil)</w:t>
            </w:r>
          </w:p>
        </w:tc>
      </w:tr>
      <w:tr w14:paraId="045038D1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CB7F27C" w14:textId="77777777">
            <w:pPr>
              <w:numPr>
                <w:ilvl w:val="0"/>
                <w:numId w:val="19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Alvorlig psykisk sykdom, vurderes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57DE4029" w14:textId="77777777">
            <w:pPr>
              <w:numPr>
                <w:ilvl w:val="0"/>
                <w:numId w:val="20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 xml:space="preserve">Andre </w:t>
            </w:r>
            <w:r w:rsidRPr="00D9397D">
              <w:rPr>
                <w:rFonts w:cstheme="minorHAnsi"/>
                <w:color w:val="333333"/>
                <w:szCs w:val="24"/>
              </w:rPr>
              <w:t>forhold som krever skjerpet overvåking</w:t>
            </w:r>
          </w:p>
        </w:tc>
      </w:tr>
      <w:tr w14:paraId="38F2B408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564"/>
        </w:trPr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4A06E30" w14:textId="77777777">
            <w:pPr>
              <w:numPr>
                <w:ilvl w:val="0"/>
                <w:numId w:val="21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BMI &gt; 40 v/fødselsstart</w:t>
            </w:r>
          </w:p>
          <w:p w:rsidR="00772C28" w:rsidP="00932C80" w14:paraId="0BFEB600" w14:textId="77777777">
            <w:pPr>
              <w:numPr>
                <w:ilvl w:val="0"/>
                <w:numId w:val="21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>
              <w:rPr>
                <w:rFonts w:cstheme="minorHAnsi"/>
                <w:color w:val="333333"/>
                <w:szCs w:val="24"/>
              </w:rPr>
              <w:t xml:space="preserve">P0 med BMI over 35 </w:t>
            </w:r>
          </w:p>
          <w:p w:rsidR="004E1349" w:rsidRPr="00D9397D" w:rsidP="00932C80" w14:paraId="69AFED1E" w14:textId="3A0BE463">
            <w:pPr>
              <w:numPr>
                <w:ilvl w:val="0"/>
                <w:numId w:val="21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>
              <w:rPr>
                <w:rFonts w:cstheme="minorHAnsi"/>
                <w:color w:val="333333"/>
                <w:szCs w:val="24"/>
              </w:rPr>
              <w:t>P1 + med BMI over 35 og komorbiditet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D289542" w14:textId="77777777">
            <w:pPr>
              <w:numPr>
                <w:ilvl w:val="0"/>
                <w:numId w:val="22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Tidligere dødfødsel eller alvorlig asfyxi</w:t>
            </w:r>
          </w:p>
        </w:tc>
      </w:tr>
      <w:tr w14:paraId="480AF9E7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562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2C28" w:rsidRPr="00D9397D" w:rsidP="00772C28" w14:paraId="51F17371" w14:textId="77777777">
            <w:pPr>
              <w:rPr>
                <w:rFonts w:cstheme="minorHAnsi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36E69C67" w14:textId="77777777">
            <w:pPr>
              <w:numPr>
                <w:ilvl w:val="0"/>
                <w:numId w:val="23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Fostervannsavgang som krever induksjon</w:t>
            </w:r>
          </w:p>
        </w:tc>
      </w:tr>
      <w:tr w14:paraId="57E10276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562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2C28" w:rsidRPr="00D9397D" w:rsidP="00772C28" w14:paraId="6821EEA1" w14:textId="77777777">
            <w:pPr>
              <w:rPr>
                <w:rFonts w:cstheme="minorHAnsi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78CC7CEA" w14:textId="77777777">
            <w:pPr>
              <w:numPr>
                <w:ilvl w:val="0"/>
                <w:numId w:val="24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Tidligere keisersnitt</w:t>
            </w:r>
          </w:p>
        </w:tc>
      </w:tr>
      <w:tr w14:paraId="4B07F933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6E28409B" w14:textId="77777777">
            <w:pPr>
              <w:numPr>
                <w:ilvl w:val="0"/>
                <w:numId w:val="25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 xml:space="preserve">Annen alvorlig </w:t>
            </w:r>
            <w:r w:rsidRPr="00D9397D">
              <w:rPr>
                <w:rFonts w:cstheme="minorHAnsi"/>
                <w:color w:val="333333"/>
                <w:szCs w:val="24"/>
              </w:rPr>
              <w:t>sykdom, vurderes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9436F0D" w14:textId="553C8B60">
            <w:pPr>
              <w:numPr>
                <w:ilvl w:val="0"/>
                <w:numId w:val="26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</w:p>
        </w:tc>
      </w:tr>
    </w:tbl>
    <w:p w:rsidR="00772C28" w:rsidRPr="00D9397D" w:rsidP="00772C28" w14:paraId="0BEFEB34" w14:textId="1527A7A7">
      <w:pPr>
        <w:shd w:val="clear" w:color="auto" w:fill="FFFFFF"/>
        <w:spacing w:before="240" w:after="120"/>
        <w:rPr>
          <w:rFonts w:cstheme="minorHAnsi"/>
          <w:color w:val="333333"/>
          <w:szCs w:val="24"/>
        </w:rPr>
      </w:pPr>
      <w:r w:rsidRPr="00D9397D">
        <w:rPr>
          <w:rFonts w:cstheme="minorHAnsi"/>
          <w:b/>
          <w:bCs/>
          <w:color w:val="333333"/>
          <w:szCs w:val="24"/>
        </w:rPr>
        <w:t>Overflytting til Føde A eller C vurderes av lege ved: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5"/>
      </w:tblGrid>
      <w:tr w14:paraId="510DF198" w14:textId="77777777" w:rsidTr="00772C28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B3730" w:rsidP="002B3730" w14:paraId="4C2A6FE6" w14:textId="77777777">
            <w:pPr>
              <w:spacing w:before="40" w:after="40"/>
              <w:rPr>
                <w:rFonts w:cstheme="minorHAnsi"/>
                <w:color w:val="333333"/>
                <w:szCs w:val="24"/>
              </w:rPr>
            </w:pPr>
            <w:r>
              <w:rPr>
                <w:rFonts w:cstheme="minorHAnsi"/>
                <w:color w:val="333333"/>
                <w:szCs w:val="24"/>
              </w:rPr>
              <w:t xml:space="preserve">   P</w:t>
            </w:r>
            <w:r w:rsidRPr="00D9397D">
              <w:rPr>
                <w:rFonts w:cstheme="minorHAnsi"/>
                <w:color w:val="333333"/>
                <w:szCs w:val="24"/>
              </w:rPr>
              <w:t>atologisk test i åpningstiden</w:t>
            </w:r>
            <w:r>
              <w:rPr>
                <w:rFonts w:cstheme="minorHAnsi"/>
                <w:color w:val="333333"/>
                <w:szCs w:val="24"/>
              </w:rPr>
              <w:t xml:space="preserve">. Ved avvikende CTG i åpningstid vurder overflytting utfra </w:t>
            </w:r>
          </w:p>
          <w:p w:rsidR="002B3730" w:rsidRPr="00D9397D" w:rsidP="002B3730" w14:paraId="0E1EDCEC" w14:textId="42067EEB">
            <w:pPr>
              <w:spacing w:before="40" w:after="40"/>
              <w:rPr>
                <w:rFonts w:cstheme="minorHAnsi"/>
                <w:color w:val="333333"/>
                <w:szCs w:val="24"/>
              </w:rPr>
            </w:pPr>
            <w:r>
              <w:rPr>
                <w:rFonts w:cstheme="minorHAnsi"/>
                <w:color w:val="333333"/>
                <w:szCs w:val="24"/>
              </w:rPr>
              <w:t xml:space="preserve">   varighet og fødselsprogresjon. </w:t>
            </w:r>
          </w:p>
        </w:tc>
      </w:tr>
      <w:tr w14:paraId="02691D39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2B3730" w14:paraId="1EFA4656" w14:textId="2251F6CA">
            <w:p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>
              <w:rPr>
                <w:rFonts w:cstheme="minorHAnsi"/>
                <w:color w:val="333333"/>
                <w:szCs w:val="24"/>
              </w:rPr>
              <w:t>K</w:t>
            </w:r>
            <w:r w:rsidR="00194A62">
              <w:rPr>
                <w:rFonts w:cstheme="minorHAnsi"/>
                <w:color w:val="333333"/>
                <w:szCs w:val="24"/>
              </w:rPr>
              <w:t>linisk chorionamnionitt</w:t>
            </w:r>
          </w:p>
        </w:tc>
      </w:tr>
      <w:tr w14:paraId="3BFE5B98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592CE3B" w14:textId="77777777">
            <w:pPr>
              <w:numPr>
                <w:ilvl w:val="0"/>
                <w:numId w:val="29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 xml:space="preserve">Blødning mer enn </w:t>
            </w:r>
            <w:r w:rsidRPr="00D9397D">
              <w:rPr>
                <w:rFonts w:cstheme="minorHAnsi"/>
                <w:color w:val="333333"/>
                <w:szCs w:val="24"/>
              </w:rPr>
              <w:t>normalt</w:t>
            </w:r>
          </w:p>
        </w:tc>
      </w:tr>
      <w:tr w14:paraId="7B879EF8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5E2CE630" w14:textId="4EE08C1B">
            <w:pPr>
              <w:numPr>
                <w:ilvl w:val="0"/>
                <w:numId w:val="31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Kvinner som har lett misfarget fostervann, med normal progres</w:t>
            </w:r>
            <w:r w:rsidRPr="00D9397D" w:rsidR="00D9397D">
              <w:rPr>
                <w:rFonts w:cstheme="minorHAnsi"/>
                <w:color w:val="333333"/>
                <w:szCs w:val="24"/>
              </w:rPr>
              <w:t>jon i fødsel, kan være på Føde D</w:t>
            </w:r>
            <w:r w:rsidRPr="00D9397D">
              <w:rPr>
                <w:rFonts w:cstheme="minorHAnsi"/>
                <w:color w:val="333333"/>
                <w:szCs w:val="24"/>
              </w:rPr>
              <w:t xml:space="preserve"> Storken med STAN® overvåkning i samråd med lege. </w:t>
            </w:r>
          </w:p>
        </w:tc>
      </w:tr>
      <w:tr w14:paraId="6B55C075" w14:textId="77777777" w:rsidTr="00772C28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72C28" w:rsidRPr="00D9397D" w:rsidP="00932C80" w14:paraId="1CEA80A3" w14:textId="5DD7238E">
            <w:pPr>
              <w:numPr>
                <w:ilvl w:val="0"/>
                <w:numId w:val="32"/>
              </w:numPr>
              <w:spacing w:before="40" w:after="40"/>
              <w:ind w:left="210"/>
              <w:rPr>
                <w:rFonts w:cstheme="minorHAnsi"/>
                <w:color w:val="333333"/>
                <w:szCs w:val="24"/>
              </w:rPr>
            </w:pPr>
            <w:r w:rsidRPr="00D9397D">
              <w:rPr>
                <w:rFonts w:cstheme="minorHAnsi"/>
                <w:color w:val="333333"/>
                <w:szCs w:val="24"/>
              </w:rPr>
              <w:t>Kvinner som har hatt en normal progresjon av fødselen, men har behov for oxytocinstimulering ved 8-9 cm,</w:t>
            </w:r>
            <w:r w:rsidRPr="00D9397D" w:rsidR="00D9397D">
              <w:rPr>
                <w:rFonts w:cstheme="minorHAnsi"/>
                <w:color w:val="333333"/>
                <w:szCs w:val="24"/>
              </w:rPr>
              <w:t xml:space="preserve"> kan få dette på Føde D</w:t>
            </w:r>
            <w:r w:rsidRPr="00D9397D">
              <w:rPr>
                <w:rFonts w:cstheme="minorHAnsi"/>
                <w:color w:val="333333"/>
                <w:szCs w:val="24"/>
              </w:rPr>
              <w:t xml:space="preserve"> Storken, i samråd med lege. Etter 2 timer med oxytocinstimulering, uten at mormunn er utslettet, skal lege vurdere kvinnen og avgjøre videre behandling. </w:t>
            </w:r>
          </w:p>
        </w:tc>
      </w:tr>
    </w:tbl>
    <w:p w:rsidR="00772C28" w:rsidRPr="00D9397D" w:rsidP="00772C28" w14:paraId="53C54123" w14:textId="77777777">
      <w:pPr>
        <w:shd w:val="clear" w:color="auto" w:fill="FFFFFF"/>
        <w:rPr>
          <w:rFonts w:cstheme="minorHAnsi"/>
          <w:color w:val="333333"/>
          <w:szCs w:val="24"/>
        </w:rPr>
      </w:pPr>
      <w:r w:rsidRPr="00D9397D">
        <w:rPr>
          <w:rFonts w:cstheme="minorHAnsi"/>
          <w:color w:val="333333"/>
          <w:szCs w:val="24"/>
        </w:rPr>
        <w:t> </w:t>
      </w:r>
    </w:p>
    <w:p w:rsidR="00510BDF" w:rsidP="00066A58" w14:paraId="12AD2C3B" w14:textId="77777777">
      <w:pPr>
        <w:spacing w:line="259" w:lineRule="auto"/>
        <w:rPr>
          <w:rFonts w:cstheme="minorHAnsi"/>
        </w:rPr>
      </w:pPr>
    </w:p>
    <w:p w:rsidR="00510BDF" w:rsidP="00D9397D" w14:paraId="12AD2C3C" w14:textId="489F1724">
      <w:pPr>
        <w:pStyle w:val="Heading1"/>
      </w:pPr>
      <w:bookmarkStart w:id="10" w:name="_Toc256000009"/>
      <w:r>
        <w:t>Seleksjon av barselkvinner</w:t>
      </w:r>
      <w:bookmarkEnd w:id="10"/>
    </w:p>
    <w:p w:rsidR="00D9397D" w:rsidP="00D9397D" w14:paraId="1A47AEE6" w14:textId="44D6AC65"/>
    <w:p w:rsidR="00D9397D" w:rsidP="00D9397D" w14:paraId="7AA06E90" w14:textId="2352522C">
      <w:r>
        <w:t xml:space="preserve">Hovedregel at seksjonene ivaretar egne </w:t>
      </w:r>
      <w:r>
        <w:t>barselkvinner og nyfødte.</w:t>
      </w:r>
    </w:p>
    <w:p w:rsidR="00D9397D" w:rsidP="00A71040" w14:paraId="20FC0D0F" w14:textId="2DF1853C">
      <w:pPr>
        <w:pStyle w:val="ListParagraph"/>
        <w:ind w:left="1429" w:firstLine="698"/>
      </w:pPr>
      <w:r>
        <w:t xml:space="preserve">Unntak: </w:t>
      </w:r>
    </w:p>
    <w:p w:rsidR="00D9397D" w:rsidP="00932C80" w14:paraId="2827348F" w14:textId="24CDC83E">
      <w:pPr>
        <w:pStyle w:val="ListParagraph"/>
        <w:numPr>
          <w:ilvl w:val="0"/>
          <w:numId w:val="36"/>
        </w:numPr>
      </w:pPr>
      <w:r>
        <w:t>Barn med LKG-spalte selekteres til Føde B</w:t>
      </w:r>
    </w:p>
    <w:p w:rsidR="00D9397D" w:rsidP="00932C80" w14:paraId="5234351F" w14:textId="555BC66A">
      <w:pPr>
        <w:pStyle w:val="ListParagraph"/>
        <w:numPr>
          <w:ilvl w:val="0"/>
          <w:numId w:val="36"/>
        </w:numPr>
      </w:pPr>
      <w:r>
        <w:t>Kvinner som er under LAR behandling selekteres til Føde B</w:t>
      </w:r>
    </w:p>
    <w:p w:rsidR="00A71040" w:rsidP="00932C80" w14:paraId="3CD7A614" w14:textId="73EBE911">
      <w:pPr>
        <w:pStyle w:val="ListParagraph"/>
        <w:numPr>
          <w:ilvl w:val="0"/>
          <w:numId w:val="36"/>
        </w:numPr>
      </w:pPr>
      <w:r>
        <w:t>Kvinner med alvorlige problemstillinger knyttet til rus,</w:t>
      </w:r>
      <w:r w:rsidR="006F3DF1">
        <w:t xml:space="preserve"> </w:t>
      </w:r>
      <w:r>
        <w:t>psykiatri og barnevern selekteres til Føde B.</w:t>
      </w:r>
    </w:p>
    <w:p w:rsidR="00D9397D" w:rsidP="005B5BAB" w14:paraId="227D6116" w14:textId="552AD43F"/>
    <w:p w:rsidR="005B5BAB" w:rsidP="005B5BAB" w14:paraId="671D5BD6" w14:textId="3A48B0D5">
      <w:pPr>
        <w:pStyle w:val="Heading1"/>
      </w:pPr>
      <w:bookmarkStart w:id="11" w:name="_Toc256000010"/>
      <w:r>
        <w:t>Reinnleggelser</w:t>
      </w:r>
      <w:bookmarkEnd w:id="11"/>
    </w:p>
    <w:p w:rsidR="005B5BAB" w:rsidP="005B5BAB" w14:paraId="11B4AF14" w14:textId="5AD2580A"/>
    <w:p w:rsidR="005B5BAB" w:rsidP="005B5BAB" w14:paraId="52885CA3" w14:textId="1BB34046">
      <w:r>
        <w:t xml:space="preserve">Reinnleggelser skal </w:t>
      </w:r>
      <w:r w:rsidR="006F3DF1">
        <w:t>fortrinnsvis</w:t>
      </w:r>
      <w:r>
        <w:t xml:space="preserve"> tilbake til utskrivelsespost.</w:t>
      </w:r>
    </w:p>
    <w:p w:rsidR="00932C80" w:rsidP="005B5BAB" w14:paraId="642A6153" w14:textId="33B66FD9">
      <w:r>
        <w:t xml:space="preserve">Vaktleder vurderer om dette må endres av driftsmessige hensyn. </w:t>
      </w:r>
    </w:p>
    <w:p w:rsidR="00932C80" w:rsidRPr="005B5BAB" w:rsidP="005B5BAB" w14:paraId="6DDFFC33" w14:textId="77777777"/>
    <w:p w:rsidR="00510BDF" w:rsidP="00066A58" w14:paraId="12AD2C3D" w14:textId="77777777">
      <w:pPr>
        <w:pStyle w:val="Heading1"/>
        <w:spacing w:line="259" w:lineRule="auto"/>
      </w:pPr>
      <w:bookmarkStart w:id="12" w:name="_Toc256000011"/>
      <w:r>
        <w:t>Referanser</w:t>
      </w:r>
      <w:bookmarkEnd w:id="12"/>
      <w:r>
        <w:t xml:space="preserve"> </w:t>
      </w:r>
    </w:p>
    <w:p w:rsidR="00DF7BA8" w:rsidP="00066A58" w14:paraId="12AD2C3E" w14:textId="77777777">
      <w:pPr>
        <w:spacing w:line="259" w:lineRule="auto"/>
        <w:rPr>
          <w:rFonts w:cstheme="minorHAnsi"/>
        </w:rPr>
      </w:pPr>
    </w:p>
    <w:p w:rsidR="00510BDF" w:rsidP="00066A58" w14:paraId="12AD2C3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2AD2C43" w14:textId="77777777">
      <w:pPr>
        <w:spacing w:line="259" w:lineRule="auto"/>
        <w:rPr>
          <w:rFonts w:cstheme="minorHAnsi"/>
        </w:rPr>
      </w:pPr>
      <w:bookmarkEnd w:id="13"/>
    </w:p>
    <w:p w:rsidR="00510BDF" w:rsidP="00066A58" w14:paraId="12AD2C44" w14:textId="77777777">
      <w:pPr>
        <w:spacing w:line="259" w:lineRule="auto"/>
        <w:rPr>
          <w:rFonts w:cstheme="minorHAnsi"/>
        </w:rPr>
      </w:pPr>
    </w:p>
    <w:p w:rsidR="00510BDF" w:rsidP="00066A58" w14:paraId="12AD2C4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12AD2C4C" w14:textId="443F6E73">
      <w:pPr>
        <w:spacing w:line="259" w:lineRule="auto"/>
      </w:pPr>
      <w:bookmarkEnd w:id="14"/>
    </w:p>
    <w:p w:rsidR="009D023B" w:rsidRPr="005F0E8F" w:rsidP="00066A58" w14:paraId="12AD2C4D" w14:textId="77777777">
      <w:pPr>
        <w:pStyle w:val="Heading1"/>
        <w:spacing w:line="259" w:lineRule="auto"/>
      </w:pPr>
      <w:bookmarkStart w:id="15" w:name="_Toc256000012"/>
      <w:r w:rsidRPr="005F0E8F">
        <w:t>Endringer siden forrige versjon</w:t>
      </w:r>
      <w:bookmarkEnd w:id="15"/>
    </w:p>
    <w:p w:rsidR="004C6867" w:rsidP="00066A58" w14:paraId="6DDC9A57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Lagt til punkt om CTG ved uavklart SF mål</w:t>
      </w:r>
      <w:r>
        <w:rPr>
          <w:rFonts w:cstheme="minorHAnsi"/>
          <w:color w:val="000080"/>
        </w:rPr>
        <w:fldChar w:fldCharType="end"/>
      </w:r>
      <w:r w:rsidR="005B5BAB">
        <w:rPr>
          <w:rFonts w:cstheme="minorHAnsi"/>
          <w:color w:val="000080"/>
        </w:rPr>
        <w:t xml:space="preserve"> fra 07.11.23 (Innflytting i GB):</w:t>
      </w:r>
    </w:p>
    <w:p w:rsidR="005B5BAB" w:rsidRPr="005B5BAB" w:rsidP="00066A58" w14:paraId="41120D16" w14:textId="44E8E6BC">
      <w:pPr>
        <w:spacing w:line="259" w:lineRule="auto"/>
        <w:rPr>
          <w:rFonts w:cstheme="minorHAnsi"/>
          <w:i/>
          <w:color w:val="000080"/>
        </w:rPr>
      </w:pPr>
      <w:r w:rsidRPr="005B5BAB">
        <w:rPr>
          <w:rFonts w:cstheme="minorHAnsi"/>
          <w:i/>
          <w:color w:val="000080"/>
        </w:rPr>
        <w:t>Kriterier for fødsel Føde A og Føde B</w:t>
      </w:r>
    </w:p>
    <w:p w:rsidR="005B5BAB" w:rsidRPr="005B5BAB" w:rsidP="00066A58" w14:paraId="35E8A06D" w14:textId="7A4B3F32">
      <w:pPr>
        <w:spacing w:line="259" w:lineRule="auto"/>
        <w:rPr>
          <w:rFonts w:cstheme="minorHAnsi"/>
          <w:i/>
          <w:color w:val="000080"/>
        </w:rPr>
      </w:pPr>
      <w:r w:rsidRPr="005B5BAB">
        <w:rPr>
          <w:rFonts w:cstheme="minorHAnsi"/>
          <w:i/>
          <w:color w:val="000080"/>
        </w:rPr>
        <w:t>Seleksjonskriterier for fødsel på Føde C Storken</w:t>
      </w:r>
    </w:p>
    <w:p w:rsidR="005B5BAB" w:rsidRPr="005B5BAB" w:rsidP="00066A58" w14:paraId="33C4524F" w14:textId="6F3C9654">
      <w:pPr>
        <w:spacing w:line="259" w:lineRule="auto"/>
        <w:rPr>
          <w:rFonts w:cstheme="minorHAnsi"/>
          <w:i/>
          <w:color w:val="000080"/>
        </w:rPr>
      </w:pPr>
      <w:r w:rsidRPr="005B5BAB">
        <w:rPr>
          <w:rFonts w:cstheme="minorHAnsi"/>
          <w:i/>
          <w:color w:val="000080"/>
        </w:rPr>
        <w:t>Rutine for reinnleggelse &gt;5 dager post partum.</w:t>
      </w:r>
    </w:p>
    <w:p w:rsidR="005B5BAB" w:rsidP="00066A58" w14:paraId="4A65E53C" w14:textId="77777777">
      <w:pPr>
        <w:spacing w:line="259" w:lineRule="auto"/>
        <w:rPr>
          <w:rFonts w:cstheme="minorHAnsi"/>
          <w:color w:val="000080"/>
        </w:rPr>
      </w:pPr>
    </w:p>
    <w:p w:rsidR="009D023B" w:rsidRPr="00E754D7" w:rsidP="00066A58" w14:paraId="12AD2C50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2AD2C5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5B5BAB" w14:paraId="12AD2C5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5B5BAB" w14:paraId="12AD2C5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5B5BAB" w14:paraId="12AD2C5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2AD2C5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5B5BAB" w:rsidRPr="004568C8" w:rsidP="007E4125" w14:paraId="12AD2C5B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D76881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5B5BAB" w:rsidRPr="009B041D" w:rsidP="007E4125" w14:paraId="12AD2C5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B5BAB" w:rsidRPr="00D320CC" w:rsidP="007E4125" w14:paraId="12AD2C5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5B5BAB" w:rsidP="007E4125" w14:paraId="12AD2C5E" w14:textId="28D1E2E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5B5BAB" w:rsidRPr="009E0D59" w:rsidP="00B24A00" w14:paraId="12AD2C60" w14:textId="15285743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f6ab487b983282161c453af6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C80" w:rsidRPr="00932C80" w:rsidP="00932C80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2C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6ab487b983282161c453af6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932C80" w:rsidRPr="00932C80" w:rsidP="00932C80" w14:paraId="01EF5170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2C8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2AD2C7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5B5BAB" w:rsidRPr="009B041D" w:rsidP="007E4125" w14:paraId="12AD2C7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5B5BAB" w:rsidRPr="00D320CC" w:rsidP="007E4125" w14:paraId="12AD2C7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5B5BAB" w:rsidP="007E4125" w14:paraId="12AD2C73" w14:textId="259F5D7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5B5BAB" w:rsidP="00B24A00" w14:paraId="12AD2C75" w14:textId="3AA44E48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d003498a80a463782232794f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C80" w:rsidRPr="00932C80" w:rsidP="00932C80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2C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03498a80a463782232794f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932C80" w:rsidRPr="00932C80" w:rsidP="00932C80" w14:paraId="0688F69C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2C8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 w:rsidR="005B5BAB">
      <w:rPr>
        <w:color w:val="FFFFFF"/>
        <w:sz w:val="16"/>
      </w:rPr>
      <w:t xml:space="preserve">Bedriftsnavn: </w:t>
    </w:r>
    <w:r w:rsidR="005B5BAB">
      <w:rPr>
        <w:color w:val="FFFFFF"/>
        <w:sz w:val="16"/>
      </w:rPr>
      <w:fldChar w:fldCharType="begin" w:fldLock="1"/>
    </w:r>
    <w:r w:rsidR="005B5BAB">
      <w:rPr>
        <w:color w:val="FFFFFF"/>
        <w:sz w:val="16"/>
      </w:rPr>
      <w:instrText xml:space="preserve"> DOCPROPERTY EK_Bedriftsnavn </w:instrText>
    </w:r>
    <w:r w:rsidR="005B5BAB">
      <w:rPr>
        <w:color w:val="FFFFFF"/>
        <w:sz w:val="16"/>
      </w:rPr>
      <w:fldChar w:fldCharType="separate"/>
    </w:r>
    <w:r w:rsidR="005B5BAB">
      <w:rPr>
        <w:color w:val="FFFFFF"/>
        <w:sz w:val="16"/>
      </w:rPr>
      <w:t>Helse Bergen</w:t>
    </w:r>
    <w:r w:rsidR="005B5BAB"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5BAB" w:rsidRPr="00D03EED" w:rsidP="00D03EED" w14:paraId="12AD2C5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2AD2C5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5B5BAB" w14:paraId="12AD2C5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Seleksjonskriterier Føde A, B, C og D Storken i GB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5B5BAB" w14:paraId="12AD2C53" w14:textId="77777777">
          <w:pPr>
            <w:pStyle w:val="Header"/>
            <w:jc w:val="left"/>
            <w:rPr>
              <w:sz w:val="12"/>
            </w:rPr>
          </w:pPr>
        </w:p>
        <w:p w:rsidR="005B5BAB" w14:paraId="12AD2C5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5B5BAB" w14:paraId="12AD2C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2AD2C6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5B5BAB" w14:paraId="12AD2C6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5B5BAB" w14:paraId="12AD2C6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Seleksjonskriterier Føde A, B, C og D Storken i GB</w:t>
          </w:r>
          <w:r>
            <w:rPr>
              <w:sz w:val="28"/>
            </w:rPr>
            <w:fldChar w:fldCharType="end"/>
          </w:r>
        </w:p>
      </w:tc>
    </w:tr>
    <w:tr w14:paraId="12AD2C6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5B5BAB" w14:paraId="12AD2C6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Pasientbehandling/Fagprosedyrer/Kvinnehelse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B5BAB" w:rsidRPr="005F0E8F" w:rsidP="00540375" w14:paraId="12AD2C6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26.08.2027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2AD2C6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B5BAB" w14:paraId="12AD2C6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HF/Kvinneklinikken/Fødeavdelingen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B5BAB" w14:paraId="12AD2C6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12AD2C6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5B5BAB" w:rsidP="00FD5284" w14:paraId="12AD2C6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Vadset, Martha Svarstad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B5BAB" w:rsidP="00FD5284" w14:paraId="12AD2C6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2AD2C6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5B5BAB" w:rsidP="00FD5284" w14:paraId="12AD2C6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Nesse, Kathrine Onarheim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B5BAB" w14:paraId="12AD2C6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D76881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5B5BAB" w14:paraId="12AD2C7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E26B0"/>
    <w:multiLevelType w:val="multilevel"/>
    <w:tmpl w:val="F2BA9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68E5"/>
    <w:multiLevelType w:val="multilevel"/>
    <w:tmpl w:val="C97E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929E3"/>
    <w:multiLevelType w:val="multilevel"/>
    <w:tmpl w:val="410E4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13730"/>
    <w:multiLevelType w:val="multilevel"/>
    <w:tmpl w:val="D4622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41F1E"/>
    <w:multiLevelType w:val="multilevel"/>
    <w:tmpl w:val="E084D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C311A"/>
    <w:multiLevelType w:val="multilevel"/>
    <w:tmpl w:val="02DCF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F7694"/>
    <w:multiLevelType w:val="multilevel"/>
    <w:tmpl w:val="AC2C8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17C96"/>
    <w:multiLevelType w:val="multilevel"/>
    <w:tmpl w:val="D37AA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310F8"/>
    <w:multiLevelType w:val="multilevel"/>
    <w:tmpl w:val="6B66B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29CF2949"/>
    <w:multiLevelType w:val="multilevel"/>
    <w:tmpl w:val="18E8E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22A29"/>
    <w:multiLevelType w:val="multilevel"/>
    <w:tmpl w:val="5EAA3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B09B8"/>
    <w:multiLevelType w:val="multilevel"/>
    <w:tmpl w:val="18747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E231A"/>
    <w:multiLevelType w:val="multilevel"/>
    <w:tmpl w:val="C122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73973"/>
    <w:multiLevelType w:val="multilevel"/>
    <w:tmpl w:val="6CB83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E5548"/>
    <w:multiLevelType w:val="multilevel"/>
    <w:tmpl w:val="CD024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9388E"/>
    <w:multiLevelType w:val="multilevel"/>
    <w:tmpl w:val="9A46D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64C23"/>
    <w:multiLevelType w:val="hybridMultilevel"/>
    <w:tmpl w:val="89A86F66"/>
    <w:lvl w:ilvl="0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>
    <w:nsid w:val="52BC3B3C"/>
    <w:multiLevelType w:val="multilevel"/>
    <w:tmpl w:val="5F640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A3290"/>
    <w:multiLevelType w:val="multilevel"/>
    <w:tmpl w:val="195C2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63CE2"/>
    <w:multiLevelType w:val="hybridMultilevel"/>
    <w:tmpl w:val="CE1473D2"/>
    <w:lvl w:ilvl="0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>
    <w:nsid w:val="5F7A193D"/>
    <w:multiLevelType w:val="multilevel"/>
    <w:tmpl w:val="DB2A6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46E96"/>
    <w:multiLevelType w:val="multilevel"/>
    <w:tmpl w:val="769CD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A3CB2"/>
    <w:multiLevelType w:val="multilevel"/>
    <w:tmpl w:val="59DA8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3442B"/>
    <w:multiLevelType w:val="multilevel"/>
    <w:tmpl w:val="B636E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D2013"/>
    <w:multiLevelType w:val="hybridMultilevel"/>
    <w:tmpl w:val="96664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75639"/>
    <w:multiLevelType w:val="multilevel"/>
    <w:tmpl w:val="104CA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A1DDC"/>
    <w:multiLevelType w:val="multilevel"/>
    <w:tmpl w:val="90BC1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C704C"/>
    <w:multiLevelType w:val="multilevel"/>
    <w:tmpl w:val="E2FED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876ED"/>
    <w:multiLevelType w:val="hybridMultilevel"/>
    <w:tmpl w:val="EFAAE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40B01"/>
    <w:multiLevelType w:val="multilevel"/>
    <w:tmpl w:val="BAF26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825630"/>
    <w:multiLevelType w:val="multilevel"/>
    <w:tmpl w:val="4D900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E9457B"/>
    <w:multiLevelType w:val="multilevel"/>
    <w:tmpl w:val="86D4D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00134"/>
    <w:multiLevelType w:val="multilevel"/>
    <w:tmpl w:val="AE8A5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3744EE"/>
    <w:multiLevelType w:val="multilevel"/>
    <w:tmpl w:val="64C2F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A0778"/>
    <w:multiLevelType w:val="multilevel"/>
    <w:tmpl w:val="7EB4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632089">
    <w:abstractNumId w:val="9"/>
  </w:num>
  <w:num w:numId="2" w16cid:durableId="1011028724">
    <w:abstractNumId w:val="15"/>
  </w:num>
  <w:num w:numId="3" w16cid:durableId="1913734584">
    <w:abstractNumId w:val="1"/>
  </w:num>
  <w:num w:numId="4" w16cid:durableId="2056275076">
    <w:abstractNumId w:val="16"/>
  </w:num>
  <w:num w:numId="5" w16cid:durableId="1875577783">
    <w:abstractNumId w:val="14"/>
  </w:num>
  <w:num w:numId="6" w16cid:durableId="508985223">
    <w:abstractNumId w:val="34"/>
  </w:num>
  <w:num w:numId="7" w16cid:durableId="1627539595">
    <w:abstractNumId w:val="11"/>
  </w:num>
  <w:num w:numId="8" w16cid:durableId="696545080">
    <w:abstractNumId w:val="7"/>
  </w:num>
  <w:num w:numId="9" w16cid:durableId="1584412596">
    <w:abstractNumId w:val="5"/>
  </w:num>
  <w:num w:numId="10" w16cid:durableId="1154954812">
    <w:abstractNumId w:val="6"/>
  </w:num>
  <w:num w:numId="11" w16cid:durableId="1610315083">
    <w:abstractNumId w:val="31"/>
  </w:num>
  <w:num w:numId="12" w16cid:durableId="2137720675">
    <w:abstractNumId w:val="19"/>
  </w:num>
  <w:num w:numId="13" w16cid:durableId="909535520">
    <w:abstractNumId w:val="3"/>
  </w:num>
  <w:num w:numId="14" w16cid:durableId="166671746">
    <w:abstractNumId w:val="33"/>
  </w:num>
  <w:num w:numId="15" w16cid:durableId="795872797">
    <w:abstractNumId w:val="27"/>
  </w:num>
  <w:num w:numId="16" w16cid:durableId="764111323">
    <w:abstractNumId w:val="22"/>
  </w:num>
  <w:num w:numId="17" w16cid:durableId="1975745264">
    <w:abstractNumId w:val="2"/>
  </w:num>
  <w:num w:numId="18" w16cid:durableId="1167749899">
    <w:abstractNumId w:val="35"/>
  </w:num>
  <w:num w:numId="19" w16cid:durableId="1462112763">
    <w:abstractNumId w:val="21"/>
  </w:num>
  <w:num w:numId="20" w16cid:durableId="101804576">
    <w:abstractNumId w:val="13"/>
  </w:num>
  <w:num w:numId="21" w16cid:durableId="1250041258">
    <w:abstractNumId w:val="24"/>
  </w:num>
  <w:num w:numId="22" w16cid:durableId="444275475">
    <w:abstractNumId w:val="18"/>
  </w:num>
  <w:num w:numId="23" w16cid:durableId="70785157">
    <w:abstractNumId w:val="0"/>
  </w:num>
  <w:num w:numId="24" w16cid:durableId="1710300943">
    <w:abstractNumId w:val="23"/>
  </w:num>
  <w:num w:numId="25" w16cid:durableId="1109661246">
    <w:abstractNumId w:val="10"/>
  </w:num>
  <w:num w:numId="26" w16cid:durableId="1822229851">
    <w:abstractNumId w:val="28"/>
  </w:num>
  <w:num w:numId="27" w16cid:durableId="222565218">
    <w:abstractNumId w:val="30"/>
  </w:num>
  <w:num w:numId="28" w16cid:durableId="112987759">
    <w:abstractNumId w:val="4"/>
  </w:num>
  <w:num w:numId="29" w16cid:durableId="1919242686">
    <w:abstractNumId w:val="12"/>
  </w:num>
  <w:num w:numId="30" w16cid:durableId="1125268013">
    <w:abstractNumId w:val="26"/>
  </w:num>
  <w:num w:numId="31" w16cid:durableId="1874149189">
    <w:abstractNumId w:val="32"/>
  </w:num>
  <w:num w:numId="32" w16cid:durableId="550506283">
    <w:abstractNumId w:val="8"/>
  </w:num>
  <w:num w:numId="33" w16cid:durableId="123473854">
    <w:abstractNumId w:val="29"/>
  </w:num>
  <w:num w:numId="34" w16cid:durableId="128014113">
    <w:abstractNumId w:val="25"/>
  </w:num>
  <w:num w:numId="35" w16cid:durableId="1195732232">
    <w:abstractNumId w:val="17"/>
  </w:num>
  <w:num w:numId="36" w16cid:durableId="439685658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52C1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2695"/>
    <w:rsid w:val="00140619"/>
    <w:rsid w:val="00144BC1"/>
    <w:rsid w:val="00150F73"/>
    <w:rsid w:val="00151E16"/>
    <w:rsid w:val="00155765"/>
    <w:rsid w:val="00157C37"/>
    <w:rsid w:val="00161FD5"/>
    <w:rsid w:val="00176BA5"/>
    <w:rsid w:val="001860DA"/>
    <w:rsid w:val="00187793"/>
    <w:rsid w:val="0019138B"/>
    <w:rsid w:val="0019290E"/>
    <w:rsid w:val="00194A62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132E"/>
    <w:rsid w:val="002A4A07"/>
    <w:rsid w:val="002A791D"/>
    <w:rsid w:val="002B1F3C"/>
    <w:rsid w:val="002B3730"/>
    <w:rsid w:val="002B3AEE"/>
    <w:rsid w:val="002D0738"/>
    <w:rsid w:val="002F1C58"/>
    <w:rsid w:val="002F5A32"/>
    <w:rsid w:val="00303F7F"/>
    <w:rsid w:val="00304B15"/>
    <w:rsid w:val="00311019"/>
    <w:rsid w:val="00312D39"/>
    <w:rsid w:val="003403C0"/>
    <w:rsid w:val="003416EB"/>
    <w:rsid w:val="00360258"/>
    <w:rsid w:val="00362B96"/>
    <w:rsid w:val="00381C00"/>
    <w:rsid w:val="00387597"/>
    <w:rsid w:val="00390056"/>
    <w:rsid w:val="00393223"/>
    <w:rsid w:val="003A669E"/>
    <w:rsid w:val="003A6B8A"/>
    <w:rsid w:val="003B5041"/>
    <w:rsid w:val="003C5594"/>
    <w:rsid w:val="003D3C2E"/>
    <w:rsid w:val="003E1B52"/>
    <w:rsid w:val="003E25C1"/>
    <w:rsid w:val="003E4741"/>
    <w:rsid w:val="003F4A3C"/>
    <w:rsid w:val="004036DE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C6867"/>
    <w:rsid w:val="004D0DCE"/>
    <w:rsid w:val="004D15E6"/>
    <w:rsid w:val="004E0461"/>
    <w:rsid w:val="004E1349"/>
    <w:rsid w:val="004E763F"/>
    <w:rsid w:val="004F481D"/>
    <w:rsid w:val="0050053D"/>
    <w:rsid w:val="00507D96"/>
    <w:rsid w:val="005103B6"/>
    <w:rsid w:val="00510BDF"/>
    <w:rsid w:val="00515818"/>
    <w:rsid w:val="00520D11"/>
    <w:rsid w:val="00524CF7"/>
    <w:rsid w:val="0052536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5BAB"/>
    <w:rsid w:val="005F0E8F"/>
    <w:rsid w:val="005F15B3"/>
    <w:rsid w:val="00606A4F"/>
    <w:rsid w:val="00611A93"/>
    <w:rsid w:val="00611B44"/>
    <w:rsid w:val="00617242"/>
    <w:rsid w:val="00641A3E"/>
    <w:rsid w:val="006479E1"/>
    <w:rsid w:val="00650773"/>
    <w:rsid w:val="00652242"/>
    <w:rsid w:val="0067105D"/>
    <w:rsid w:val="006720B2"/>
    <w:rsid w:val="006818F6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DF1"/>
    <w:rsid w:val="006F6255"/>
    <w:rsid w:val="00707B83"/>
    <w:rsid w:val="00713D7C"/>
    <w:rsid w:val="00727E6C"/>
    <w:rsid w:val="007367F2"/>
    <w:rsid w:val="00772C28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9D4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0102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2C80"/>
    <w:rsid w:val="00935DB0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0A9B"/>
    <w:rsid w:val="00A271A9"/>
    <w:rsid w:val="00A3019C"/>
    <w:rsid w:val="00A43AE5"/>
    <w:rsid w:val="00A55D47"/>
    <w:rsid w:val="00A577D4"/>
    <w:rsid w:val="00A71040"/>
    <w:rsid w:val="00A75A8B"/>
    <w:rsid w:val="00A9508B"/>
    <w:rsid w:val="00AA7C21"/>
    <w:rsid w:val="00AB08E0"/>
    <w:rsid w:val="00AB56B4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C6AA5"/>
    <w:rsid w:val="00BD6D72"/>
    <w:rsid w:val="00BE48E2"/>
    <w:rsid w:val="00BF6B78"/>
    <w:rsid w:val="00C071DF"/>
    <w:rsid w:val="00C12FED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17BA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86D1A"/>
    <w:rsid w:val="00D9397D"/>
    <w:rsid w:val="00D948F4"/>
    <w:rsid w:val="00D95FB8"/>
    <w:rsid w:val="00DA0D76"/>
    <w:rsid w:val="00DA6186"/>
    <w:rsid w:val="00DB283C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5C73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11A5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Lagt til punkt om CTG ved uavklart SF mål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AD2C2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D86D1A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D86D1A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D86D1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D86D1A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D86D1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Portal/5/58/1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3C92-9D64-40EE-AEAE-0829728C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318</TotalTime>
  <Pages>4</Pages>
  <Words>781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Seleksjonskriterier Føde A, B, C og D Storken i GB</vt:lpstr>
      <vt:lpstr>HBHF-mal - stående</vt:lpstr>
    </vt:vector>
  </TitlesOfParts>
  <Company>Datakvalitet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Seleksjonskriterier Føde A, B, C og D Storken i GB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Nesse, Kathrine Onarheim</cp:lastModifiedBy>
  <cp:revision>14</cp:revision>
  <cp:lastPrinted>2006-09-07T08:52:00Z</cp:lastPrinted>
  <dcterms:created xsi:type="dcterms:W3CDTF">2021-12-08T08:43:00Z</dcterms:created>
  <dcterms:modified xsi:type="dcterms:W3CDTF">2024-08-26T12:11:00Z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Seleksjonskriterier Føde A, B, C og D Storken i GB</vt:lpwstr>
  </property>
  <property fmtid="{D5CDD505-2E9C-101B-9397-08002B2CF9AE}" pid="4" name="EK_DokType">
    <vt:lpwstr>Retningslinje</vt:lpwstr>
  </property>
  <property fmtid="{D5CDD505-2E9C-101B-9397-08002B2CF9AE}" pid="5" name="EK_DokumentID">
    <vt:lpwstr>D76881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26.08.2024</vt:lpwstr>
  </property>
  <property fmtid="{D5CDD505-2E9C-101B-9397-08002B2CF9AE}" pid="8" name="EK_GjelderTil">
    <vt:lpwstr>26.08.2027</vt:lpwstr>
  </property>
  <property fmtid="{D5CDD505-2E9C-101B-9397-08002B2CF9AE}" pid="9" name="EK_Merknad">
    <vt:lpwstr>[Merknad]</vt:lpwstr>
  </property>
  <property fmtid="{D5CDD505-2E9C-101B-9397-08002B2CF9AE}" pid="10" name="EK_RefNr">
    <vt:lpwstr>12.3.4.3.7-19</vt:lpwstr>
  </property>
  <property fmtid="{D5CDD505-2E9C-101B-9397-08002B2CF9AE}" pid="11" name="EK_S00MT1">
    <vt:lpwstr>Helse Bergen HF/Kvinneklinikken/Fødeavdelingen</vt:lpwstr>
  </property>
  <property fmtid="{D5CDD505-2E9C-101B-9397-08002B2CF9AE}" pid="12" name="EK_S01MT3">
    <vt:lpwstr>Pasientbehandling/Fagprosedyrer/Kvinnehelse</vt:lpwstr>
  </property>
  <property fmtid="{D5CDD505-2E9C-101B-9397-08002B2CF9AE}" pid="13" name="EK_Signatur">
    <vt:lpwstr>Vadset, Martha Svarstad</vt:lpwstr>
  </property>
  <property fmtid="{D5CDD505-2E9C-101B-9397-08002B2CF9AE}" pid="14" name="EK_UText1">
    <vt:lpwstr>Nesse, Kathrine Onarheim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e727eb7e-1f0e-41a0-a3d2-6c07e97c4dc9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2023-11-03T08:53:20Z</vt:lpwstr>
  </property>
  <property fmtid="{D5CDD505-2E9C-101B-9397-08002B2CF9AE}" pid="23" name="MSIP_Label_0c3ffc1c-ef00-4620-9c2f-7d9c1597774b_SiteId">
    <vt:lpwstr>bdcbe535-f3cf-49f5-8a6a-fb6d98dc7837</vt:lpwstr>
  </property>
</Properties>
</file>