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6BB27748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4403FC">
              <w:rPr>
                <w:rStyle w:val="Hyperlink"/>
                <w:bCs/>
              </w:rPr>
              <w:t>Forlenget gyldighet til 03.01.2025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6BB27752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4403FC" w:rsidRPr="004403FC" w:rsidP="004403FC" w14:paraId="208F656E" w14:textId="26D17F3D">
      <w:pPr>
        <w:pStyle w:val="Heading1"/>
        <w:numPr>
          <w:ilvl w:val="0"/>
          <w:numId w:val="0"/>
        </w:numPr>
        <w:ind w:left="431"/>
        <w:rPr>
          <w:b w:val="0"/>
          <w:bCs/>
          <w:sz w:val="24"/>
          <w:szCs w:val="24"/>
        </w:rPr>
      </w:pPr>
      <w:r w:rsidRPr="004403FC">
        <w:rPr>
          <w:b w:val="0"/>
          <w:bCs/>
          <w:sz w:val="24"/>
          <w:szCs w:val="24"/>
        </w:rPr>
        <w:fldChar w:fldCharType="begin" w:fldLock="1"/>
      </w:r>
      <w:r w:rsidRPr="004403FC">
        <w:rPr>
          <w:b w:val="0"/>
          <w:bCs/>
          <w:sz w:val="24"/>
          <w:szCs w:val="24"/>
        </w:rPr>
        <w:instrText xml:space="preserve"> DOCVARIABLE EK_Merknad </w:instrText>
      </w:r>
      <w:r w:rsidRPr="004403FC">
        <w:rPr>
          <w:b w:val="0"/>
          <w:bCs/>
          <w:sz w:val="24"/>
          <w:szCs w:val="24"/>
        </w:rPr>
        <w:fldChar w:fldCharType="separate"/>
      </w:r>
      <w:bookmarkStart w:id="2" w:name="_Toc256000001"/>
      <w:r w:rsidRPr="004403FC">
        <w:rPr>
          <w:b w:val="0"/>
          <w:bCs/>
          <w:sz w:val="24"/>
          <w:szCs w:val="24"/>
        </w:rPr>
        <w:t>Forlenget gyldighet til 03.01.2025</w:t>
      </w:r>
      <w:bookmarkEnd w:id="2"/>
      <w:r w:rsidRPr="004403FC">
        <w:rPr>
          <w:b w:val="0"/>
          <w:bCs/>
          <w:sz w:val="24"/>
          <w:szCs w:val="24"/>
        </w:rPr>
        <w:fldChar w:fldCharType="end"/>
      </w:r>
    </w:p>
    <w:p w:rsidR="00DF7BA8" w:rsidRPr="00DF7BA8" w:rsidP="00066A58" w14:paraId="6BB27753" w14:textId="616348F4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6BB27754" w14:textId="75056395">
      <w:pPr>
        <w:pStyle w:val="Heading1"/>
        <w:spacing w:line="259" w:lineRule="auto"/>
      </w:pPr>
      <w:bookmarkStart w:id="3" w:name="_Toc256000002"/>
      <w:r>
        <w:t>Målgruppe og avgrensning</w:t>
      </w:r>
      <w:bookmarkEnd w:id="3"/>
    </w:p>
    <w:p w:rsidR="002D0981" w:rsidRPr="002D0981" w:rsidP="004F52DB" w14:paraId="6ACA34C7" w14:textId="2908264A">
      <w:pPr>
        <w:ind w:firstLine="431"/>
      </w:pPr>
      <w:r>
        <w:t>Ansatte i Hunstad barnehage og HD Sikkerhet</w:t>
      </w:r>
    </w:p>
    <w:p w:rsidR="00C450FE" w:rsidRPr="00C450FE" w:rsidP="00066A58" w14:paraId="6BB27755" w14:textId="77777777">
      <w:pPr>
        <w:spacing w:line="259" w:lineRule="auto"/>
      </w:pPr>
    </w:p>
    <w:p w:rsidR="00DF7BA8" w:rsidP="00066A58" w14:paraId="6BB27756" w14:textId="1C96A394">
      <w:pPr>
        <w:pStyle w:val="Heading1"/>
        <w:spacing w:line="259" w:lineRule="auto"/>
      </w:pPr>
      <w:bookmarkStart w:id="4" w:name="_Toc256000003"/>
      <w:r>
        <w:t>Definisjoner</w:t>
      </w:r>
      <w:bookmarkEnd w:id="4"/>
    </w:p>
    <w:p w:rsidR="002D0981" w:rsidRPr="002D0981" w:rsidP="004F52DB" w14:paraId="5A0E1B03" w14:textId="294367E9">
      <w:pPr>
        <w:ind w:firstLine="431"/>
      </w:pPr>
      <w:r>
        <w:t>Denne rutinen</w:t>
      </w:r>
      <w:r w:rsidR="004F52DB">
        <w:t xml:space="preserve"> er et supplement til rutinen: S</w:t>
      </w:r>
      <w:r>
        <w:t>avnet barn</w:t>
      </w:r>
    </w:p>
    <w:p w:rsidR="00DF7BA8" w:rsidRPr="00360258" w:rsidP="00066A58" w14:paraId="6BB27757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6BB27758" w14:textId="77777777">
      <w:pPr>
        <w:pStyle w:val="Heading1"/>
        <w:spacing w:line="259" w:lineRule="auto"/>
      </w:pPr>
      <w:bookmarkStart w:id="5" w:name="_Toc256000004"/>
      <w:r>
        <w:t>Ansvar</w:t>
      </w:r>
      <w:bookmarkEnd w:id="5"/>
      <w:r>
        <w:t xml:space="preserve"> </w:t>
      </w:r>
    </w:p>
    <w:p w:rsidR="00935DE6" w:rsidRPr="004F52DB" w:rsidP="004F52DB" w14:paraId="6BB27759" w14:textId="7533C46E">
      <w:pPr>
        <w:spacing w:line="259" w:lineRule="auto"/>
        <w:ind w:left="431"/>
        <w:rPr>
          <w:rFonts w:cstheme="minorHAnsi"/>
        </w:rPr>
      </w:pPr>
      <w:r w:rsidRPr="004F52DB">
        <w:rPr>
          <w:rFonts w:cstheme="minorHAnsi"/>
        </w:rPr>
        <w:t>Alle ansatte, ved styrers fravær overtar stedfortreder, ved stedfortreders fravær plikter en annen</w:t>
      </w:r>
      <w:r w:rsidRPr="004F52DB">
        <w:rPr>
          <w:rFonts w:cstheme="minorHAnsi"/>
        </w:rPr>
        <w:t xml:space="preserve"> av de tilstedeværende i barnehagen å uoppfordret ta på seg ansvaret. Styrer kontaktes på telefon</w:t>
      </w:r>
    </w:p>
    <w:p w:rsidR="00DF7BA8" w:rsidRPr="00DF7BA8" w:rsidP="00066A58" w14:paraId="6BB2775A" w14:textId="77777777">
      <w:pPr>
        <w:spacing w:line="259" w:lineRule="auto"/>
        <w:rPr>
          <w:rFonts w:cstheme="minorHAnsi"/>
        </w:rPr>
      </w:pPr>
    </w:p>
    <w:p w:rsidR="00510BDF" w:rsidP="00066A58" w14:paraId="6BB2775B" w14:textId="5E03A90B">
      <w:pPr>
        <w:pStyle w:val="Heading1"/>
        <w:spacing w:line="259" w:lineRule="auto"/>
      </w:pPr>
      <w:bookmarkStart w:id="6" w:name="_Toc256000005"/>
      <w:r>
        <w:t>Gjennomføring</w:t>
      </w:r>
      <w:bookmarkEnd w:id="6"/>
      <w:r>
        <w:t xml:space="preserve"> </w:t>
      </w:r>
    </w:p>
    <w:p w:rsidR="004F52DB" w:rsidP="004F52DB" w14:paraId="317A7946" w14:textId="61E545E5">
      <w:pPr>
        <w:ind w:left="431"/>
      </w:pPr>
      <w:r>
        <w:t>D</w:t>
      </w:r>
      <w:r>
        <w:t xml:space="preserve">ersom barn er savnet og personalet ikke finner de innenfor barnehagens område må personalet ut og lete. De av personalet som </w:t>
      </w:r>
      <w:r>
        <w:t xml:space="preserve">går </w:t>
      </w:r>
      <w:r>
        <w:t>ut og lete</w:t>
      </w:r>
      <w:r>
        <w:t>r</w:t>
      </w:r>
      <w:r>
        <w:t xml:space="preserve"> tar med seg kart fra styrers kontor og avtaler hvilken av de tre rutene de skal gå (blå, grønn, r</w:t>
      </w:r>
      <w:r>
        <w:t xml:space="preserve">ød). </w:t>
      </w:r>
      <w:r>
        <w:t xml:space="preserve">Det må til enhver tid sikres at det er ansatte igjen i barnehagen til å </w:t>
      </w:r>
      <w:r>
        <w:t>ivareta barna, barna samles.</w:t>
      </w:r>
    </w:p>
    <w:p w:rsidR="002D0981" w:rsidP="004F52DB" w14:paraId="4D78F937" w14:textId="63C21EFD">
      <w:pPr>
        <w:ind w:left="431"/>
      </w:pPr>
      <w:r>
        <w:t xml:space="preserve">Styrer ringer </w:t>
      </w:r>
      <w:r w:rsidR="004F52DB">
        <w:t>HD Sikkerhet 55 97 20 04/ 55 97 22 22</w:t>
      </w:r>
      <w:r>
        <w:t xml:space="preserve"> og informerer om situasjonen</w:t>
      </w:r>
      <w:r w:rsidR="004F52DB">
        <w:t>, og følger egen rutine</w:t>
      </w:r>
      <w:r>
        <w:t xml:space="preserve">. </w:t>
      </w:r>
    </w:p>
    <w:p w:rsidR="004403FC" w:rsidP="002D0981" w14:paraId="59A88B4D" w14:textId="31F4ED4E"/>
    <w:p w:rsidR="004403FC" w:rsidP="004F52DB" w14:paraId="1C408522" w14:textId="0D2079C5">
      <w:pPr>
        <w:ind w:firstLine="431"/>
      </w:pPr>
      <w:r>
        <w:t xml:space="preserve">Ansatte som er ute og leter MÅ ta med seg mobiltelefon </w:t>
      </w:r>
    </w:p>
    <w:p w:rsidR="00B26867" w:rsidP="002D0981" w14:paraId="4A8145E7" w14:textId="5C639711"/>
    <w:p w:rsidR="00B26867" w:rsidP="004F52DB" w14:paraId="73A75372" w14:textId="1C419D3A">
      <w:pPr>
        <w:ind w:left="431"/>
      </w:pPr>
      <w:r>
        <w:t xml:space="preserve">Styrer ansvarlig for kommunikasjon med </w:t>
      </w:r>
      <w:r w:rsidR="004F52DB">
        <w:t>HD S</w:t>
      </w:r>
      <w:r>
        <w:t>ik</w:t>
      </w:r>
      <w:r w:rsidR="004F52DB">
        <w:t>kerhet</w:t>
      </w:r>
      <w:r>
        <w:t xml:space="preserve">, foresatte, ansatte som er </w:t>
      </w:r>
      <w:r w:rsidR="004F52DB">
        <w:t>ute og le</w:t>
      </w:r>
      <w:r>
        <w:t>ter og eventuelt politi ved behov.</w:t>
      </w:r>
    </w:p>
    <w:p w:rsidR="002D0981" w:rsidP="002D0981" w14:paraId="25403CEE" w14:textId="2C6E43B7"/>
    <w:p w:rsidR="002D0981" w:rsidRPr="002D0981" w:rsidP="002D0981" w14:paraId="1D288160" w14:textId="66F8A781">
      <w:r>
        <w:t xml:space="preserve">Det er laget et eget kart med en bilrute som </w:t>
      </w:r>
      <w:r w:rsidR="004F52DB">
        <w:t>HD S</w:t>
      </w:r>
      <w:r>
        <w:t>ikkerhet</w:t>
      </w:r>
      <w:r>
        <w:t xml:space="preserve"> etter avtale skal kjøre. Begge kartene er tilgjengelige hos </w:t>
      </w:r>
      <w:r w:rsidR="004F52DB">
        <w:t>HD S</w:t>
      </w:r>
      <w:r>
        <w:t>ikkerh</w:t>
      </w:r>
      <w:r w:rsidR="00B26867">
        <w:t>e</w:t>
      </w:r>
      <w:r>
        <w:t>t</w:t>
      </w:r>
      <w:bookmarkStart w:id="7" w:name="_GoBack"/>
      <w:bookmarkEnd w:id="7"/>
      <w:r>
        <w:t xml:space="preserve">. </w:t>
      </w:r>
    </w:p>
    <w:p w:rsidR="00510BDF" w:rsidP="00066A58" w14:paraId="6BB2775C" w14:textId="77777777">
      <w:pPr>
        <w:spacing w:line="259" w:lineRule="auto"/>
        <w:rPr>
          <w:rFonts w:cstheme="minorHAnsi"/>
        </w:rPr>
      </w:pPr>
    </w:p>
    <w:p w:rsidR="00510BDF" w:rsidP="00066A58" w14:paraId="6BB2775D" w14:textId="77777777">
      <w:pPr>
        <w:spacing w:line="259" w:lineRule="auto"/>
        <w:rPr>
          <w:rFonts w:cstheme="minorHAnsi"/>
        </w:rPr>
      </w:pPr>
    </w:p>
    <w:p w:rsidR="00510BDF" w:rsidP="00066A58" w14:paraId="6BB2775E" w14:textId="77777777">
      <w:pPr>
        <w:pStyle w:val="Heading1"/>
        <w:spacing w:line="259" w:lineRule="auto"/>
      </w:pPr>
      <w:bookmarkStart w:id="8" w:name="_Toc256000006"/>
      <w:r>
        <w:t>Referanser</w:t>
      </w:r>
      <w:bookmarkEnd w:id="8"/>
      <w:r>
        <w:t xml:space="preserve"> </w:t>
      </w:r>
    </w:p>
    <w:p w:rsidR="00DF7BA8" w:rsidP="00066A58" w14:paraId="6BB2775F" w14:textId="77777777">
      <w:pPr>
        <w:spacing w:line="259" w:lineRule="auto"/>
        <w:rPr>
          <w:rFonts w:cstheme="minorHAnsi"/>
        </w:rPr>
      </w:pPr>
    </w:p>
    <w:p w:rsidR="00510BDF" w:rsidP="00066A58" w14:paraId="6BB27760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In</w:t>
      </w:r>
      <w:r>
        <w:rPr>
          <w:rFonts w:cstheme="minorHAnsi"/>
        </w:rPr>
        <w:t xml:space="preserve">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BB27764" w14:textId="77777777">
      <w:pPr>
        <w:spacing w:line="259" w:lineRule="auto"/>
        <w:rPr>
          <w:rFonts w:cstheme="minorHAnsi"/>
        </w:rPr>
      </w:pPr>
      <w:bookmarkEnd w:id="9"/>
    </w:p>
    <w:p w:rsidR="00510BDF" w:rsidP="00066A58" w14:paraId="6BB27765" w14:textId="77777777">
      <w:pPr>
        <w:spacing w:line="259" w:lineRule="auto"/>
        <w:rPr>
          <w:rFonts w:cstheme="minorHAnsi"/>
        </w:rPr>
      </w:pPr>
    </w:p>
    <w:p w:rsidR="00510BDF" w:rsidP="00066A58" w14:paraId="6BB2776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BB27769" w14:textId="77777777">
      <w:pPr>
        <w:spacing w:line="259" w:lineRule="auto"/>
        <w:rPr>
          <w:rFonts w:cstheme="minorHAnsi"/>
        </w:rPr>
      </w:pPr>
      <w:bookmarkEnd w:id="10"/>
    </w:p>
    <w:p w:rsidR="009D023B" w:rsidP="00066A58" w14:paraId="6BB2776A" w14:textId="77777777">
      <w:pPr>
        <w:spacing w:line="259" w:lineRule="auto"/>
      </w:pPr>
    </w:p>
    <w:p w:rsidR="00DF7BA8" w:rsidP="00066A58" w14:paraId="6BB2776B" w14:textId="77777777">
      <w:pPr>
        <w:spacing w:line="259" w:lineRule="auto"/>
      </w:pPr>
    </w:p>
    <w:p w:rsidR="00935DE6" w:rsidP="00066A58" w14:paraId="6BB2776C" w14:textId="77777777">
      <w:pPr>
        <w:pStyle w:val="Heading1"/>
        <w:spacing w:line="259" w:lineRule="auto"/>
      </w:pPr>
      <w:bookmarkStart w:id="11" w:name="_Toc256000007"/>
      <w:r>
        <w:t>Forankring</w:t>
      </w:r>
      <w:bookmarkEnd w:id="11"/>
    </w:p>
    <w:p w:rsidR="00935DE6" w:rsidRPr="009D023B" w:rsidP="00066A58" w14:paraId="6BB2776D" w14:textId="77777777">
      <w:pPr>
        <w:spacing w:line="259" w:lineRule="auto"/>
      </w:pPr>
    </w:p>
    <w:p w:rsidR="009D023B" w:rsidRPr="005F0E8F" w:rsidP="00066A58" w14:paraId="6BB2776E" w14:textId="77777777">
      <w:pPr>
        <w:pStyle w:val="Heading1"/>
        <w:spacing w:line="259" w:lineRule="auto"/>
      </w:pPr>
      <w:bookmarkStart w:id="12" w:name="_Toc256000008"/>
      <w:r w:rsidRPr="005F0E8F">
        <w:t>Endringer siden forrige versjon</w:t>
      </w:r>
      <w:bookmarkEnd w:id="12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BB2777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BB2777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BB2777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BB2777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BB2777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BB2777B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D76567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BB2777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BB2777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BB2777E" w14:textId="207B78B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BB27780" w14:textId="24C6F0EC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21c3440e8d372ce1941865e9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1686" w:rsidRPr="00671686" w:rsidP="00671686" w14:textId="654A847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716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1c3440e8d372ce1941865e9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671686" w:rsidRPr="00671686" w:rsidP="00671686" w14:paraId="32794BCD" w14:textId="654A847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7168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BB2779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BB2779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BB2779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BB27793" w14:textId="670D2E9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BB27795" w14:textId="6D337FDE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15744cbd92618238b2319977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1686" w:rsidRPr="00671686" w:rsidP="00671686" w14:textId="4BF5C97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716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5744cbd92618238b2319977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671686" w:rsidRPr="00671686" w:rsidP="00671686" w14:paraId="7AF67713" w14:textId="4BF5C97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7168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6BB2777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BB2777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BB277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Hunstad- savnet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BB27773" w14:textId="77777777">
          <w:pPr>
            <w:pStyle w:val="Header"/>
            <w:jc w:val="left"/>
            <w:rPr>
              <w:sz w:val="12"/>
            </w:rPr>
          </w:pPr>
        </w:p>
        <w:p w:rsidR="00485214" w14:paraId="6BB2777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6BB277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BB2778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BB2778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BB2778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Hunstad- savnet barn</w:t>
          </w:r>
          <w:r>
            <w:rPr>
              <w:sz w:val="28"/>
            </w:rPr>
            <w:fldChar w:fldCharType="end"/>
          </w:r>
        </w:p>
      </w:tc>
    </w:tr>
    <w:tr w14:paraId="6BB2778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BB2778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Pasientbehandling/Fagprosedyrer/Annet/Annet 3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BB2778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BB2778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BB2778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BB2778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6BB2778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BB2778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BB2778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BB2778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BB2778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Irene Becker Pedersen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BB2778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D76567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BB2779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596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C6983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0981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03FC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52DB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289E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1686"/>
    <w:rsid w:val="006720B2"/>
    <w:rsid w:val="00693B1B"/>
    <w:rsid w:val="00697362"/>
    <w:rsid w:val="006B1529"/>
    <w:rsid w:val="006B2158"/>
    <w:rsid w:val="006C17D9"/>
    <w:rsid w:val="006C735A"/>
    <w:rsid w:val="006C7803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0AD8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26867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orlenget gyldighet til 03.01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B2774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5136-142D-4058-AD9F-5C728D59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Hunstad- savnet barn</vt:lpstr>
      <vt:lpstr>HBHF-mal - stående</vt:lpstr>
    </vt:vector>
  </TitlesOfParts>
  <Company>Datakvalitet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Hunstad- savnet barn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7</cp:revision>
  <cp:lastPrinted>2006-09-07T08:52:00Z</cp:lastPrinted>
  <dcterms:created xsi:type="dcterms:W3CDTF">2021-12-08T08:43:00Z</dcterms:created>
  <dcterms:modified xsi:type="dcterms:W3CDTF">2023-10-05T08:36:00Z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Hunstad- savnet barn</vt:lpwstr>
  </property>
  <property fmtid="{D5CDD505-2E9C-101B-9397-08002B2CF9AE}" pid="4" name="EK_DokType">
    <vt:lpwstr>Retningslinje</vt:lpwstr>
  </property>
  <property fmtid="{D5CDD505-2E9C-101B-9397-08002B2CF9AE}" pid="5" name="EK_DokumentID">
    <vt:lpwstr>D76567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03.01.2024</vt:lpwstr>
  </property>
  <property fmtid="{D5CDD505-2E9C-101B-9397-08002B2CF9AE}" pid="8" name="EK_GjelderTil">
    <vt:lpwstr>03.01.2025</vt:lpwstr>
  </property>
  <property fmtid="{D5CDD505-2E9C-101B-9397-08002B2CF9AE}" pid="9" name="EK_Merknad">
    <vt:lpwstr>[Merknad]</vt:lpwstr>
  </property>
  <property fmtid="{D5CDD505-2E9C-101B-9397-08002B2CF9AE}" pid="10" name="EK_RefNr">
    <vt:lpwstr>6.8.7-16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Pasientbehandling/Fagprosedyrer/Annet/Annet 3</vt:lpwstr>
  </property>
  <property fmtid="{D5CDD505-2E9C-101B-9397-08002B2CF9AE}" pid="13" name="EK_Signatur">
    <vt:lpwstr>Ersvær, Hilde Margrethe</vt:lpwstr>
  </property>
  <property fmtid="{D5CDD505-2E9C-101B-9397-08002B2CF9AE}" pid="14" name="EK_UText1">
    <vt:lpwstr>Irene Becker Pedersen</vt:lpwstr>
  </property>
  <property fmtid="{D5CDD505-2E9C-101B-9397-08002B2CF9AE}" pid="15" name="EK_Utgave">
    <vt:lpwstr>1.01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ba12392d-9062-4ec7-a17e-5cb416a53316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2023-10-05T08:36:27Z</vt:lpwstr>
  </property>
  <property fmtid="{D5CDD505-2E9C-101B-9397-08002B2CF9AE}" pid="23" name="MSIP_Label_0c3ffc1c-ef00-4620-9c2f-7d9c1597774b_SiteId">
    <vt:lpwstr>bdcbe535-f3cf-49f5-8a6a-fb6d98dc7837</vt:lpwstr>
  </property>
</Properties>
</file>