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mbeddings/oleObject1.bin" ContentType="application/vnd.openxmlformats-officedocument.oleObject"/>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microsoft.com/office/2011/relationships/webextensiontaskpanes" Target="word/webextensions/taskpanes.xml" /><Relationship Id="rId3" Type="http://schemas.openxmlformats.org/officeDocument/2006/relationships/extended-properties" Target="docProps/app.xml" /><Relationship Id="rId4"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bookmarkStart w:id="0" w:name="tempHer" w:displacedByCustomXml="next"/>
    <w:bookmarkEnd w:id="0" w:displacedByCustomXml="next"/>
    <w:sdt>
      <w:sdtPr>
        <w:rPr>
          <w:rFonts w:eastAsia="Times New Roman" w:asciiTheme="minorHAnsi" w:hAnsiTheme="minorHAnsi" w:cs="Times New Roman"/>
          <w:color w:val="auto"/>
          <w:sz w:val="24"/>
          <w:szCs w:val="20"/>
        </w:rPr>
        <w:id w:val="1182017375"/>
        <w:docPartObj>
          <w:docPartGallery w:val="Table of Contents"/>
          <w:docPartUnique/>
        </w:docPartObj>
      </w:sdtPr>
      <w:sdtEndPr>
        <w:rPr>
          <w:b/>
          <w:bCs/>
        </w:rPr>
      </w:sdtEndPr>
      <w:sdtContent>
        <w:p w:rsidR="00541496" w:rsidRPr="000E588F" w:rsidP="00126938" w14:paraId="1E2DFB71" w14:textId="77777777">
          <w:pPr>
            <w:pStyle w:val="TOCHeading"/>
          </w:pPr>
          <w:r w:rsidRPr="000E588F">
            <w:t>Innholdsfortegnelse</w:t>
          </w:r>
        </w:p>
        <w:p>
          <w:pPr>
            <w:pStyle w:val="TOC1"/>
            <w:rPr>
              <w:rFonts w:asciiTheme="minorHAnsi" w:hAnsiTheme="minorHAnsi"/>
              <w:noProof/>
              <w:sz w:val="22"/>
            </w:rPr>
          </w:pPr>
          <w:r w:rsidRPr="000E588F">
            <w:rPr>
              <w:rFonts w:cstheme="minorHAnsi"/>
              <w:szCs w:val="24"/>
            </w:rPr>
            <w:fldChar w:fldCharType="begin"/>
          </w:r>
          <w:r w:rsidRPr="000E588F">
            <w:rPr>
              <w:rFonts w:cstheme="minorHAnsi"/>
              <w:szCs w:val="24"/>
            </w:rPr>
            <w:instrText xml:space="preserve"> TOC \o "1-3" \h \z \u </w:instrText>
          </w:r>
          <w:r w:rsidRPr="000E588F">
            <w:rPr>
              <w:rFonts w:cstheme="minorHAnsi"/>
              <w:szCs w:val="24"/>
            </w:rPr>
            <w:fldChar w:fldCharType="separate"/>
          </w:r>
          <w:hyperlink w:anchor="_Toc256000000" w:history="1">
            <w:r>
              <w:rPr>
                <w:rStyle w:val="Hyperlink"/>
              </w:rPr>
              <w:t>1</w:t>
            </w:r>
            <w:r>
              <w:rPr>
                <w:rFonts w:asciiTheme="minorHAnsi" w:hAnsiTheme="minorHAnsi"/>
                <w:noProof/>
                <w:sz w:val="22"/>
              </w:rPr>
              <w:tab/>
            </w:r>
            <w:r>
              <w:rPr>
                <w:rStyle w:val="Hyperlink"/>
              </w:rPr>
              <w:t>Prosedyrens formål.</w:t>
            </w:r>
            <w:r>
              <w:tab/>
            </w:r>
            <w:r>
              <w:fldChar w:fldCharType="begin"/>
            </w:r>
            <w:r>
              <w:instrText xml:space="preserve"> PAGEREF _Toc256000000 \h </w:instrText>
            </w:r>
            <w:r>
              <w:fldChar w:fldCharType="separate"/>
            </w:r>
            <w:r>
              <w:t>1</w:t>
            </w:r>
            <w:r>
              <w:fldChar w:fldCharType="end"/>
            </w:r>
          </w:hyperlink>
        </w:p>
        <w:p>
          <w:pPr>
            <w:pStyle w:val="TOC1"/>
            <w:rPr>
              <w:rFonts w:asciiTheme="minorHAnsi" w:hAnsiTheme="minorHAnsi"/>
              <w:noProof/>
              <w:sz w:val="22"/>
            </w:rPr>
          </w:pPr>
          <w:hyperlink w:anchor="_Toc256000001" w:history="1">
            <w:r>
              <w:rPr>
                <w:rStyle w:val="Hyperlink"/>
              </w:rPr>
              <w:t>2</w:t>
            </w:r>
            <w:r>
              <w:rPr>
                <w:rFonts w:asciiTheme="minorHAnsi" w:hAnsiTheme="minorHAnsi"/>
                <w:noProof/>
                <w:sz w:val="22"/>
              </w:rPr>
              <w:tab/>
            </w:r>
            <w:r>
              <w:rPr>
                <w:rStyle w:val="Hyperlink"/>
              </w:rPr>
              <w:t>Pasienter prosedyren gjelder for</w:t>
            </w:r>
            <w:r>
              <w:tab/>
            </w:r>
            <w:r>
              <w:fldChar w:fldCharType="begin"/>
            </w:r>
            <w:r>
              <w:instrText xml:space="preserve"> PAGEREF _Toc256000001 \h </w:instrText>
            </w:r>
            <w:r>
              <w:fldChar w:fldCharType="separate"/>
            </w:r>
            <w:r>
              <w:t>1</w:t>
            </w:r>
            <w:r>
              <w:fldChar w:fldCharType="end"/>
            </w:r>
          </w:hyperlink>
        </w:p>
        <w:p>
          <w:pPr>
            <w:pStyle w:val="TOC1"/>
            <w:rPr>
              <w:rFonts w:asciiTheme="minorHAnsi" w:hAnsiTheme="minorHAnsi"/>
              <w:noProof/>
              <w:sz w:val="22"/>
            </w:rPr>
          </w:pPr>
          <w:hyperlink w:anchor="_Toc256000002" w:history="1">
            <w:r>
              <w:rPr>
                <w:rStyle w:val="Hyperlink"/>
              </w:rPr>
              <w:t>3</w:t>
            </w:r>
            <w:r>
              <w:rPr>
                <w:rFonts w:asciiTheme="minorHAnsi" w:hAnsiTheme="minorHAnsi"/>
                <w:noProof/>
                <w:sz w:val="22"/>
              </w:rPr>
              <w:tab/>
            </w:r>
            <w:r>
              <w:rPr>
                <w:rStyle w:val="Hyperlink"/>
              </w:rPr>
              <w:t>Helsepersonell fagprosedyren gjelder for</w:t>
            </w:r>
            <w:r>
              <w:tab/>
            </w:r>
            <w:r>
              <w:fldChar w:fldCharType="begin"/>
            </w:r>
            <w:r>
              <w:instrText xml:space="preserve"> PAGEREF _Toc256000002 \h </w:instrText>
            </w:r>
            <w:r>
              <w:fldChar w:fldCharType="separate"/>
            </w:r>
            <w:r>
              <w:t>1</w:t>
            </w:r>
            <w:r>
              <w:fldChar w:fldCharType="end"/>
            </w:r>
          </w:hyperlink>
        </w:p>
        <w:p>
          <w:pPr>
            <w:pStyle w:val="TOC1"/>
            <w:rPr>
              <w:rFonts w:asciiTheme="minorHAnsi" w:hAnsiTheme="minorHAnsi"/>
              <w:noProof/>
              <w:sz w:val="22"/>
            </w:rPr>
          </w:pPr>
          <w:hyperlink w:anchor="_Toc256000003" w:history="1">
            <w:r>
              <w:rPr>
                <w:rStyle w:val="Hyperlink"/>
              </w:rPr>
              <w:t>4</w:t>
            </w:r>
            <w:r>
              <w:rPr>
                <w:rFonts w:asciiTheme="minorHAnsi" w:hAnsiTheme="minorHAnsi"/>
                <w:noProof/>
                <w:sz w:val="22"/>
              </w:rPr>
              <w:tab/>
            </w:r>
            <w:r>
              <w:rPr>
                <w:rStyle w:val="Hyperlink"/>
              </w:rPr>
              <w:t>Ansvar</w:t>
            </w:r>
            <w:r>
              <w:tab/>
            </w:r>
            <w:r>
              <w:fldChar w:fldCharType="begin"/>
            </w:r>
            <w:r>
              <w:instrText xml:space="preserve"> PAGEREF _Toc256000003 \h </w:instrText>
            </w:r>
            <w:r>
              <w:fldChar w:fldCharType="separate"/>
            </w:r>
            <w:r>
              <w:t>1</w:t>
            </w:r>
            <w:r>
              <w:fldChar w:fldCharType="end"/>
            </w:r>
          </w:hyperlink>
        </w:p>
        <w:p>
          <w:pPr>
            <w:pStyle w:val="TOC1"/>
            <w:rPr>
              <w:rFonts w:asciiTheme="minorHAnsi" w:hAnsiTheme="minorHAnsi"/>
              <w:noProof/>
              <w:sz w:val="22"/>
            </w:rPr>
          </w:pPr>
          <w:hyperlink w:anchor="_Toc256000004" w:history="1">
            <w:r>
              <w:rPr>
                <w:rStyle w:val="Hyperlink"/>
              </w:rPr>
              <w:t>5</w:t>
            </w:r>
            <w:r>
              <w:rPr>
                <w:rFonts w:asciiTheme="minorHAnsi" w:hAnsiTheme="minorHAnsi"/>
                <w:noProof/>
                <w:sz w:val="22"/>
              </w:rPr>
              <w:tab/>
            </w:r>
            <w:r>
              <w:rPr>
                <w:rStyle w:val="Hyperlink"/>
              </w:rPr>
              <w:t>Fremgangsmåte</w:t>
            </w:r>
            <w:r>
              <w:tab/>
            </w:r>
            <w:r>
              <w:fldChar w:fldCharType="begin"/>
            </w:r>
            <w:r>
              <w:instrText xml:space="preserve"> PAGEREF _Toc256000004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5" w:history="1">
            <w:r>
              <w:rPr>
                <w:rStyle w:val="Hyperlink"/>
              </w:rPr>
              <w:t>5.1</w:t>
            </w:r>
            <w:r>
              <w:rPr>
                <w:rFonts w:asciiTheme="minorHAnsi" w:hAnsiTheme="minorHAnsi"/>
                <w:noProof/>
                <w:sz w:val="22"/>
              </w:rPr>
              <w:tab/>
            </w:r>
            <w:r>
              <w:rPr>
                <w:rStyle w:val="Hyperlink"/>
              </w:rPr>
              <w:t>Verifisering av bilirubinverdi</w:t>
            </w:r>
            <w:r>
              <w:tab/>
            </w:r>
            <w:r>
              <w:fldChar w:fldCharType="begin"/>
            </w:r>
            <w:r>
              <w:instrText xml:space="preserve"> PAGEREF _Toc256000005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6" w:history="1">
            <w:r>
              <w:rPr>
                <w:rStyle w:val="Hyperlink"/>
              </w:rPr>
              <w:t>5.2</w:t>
            </w:r>
            <w:r>
              <w:rPr>
                <w:rFonts w:asciiTheme="minorHAnsi" w:hAnsiTheme="minorHAnsi"/>
                <w:noProof/>
                <w:sz w:val="22"/>
              </w:rPr>
              <w:tab/>
            </w:r>
            <w:r>
              <w:rPr>
                <w:rStyle w:val="Hyperlink"/>
              </w:rPr>
              <w:t>Behandling</w:t>
            </w:r>
            <w:r>
              <w:tab/>
            </w:r>
            <w:r>
              <w:fldChar w:fldCharType="begin"/>
            </w:r>
            <w:r>
              <w:instrText xml:space="preserve"> PAGEREF _Toc256000006 \h </w:instrText>
            </w:r>
            <w:r>
              <w:fldChar w:fldCharType="separate"/>
            </w:r>
            <w:r>
              <w:t>2</w:t>
            </w:r>
            <w:r>
              <w:fldChar w:fldCharType="end"/>
            </w:r>
          </w:hyperlink>
        </w:p>
        <w:p>
          <w:pPr>
            <w:pStyle w:val="TOC2"/>
            <w:tabs>
              <w:tab w:val="left" w:pos="880"/>
              <w:tab w:val="right" w:leader="dot" w:pos="9061"/>
            </w:tabs>
            <w:rPr>
              <w:rFonts w:asciiTheme="minorHAnsi" w:hAnsiTheme="minorHAnsi"/>
              <w:noProof/>
              <w:sz w:val="22"/>
            </w:rPr>
          </w:pPr>
          <w:hyperlink w:anchor="_Toc256000007" w:history="1">
            <w:r>
              <w:rPr>
                <w:rStyle w:val="Hyperlink"/>
              </w:rPr>
              <w:t>5.3</w:t>
            </w:r>
            <w:r>
              <w:rPr>
                <w:rFonts w:asciiTheme="minorHAnsi" w:hAnsiTheme="minorHAnsi"/>
                <w:noProof/>
                <w:sz w:val="22"/>
              </w:rPr>
              <w:tab/>
            </w:r>
            <w:r w:rsidRPr="00863DAF">
              <w:rPr>
                <w:rStyle w:val="Hyperlink"/>
              </w:rPr>
              <w:t>Lysbehandlingsutstyr</w:t>
            </w:r>
            <w:r w:rsidR="00A865FC">
              <w:rPr>
                <w:rStyle w:val="Hyperlink"/>
              </w:rPr>
              <w:t xml:space="preserve"> med tilhørende forbruksutstyr</w:t>
            </w:r>
            <w:r w:rsidRPr="00863DAF">
              <w:rPr>
                <w:rStyle w:val="Hyperlink"/>
              </w:rPr>
              <w:t>:</w:t>
            </w:r>
            <w:r>
              <w:tab/>
            </w:r>
            <w:r>
              <w:fldChar w:fldCharType="begin"/>
            </w:r>
            <w:r>
              <w:instrText xml:space="preserve"> PAGEREF _Toc256000007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08" w:history="1">
            <w:r>
              <w:rPr>
                <w:rStyle w:val="Hyperlink"/>
              </w:rPr>
              <w:t>5.4</w:t>
            </w:r>
            <w:r>
              <w:rPr>
                <w:rFonts w:asciiTheme="minorHAnsi" w:hAnsiTheme="minorHAnsi"/>
                <w:noProof/>
                <w:sz w:val="22"/>
              </w:rPr>
              <w:tab/>
            </w:r>
            <w:r w:rsidRPr="00B0162B">
              <w:rPr>
                <w:rStyle w:val="Hyperlink"/>
              </w:rPr>
              <w:t>Praktisk gjennomføring:</w:t>
            </w:r>
            <w:r>
              <w:tab/>
            </w:r>
            <w:r>
              <w:fldChar w:fldCharType="begin"/>
            </w:r>
            <w:r>
              <w:instrText xml:space="preserve"> PAGEREF _Toc256000008 \h </w:instrText>
            </w:r>
            <w:r>
              <w:fldChar w:fldCharType="separate"/>
            </w:r>
            <w:r>
              <w:t>3</w:t>
            </w:r>
            <w:r>
              <w:fldChar w:fldCharType="end"/>
            </w:r>
          </w:hyperlink>
        </w:p>
        <w:p>
          <w:pPr>
            <w:pStyle w:val="TOC2"/>
            <w:tabs>
              <w:tab w:val="left" w:pos="880"/>
              <w:tab w:val="right" w:leader="dot" w:pos="9061"/>
            </w:tabs>
            <w:rPr>
              <w:rFonts w:asciiTheme="minorHAnsi" w:hAnsiTheme="minorHAnsi"/>
              <w:noProof/>
              <w:sz w:val="22"/>
            </w:rPr>
          </w:pPr>
          <w:hyperlink w:anchor="_Toc256000009" w:history="1">
            <w:r>
              <w:rPr>
                <w:rStyle w:val="Hyperlink"/>
                <w:rFonts w:cstheme="minorHAnsi"/>
              </w:rPr>
              <w:t>5.5</w:t>
            </w:r>
            <w:r>
              <w:rPr>
                <w:rFonts w:asciiTheme="minorHAnsi" w:hAnsiTheme="minorHAnsi" w:cstheme="minorHAnsi"/>
                <w:noProof/>
                <w:sz w:val="22"/>
              </w:rPr>
              <w:tab/>
            </w:r>
            <w:r>
              <w:rPr>
                <w:rStyle w:val="Hyperlink"/>
                <w:rFonts w:cstheme="minorHAnsi"/>
              </w:rPr>
              <w:t xml:space="preserve">Lysbehandling i AHS og </w:t>
            </w:r>
            <w:r w:rsidRPr="00267446" w:rsidR="00C557E1">
              <w:rPr>
                <w:rStyle w:val="Hyperlink"/>
                <w:rFonts w:cstheme="minorHAnsi"/>
              </w:rPr>
              <w:t>Poliklinisk kontroll</w:t>
            </w:r>
            <w:r>
              <w:tab/>
            </w:r>
            <w:r>
              <w:fldChar w:fldCharType="begin"/>
            </w:r>
            <w:r>
              <w:instrText xml:space="preserve"> PAGEREF _Toc256000009 \h </w:instrText>
            </w:r>
            <w:r>
              <w:fldChar w:fldCharType="separate"/>
            </w:r>
            <w:r>
              <w:t>4</w:t>
            </w:r>
            <w:r>
              <w:fldChar w:fldCharType="end"/>
            </w:r>
          </w:hyperlink>
        </w:p>
        <w:p>
          <w:pPr>
            <w:pStyle w:val="TOC2"/>
            <w:tabs>
              <w:tab w:val="left" w:pos="880"/>
              <w:tab w:val="right" w:leader="dot" w:pos="9061"/>
            </w:tabs>
            <w:rPr>
              <w:rFonts w:asciiTheme="minorHAnsi" w:hAnsiTheme="minorHAnsi"/>
              <w:noProof/>
              <w:sz w:val="22"/>
            </w:rPr>
          </w:pPr>
          <w:hyperlink w:anchor="_Toc256000010" w:history="1">
            <w:r>
              <w:rPr>
                <w:rStyle w:val="Hyperlink"/>
              </w:rPr>
              <w:t>5.6</w:t>
            </w:r>
            <w:r>
              <w:rPr>
                <w:rFonts w:asciiTheme="minorHAnsi" w:hAnsiTheme="minorHAnsi"/>
                <w:noProof/>
                <w:sz w:val="22"/>
              </w:rPr>
              <w:tab/>
            </w:r>
            <w:r>
              <w:rPr>
                <w:rStyle w:val="Hyperlink"/>
              </w:rPr>
              <w:t>Langvarig gulsott hos nyfødte</w:t>
            </w:r>
            <w:r>
              <w:tab/>
            </w:r>
            <w:r>
              <w:fldChar w:fldCharType="begin"/>
            </w:r>
            <w:r>
              <w:instrText xml:space="preserve"> PAGEREF _Toc256000010 \h </w:instrText>
            </w:r>
            <w:r>
              <w:fldChar w:fldCharType="separate"/>
            </w:r>
            <w:r>
              <w:t>5</w:t>
            </w:r>
            <w:r>
              <w:fldChar w:fldCharType="end"/>
            </w:r>
          </w:hyperlink>
        </w:p>
        <w:p>
          <w:pPr>
            <w:pStyle w:val="TOC1"/>
            <w:rPr>
              <w:rFonts w:asciiTheme="minorHAnsi" w:hAnsiTheme="minorHAnsi"/>
              <w:noProof/>
              <w:sz w:val="22"/>
            </w:rPr>
          </w:pPr>
          <w:hyperlink w:anchor="_Toc256000011" w:history="1">
            <w:r>
              <w:rPr>
                <w:rStyle w:val="Hyperlink"/>
              </w:rPr>
              <w:t>6</w:t>
            </w:r>
            <w:r>
              <w:rPr>
                <w:rFonts w:asciiTheme="minorHAnsi" w:hAnsiTheme="minorHAnsi"/>
                <w:noProof/>
                <w:sz w:val="22"/>
              </w:rPr>
              <w:tab/>
            </w:r>
            <w:r>
              <w:rPr>
                <w:rStyle w:val="Hyperlink"/>
              </w:rPr>
              <w:t>Referanser</w:t>
            </w:r>
            <w:r>
              <w:tab/>
            </w:r>
            <w:r>
              <w:fldChar w:fldCharType="begin"/>
            </w:r>
            <w:r>
              <w:instrText xml:space="preserve"> PAGEREF _Toc256000011 \h </w:instrText>
            </w:r>
            <w:r>
              <w:fldChar w:fldCharType="separate"/>
            </w:r>
            <w:r>
              <w:t>5</w:t>
            </w:r>
            <w:r>
              <w:fldChar w:fldCharType="end"/>
            </w:r>
          </w:hyperlink>
        </w:p>
        <w:p>
          <w:pPr>
            <w:pStyle w:val="TOC2"/>
            <w:tabs>
              <w:tab w:val="left" w:pos="880"/>
              <w:tab w:val="right" w:leader="dot" w:pos="9061"/>
            </w:tabs>
            <w:rPr>
              <w:rFonts w:asciiTheme="minorHAnsi" w:hAnsiTheme="minorHAnsi"/>
              <w:noProof/>
              <w:sz w:val="22"/>
            </w:rPr>
          </w:pPr>
          <w:hyperlink w:anchor="_Toc256000012" w:history="1">
            <w:r>
              <w:rPr>
                <w:rStyle w:val="Hyperlink"/>
              </w:rPr>
              <w:t>6.1</w:t>
            </w:r>
            <w:r>
              <w:rPr>
                <w:rFonts w:asciiTheme="minorHAnsi" w:hAnsiTheme="minorHAnsi"/>
                <w:noProof/>
                <w:sz w:val="22"/>
              </w:rPr>
              <w:tab/>
            </w:r>
            <w:r>
              <w:rPr>
                <w:rStyle w:val="Hyperlink"/>
              </w:rPr>
              <w:t>Interne referanser</w:t>
            </w:r>
            <w:r>
              <w:tab/>
            </w:r>
            <w:r>
              <w:fldChar w:fldCharType="begin"/>
            </w:r>
            <w:r>
              <w:instrText xml:space="preserve"> PAGEREF _Toc256000012 \h </w:instrText>
            </w:r>
            <w:r>
              <w:fldChar w:fldCharType="separate"/>
            </w:r>
            <w:r>
              <w:t>5</w:t>
            </w:r>
            <w:r>
              <w:fldChar w:fldCharType="end"/>
            </w:r>
          </w:hyperlink>
        </w:p>
        <w:p>
          <w:pPr>
            <w:pStyle w:val="TOC2"/>
            <w:tabs>
              <w:tab w:val="left" w:pos="880"/>
              <w:tab w:val="right" w:leader="dot" w:pos="9061"/>
            </w:tabs>
            <w:rPr>
              <w:rFonts w:asciiTheme="minorHAnsi" w:hAnsiTheme="minorHAnsi"/>
              <w:noProof/>
              <w:sz w:val="22"/>
            </w:rPr>
          </w:pPr>
          <w:hyperlink w:anchor="_Toc256000013" w:history="1">
            <w:r>
              <w:rPr>
                <w:rStyle w:val="Hyperlink"/>
              </w:rPr>
              <w:t>6.2</w:t>
            </w:r>
            <w:r>
              <w:rPr>
                <w:rFonts w:asciiTheme="minorHAnsi" w:hAnsiTheme="minorHAnsi"/>
                <w:noProof/>
                <w:sz w:val="22"/>
              </w:rPr>
              <w:tab/>
            </w:r>
            <w:r>
              <w:rPr>
                <w:rStyle w:val="Hyperlink"/>
              </w:rPr>
              <w:t>Eksterne referanser</w:t>
            </w:r>
            <w:r>
              <w:tab/>
            </w:r>
            <w:r>
              <w:fldChar w:fldCharType="begin"/>
            </w:r>
            <w:r>
              <w:instrText xml:space="preserve"> PAGEREF _Toc256000013 \h </w:instrText>
            </w:r>
            <w:r>
              <w:fldChar w:fldCharType="separate"/>
            </w:r>
            <w:r>
              <w:t>5</w:t>
            </w:r>
            <w:r>
              <w:fldChar w:fldCharType="end"/>
            </w:r>
          </w:hyperlink>
        </w:p>
        <w:p>
          <w:pPr>
            <w:pStyle w:val="TOC1"/>
            <w:rPr>
              <w:rFonts w:asciiTheme="minorHAnsi" w:hAnsiTheme="minorHAnsi"/>
              <w:noProof/>
              <w:sz w:val="22"/>
            </w:rPr>
          </w:pPr>
          <w:hyperlink w:anchor="_Toc256000014" w:history="1">
            <w:r>
              <w:rPr>
                <w:rStyle w:val="Hyperlink"/>
              </w:rPr>
              <w:t>7</w:t>
            </w:r>
            <w:r>
              <w:rPr>
                <w:rFonts w:asciiTheme="minorHAnsi" w:hAnsiTheme="minorHAnsi"/>
                <w:noProof/>
                <w:sz w:val="22"/>
              </w:rPr>
              <w:tab/>
            </w:r>
            <w:r w:rsidRPr="005F0E8F">
              <w:rPr>
                <w:rStyle w:val="Hyperlink"/>
              </w:rPr>
              <w:t>Endringer siden forrige versjon</w:t>
            </w:r>
            <w:r>
              <w:tab/>
            </w:r>
            <w:r>
              <w:fldChar w:fldCharType="begin"/>
            </w:r>
            <w:r>
              <w:instrText xml:space="preserve"> PAGEREF _Toc256000014 \h </w:instrText>
            </w:r>
            <w:r>
              <w:fldChar w:fldCharType="separate"/>
            </w:r>
            <w:r>
              <w:t>5</w:t>
            </w:r>
            <w:r>
              <w:fldChar w:fldCharType="end"/>
            </w:r>
          </w:hyperlink>
        </w:p>
        <w:p w:rsidR="00541496">
          <w:r w:rsidRPr="000E588F">
            <w:rPr>
              <w:rFonts w:cstheme="minorHAnsi"/>
              <w:b/>
              <w:bCs/>
              <w:szCs w:val="24"/>
            </w:rPr>
            <w:fldChar w:fldCharType="end"/>
          </w:r>
        </w:p>
      </w:sdtContent>
    </w:sdt>
    <w:p w:rsidR="00CB3EB0" w:rsidP="00126938" w14:paraId="1E2DFB85" w14:textId="77777777">
      <w:pPr>
        <w:pStyle w:val="Heading1"/>
      </w:pPr>
      <w:bookmarkStart w:id="1" w:name="_Toc256000000"/>
      <w:r>
        <w:t>Prosedyrens formål.</w:t>
      </w:r>
      <w:bookmarkEnd w:id="1"/>
    </w:p>
    <w:p w:rsidR="00B7341E" w:rsidRPr="00B7341E" w:rsidP="00B7341E" w14:paraId="1E2DFB86" w14:textId="77777777">
      <w:pPr>
        <w:rPr>
          <w:rFonts w:cstheme="minorHAnsi"/>
        </w:rPr>
      </w:pPr>
      <w:r w:rsidRPr="00B7341E">
        <w:rPr>
          <w:rFonts w:cstheme="minorHAnsi"/>
        </w:rPr>
        <w:t xml:space="preserve">Informasjon om gjeldende prosedyre ved behov for lysbehandling av nyfødte med </w:t>
      </w:r>
      <w:r w:rsidRPr="00B7341E" w:rsidR="00BF435B">
        <w:rPr>
          <w:rFonts w:cstheme="minorHAnsi"/>
        </w:rPr>
        <w:t>gulsott</w:t>
      </w:r>
      <w:r w:rsidRPr="00B7341E">
        <w:rPr>
          <w:rFonts w:cstheme="minorHAnsi"/>
        </w:rPr>
        <w:t xml:space="preserve">. </w:t>
      </w:r>
    </w:p>
    <w:p w:rsidR="00B7341E" w:rsidP="00B7341E" w14:paraId="1E2DFB87" w14:textId="77777777">
      <w:pPr>
        <w:rPr>
          <w:rFonts w:cstheme="minorHAnsi"/>
          <w:color w:val="808080" w:themeColor="background1" w:themeShade="80"/>
        </w:rPr>
      </w:pPr>
    </w:p>
    <w:p w:rsidR="00510BDF" w:rsidP="00B7341E" w14:paraId="1E2DFB88" w14:textId="77777777">
      <w:pPr>
        <w:pStyle w:val="Heading1"/>
      </w:pPr>
      <w:bookmarkStart w:id="2" w:name="_Toc256000001"/>
      <w:r>
        <w:t>Pasienter prosedyren gjelder for</w:t>
      </w:r>
      <w:bookmarkEnd w:id="2"/>
    </w:p>
    <w:p w:rsidR="00B7341E" w:rsidP="00B7341E" w14:paraId="1E2DFB89" w14:textId="77777777">
      <w:r>
        <w:t xml:space="preserve">Nyfødte innlagt på Haukeland universitetssykehus, tilhørende Barne- og ungdomsklinikken. </w:t>
      </w:r>
    </w:p>
    <w:p w:rsidR="00B7341E" w:rsidP="00B7341E" w14:paraId="1E2DFB8A" w14:textId="77777777"/>
    <w:p w:rsidR="00510BDF" w:rsidP="00B7341E" w14:paraId="1E2DFB8B" w14:textId="77777777">
      <w:pPr>
        <w:pStyle w:val="Heading1"/>
      </w:pPr>
      <w:bookmarkStart w:id="3" w:name="_Toc256000002"/>
      <w:r>
        <w:t>Helsepersonell fagprosedyren gjelder for</w:t>
      </w:r>
      <w:bookmarkEnd w:id="3"/>
    </w:p>
    <w:p w:rsidR="00510BDF" w:rsidRPr="004568C8" w:rsidP="00E270A4" w14:paraId="1E2DFB8C" w14:textId="7A67368D">
      <w:r>
        <w:t>Pleiepersonell som har arbeidssted HUS, BUK, Nyfødtintensiv</w:t>
      </w:r>
      <w:r w:rsidR="00C82C5F">
        <w:t xml:space="preserve"> og AHS.</w:t>
      </w:r>
    </w:p>
    <w:p w:rsidR="00510BDF" w:rsidP="00CB3EB0" w14:paraId="1E2DFB8D" w14:textId="77777777">
      <w:pPr>
        <w:rPr>
          <w:rFonts w:cstheme="minorHAnsi"/>
        </w:rPr>
      </w:pPr>
    </w:p>
    <w:p w:rsidR="00510BDF" w:rsidP="00126938" w14:paraId="1E2DFB8E" w14:textId="77777777">
      <w:pPr>
        <w:pStyle w:val="Heading1"/>
      </w:pPr>
      <w:bookmarkStart w:id="4" w:name="_Toc256000003"/>
      <w:r>
        <w:t>Ansvar</w:t>
      </w:r>
      <w:bookmarkEnd w:id="4"/>
    </w:p>
    <w:p w:rsidR="00B7341E" w:rsidP="00B7341E" w14:paraId="1E2DFB90" w14:textId="5FB923BE">
      <w:pPr>
        <w:rPr>
          <w:rFonts w:cstheme="minorHAnsi"/>
        </w:rPr>
      </w:pPr>
      <w:r>
        <w:rPr>
          <w:rFonts w:cstheme="minorHAnsi"/>
        </w:rPr>
        <w:t xml:space="preserve">Ansvaret for den medisinske behandlingen </w:t>
      </w:r>
      <w:r w:rsidR="00C4643E">
        <w:rPr>
          <w:rFonts w:cstheme="minorHAnsi"/>
        </w:rPr>
        <w:t xml:space="preserve">ligger hos legene. Pleiepersonell har et delegert ansvar for observasjon og sette i gang tiltak etter gjeldende regler. </w:t>
      </w:r>
    </w:p>
    <w:p w:rsidR="00440F15" w:rsidP="00B7341E" w14:paraId="2DB8F323" w14:textId="77777777">
      <w:pPr>
        <w:rPr>
          <w:rFonts w:cstheme="minorHAnsi"/>
        </w:rPr>
      </w:pPr>
    </w:p>
    <w:p w:rsidR="00440F15" w:rsidP="00B7341E" w14:paraId="15542382" w14:textId="77777777"/>
    <w:p w:rsidR="00BB0360" w:rsidP="00B7341E" w14:paraId="03B1A45B" w14:textId="77777777"/>
    <w:p w:rsidR="00510BDF" w:rsidP="00126938" w14:paraId="1E2DFB91" w14:textId="77777777">
      <w:pPr>
        <w:pStyle w:val="Heading1"/>
      </w:pPr>
      <w:bookmarkStart w:id="5" w:name="_Toc256000004"/>
      <w:r>
        <w:t>Fremgangsmåte</w:t>
      </w:r>
      <w:bookmarkEnd w:id="5"/>
    </w:p>
    <w:p w:rsidR="00B7341E" w:rsidP="00B7341E" w14:paraId="1E2DFB92" w14:textId="3C3C4600">
      <w:pPr>
        <w:rPr>
          <w:rFonts w:cstheme="minorHAnsi"/>
        </w:rPr>
      </w:pPr>
      <w:r>
        <w:rPr>
          <w:rFonts w:cstheme="minorHAnsi"/>
        </w:rPr>
        <w:t xml:space="preserve">Nasjonale anbefalinger i «nyfødtveilederen» følges når det gjelder diagnose og behandling av gulsott hos nyfødte </w:t>
      </w:r>
      <w:hyperlink r:id="rId5" w:history="1">
        <w:r w:rsidRPr="00430F76">
          <w:rPr>
            <w:rStyle w:val="Hyperlink"/>
            <w:rFonts w:cstheme="minorHAnsi"/>
          </w:rPr>
          <w:t>8.1 Tidlig gulsott - Helsebiblioteket</w:t>
        </w:r>
      </w:hyperlink>
      <w:r>
        <w:rPr>
          <w:rFonts w:cstheme="minorHAnsi"/>
        </w:rPr>
        <w:t xml:space="preserve">.  Den gjelder nyfødte innlagt </w:t>
      </w:r>
      <w:r w:rsidR="0054713E">
        <w:rPr>
          <w:rFonts w:cstheme="minorHAnsi"/>
        </w:rPr>
        <w:t xml:space="preserve">både </w:t>
      </w:r>
      <w:r>
        <w:rPr>
          <w:rFonts w:cstheme="minorHAnsi"/>
        </w:rPr>
        <w:t xml:space="preserve">på </w:t>
      </w:r>
      <w:r w:rsidR="0054713E">
        <w:rPr>
          <w:rFonts w:cstheme="minorHAnsi"/>
        </w:rPr>
        <w:t xml:space="preserve">KK, </w:t>
      </w:r>
      <w:r>
        <w:rPr>
          <w:rFonts w:cstheme="minorHAnsi"/>
        </w:rPr>
        <w:t>Nyfødt</w:t>
      </w:r>
      <w:r w:rsidR="0054713E">
        <w:rPr>
          <w:rFonts w:cstheme="minorHAnsi"/>
        </w:rPr>
        <w:t xml:space="preserve">intensiv og </w:t>
      </w:r>
      <w:r w:rsidR="00C82C5F">
        <w:rPr>
          <w:rFonts w:cstheme="minorHAnsi"/>
        </w:rPr>
        <w:t>AHS</w:t>
      </w:r>
      <w:r>
        <w:rPr>
          <w:rFonts w:cstheme="minorHAnsi"/>
        </w:rPr>
        <w:t>.</w:t>
      </w:r>
      <w:r w:rsidRPr="00624D2B">
        <w:rPr>
          <w:rFonts w:cstheme="minorHAnsi"/>
        </w:rPr>
        <w:t xml:space="preserve"> </w:t>
      </w:r>
      <w:r w:rsidR="00430F76">
        <w:rPr>
          <w:rFonts w:cstheme="minorHAnsi"/>
        </w:rPr>
        <w:t xml:space="preserve">Nyfødtveilederen kap. 8 beskriver prosessen med dannelse av bilirubin, ulike årsaker til forhøyet verdier, symptomer, klinikk og behandling. </w:t>
      </w:r>
    </w:p>
    <w:p w:rsidR="00C4643E" w:rsidP="00B7341E" w14:paraId="333375F8" w14:textId="1D6DF7F6">
      <w:r>
        <w:rPr>
          <w:rFonts w:cstheme="minorHAnsi"/>
        </w:rPr>
        <w:t>BUK har noen lokale presiseringer mtp. diagnose (når blodprøve tas vs. Tc måling), poliklinisk oppfølging og det medisinsk</w:t>
      </w:r>
      <w:r w:rsidR="00863DAF">
        <w:rPr>
          <w:rFonts w:cstheme="minorHAnsi"/>
        </w:rPr>
        <w:t>e</w:t>
      </w:r>
      <w:r>
        <w:rPr>
          <w:rFonts w:cstheme="minorHAnsi"/>
        </w:rPr>
        <w:t xml:space="preserve"> utstyret som benyttes. </w:t>
      </w:r>
    </w:p>
    <w:p w:rsidR="000659D2" w:rsidP="00D173D3" w14:paraId="1E2DFB97" w14:textId="77777777">
      <w:pPr>
        <w:pStyle w:val="NormalWeb"/>
        <w:spacing w:after="0"/>
        <w:rPr>
          <w:rFonts w:asciiTheme="minorHAnsi" w:hAnsiTheme="minorHAnsi" w:cstheme="minorHAnsi"/>
          <w:color w:val="333333"/>
        </w:rPr>
      </w:pPr>
    </w:p>
    <w:p w:rsidR="00440F15" w:rsidRPr="00FC505B" w:rsidP="00440F15" w14:paraId="1557496E" w14:textId="03CCDBC7">
      <w:pPr>
        <w:pStyle w:val="Heading2"/>
      </w:pPr>
      <w:r w:rsidRPr="00FC505B">
        <w:t> </w:t>
      </w:r>
      <w:bookmarkStart w:id="6" w:name="_Toc225331126"/>
      <w:bookmarkStart w:id="7" w:name="_Toc256000005"/>
      <w:r>
        <w:t>Verifisering av bilirubinverdi</w:t>
      </w:r>
      <w:bookmarkEnd w:id="7"/>
      <w:r>
        <w:t xml:space="preserve"> </w:t>
      </w:r>
      <w:bookmarkEnd w:id="6"/>
    </w:p>
    <w:p w:rsidR="00440F15" w:rsidP="00440F15" w14:paraId="50A8BACE" w14:textId="2D5A7A90">
      <w:pPr>
        <w:spacing w:line="259" w:lineRule="auto"/>
      </w:pPr>
      <w:r w:rsidRPr="00FC505B">
        <w:t>Følgende anbefalinger gjelder</w:t>
      </w:r>
      <w:r>
        <w:t xml:space="preserve"> for valg av testmetode for bestemmelse av bilirubin. </w:t>
      </w:r>
    </w:p>
    <w:p w:rsidR="00440F15" w:rsidP="00440F15" w14:paraId="7413535D" w14:textId="77777777">
      <w:pPr>
        <w:spacing w:line="259" w:lineRule="auto"/>
      </w:pPr>
    </w:p>
    <w:p w:rsidR="00440F15" w:rsidP="00440F15" w14:paraId="24721185" w14:textId="4C842EAE">
      <w:pPr>
        <w:numPr>
          <w:ilvl w:val="0"/>
          <w:numId w:val="19"/>
        </w:numPr>
        <w:spacing w:line="259" w:lineRule="auto"/>
      </w:pPr>
      <w:r w:rsidRPr="00FC505B">
        <w:t xml:space="preserve">Total serum bilirubin (TSB) er </w:t>
      </w:r>
      <w:r>
        <w:t xml:space="preserve">den </w:t>
      </w:r>
      <w:r w:rsidRPr="00FC505B">
        <w:t>me</w:t>
      </w:r>
      <w:r>
        <w:t>st</w:t>
      </w:r>
      <w:r w:rsidRPr="00FC505B">
        <w:t xml:space="preserve"> presis</w:t>
      </w:r>
      <w:r>
        <w:t>e</w:t>
      </w:r>
      <w:r w:rsidRPr="00FC505B">
        <w:t xml:space="preserve"> </w:t>
      </w:r>
      <w:r>
        <w:t xml:space="preserve">metoden </w:t>
      </w:r>
      <w:r w:rsidR="0054713E">
        <w:t xml:space="preserve">og representerer </w:t>
      </w:r>
      <w:r w:rsidRPr="00FC505B">
        <w:t>gullstandard for bilirubinmåling</w:t>
      </w:r>
      <w:r>
        <w:t xml:space="preserve">. Se </w:t>
      </w:r>
      <w:hyperlink r:id="rId6" w:tooltip="XDF82995" w:history="1">
        <w:r w:rsidRPr="00121CEC">
          <w:rPr>
            <w:rStyle w:val="Hyperlink"/>
          </w:rPr>
          <w:fldChar w:fldCharType="begin" w:fldLock="1"/>
        </w:r>
        <w:r w:rsidRPr="00121CEC">
          <w:rPr>
            <w:rStyle w:val="Hyperlink"/>
          </w:rPr>
          <w:instrText xml:space="preserve"> DOCPROPERTY XDT82995 *charformat * MERGEFORMAT </w:instrText>
        </w:r>
        <w:r w:rsidRPr="00121CEC">
          <w:rPr>
            <w:rStyle w:val="Hyperlink"/>
          </w:rPr>
          <w:fldChar w:fldCharType="separate"/>
        </w:r>
        <w:r w:rsidRPr="00121CEC">
          <w:rPr>
            <w:rStyle w:val="Hyperlink"/>
          </w:rPr>
          <w:t>Blodprøvetaking av nyfødte</w:t>
        </w:r>
        <w:r w:rsidRPr="00121CEC">
          <w:rPr>
            <w:rStyle w:val="Hyperlink"/>
          </w:rPr>
          <w:fldChar w:fldCharType="end"/>
        </w:r>
      </w:hyperlink>
      <w:r w:rsidRPr="00121CEC">
        <w:t xml:space="preserve"> </w:t>
      </w:r>
      <w:r>
        <w:t xml:space="preserve">. Benyttes i følgende pasientsituasjoner: </w:t>
      </w:r>
    </w:p>
    <w:p w:rsidR="00440F15" w:rsidP="00440F15" w14:paraId="4716E32C" w14:textId="77777777">
      <w:pPr>
        <w:pStyle w:val="ListParagraph"/>
        <w:numPr>
          <w:ilvl w:val="0"/>
          <w:numId w:val="21"/>
        </w:numPr>
        <w:spacing w:line="259" w:lineRule="auto"/>
      </w:pPr>
      <w:r>
        <w:t>Under lysbehandling og ved behov de første 18 timene etter lysbehandling.</w:t>
      </w:r>
    </w:p>
    <w:p w:rsidR="00440F15" w:rsidRPr="00FC505B" w:rsidP="00440F15" w14:paraId="5415F03E" w14:textId="77777777">
      <w:pPr>
        <w:pStyle w:val="ListParagraph"/>
        <w:numPr>
          <w:ilvl w:val="0"/>
          <w:numId w:val="21"/>
        </w:numPr>
        <w:spacing w:line="259" w:lineRule="auto"/>
      </w:pPr>
      <w:r>
        <w:t>S</w:t>
      </w:r>
      <w:r w:rsidRPr="00FC505B">
        <w:t>kal benyttes når barnet har gjennomgått utskiftingstransfusjoner, sterk væskeretensjon, tidlig gulsott</w:t>
      </w:r>
      <w:r>
        <w:t xml:space="preserve"> (ila første døgn)</w:t>
      </w:r>
      <w:r w:rsidRPr="00FC505B">
        <w:t> eller mistanke om ikke-fysiologisk gulso</w:t>
      </w:r>
      <w:r>
        <w:t>t</w:t>
      </w:r>
      <w:r w:rsidRPr="00FC505B">
        <w:t xml:space="preserve">t som </w:t>
      </w:r>
      <w:r>
        <w:t xml:space="preserve">Rh eller </w:t>
      </w:r>
      <w:r w:rsidRPr="00FC505B">
        <w:t>ABO-uforlik </w:t>
      </w:r>
      <w:r>
        <w:t xml:space="preserve">og </w:t>
      </w:r>
      <w:r w:rsidRPr="00FC505B">
        <w:t>an</w:t>
      </w:r>
      <w:r>
        <w:t>dre</w:t>
      </w:r>
      <w:r w:rsidRPr="00FC505B">
        <w:t xml:space="preserve"> årsak</w:t>
      </w:r>
      <w:r>
        <w:t>er</w:t>
      </w:r>
      <w:r w:rsidRPr="00FC505B">
        <w:t>. </w:t>
      </w:r>
    </w:p>
    <w:p w:rsidR="00440F15" w:rsidRPr="00FC505B" w:rsidP="00440F15" w14:paraId="68AE4B85" w14:textId="77777777">
      <w:pPr>
        <w:numPr>
          <w:ilvl w:val="0"/>
          <w:numId w:val="17"/>
        </w:numPr>
        <w:tabs>
          <w:tab w:val="clear" w:pos="720"/>
          <w:tab w:val="num" w:pos="1440"/>
        </w:tabs>
        <w:spacing w:line="259" w:lineRule="auto"/>
        <w:ind w:left="1440"/>
      </w:pPr>
      <w:r w:rsidRPr="00FC505B">
        <w:t>TcB er mindre enn 50 μmol/L fra lysbehandlingsgrense for aktuell gruppe og alder </w:t>
      </w:r>
    </w:p>
    <w:p w:rsidR="00440F15" w:rsidRPr="00FC505B" w:rsidP="00440F15" w14:paraId="019414B9" w14:textId="77777777">
      <w:pPr>
        <w:numPr>
          <w:ilvl w:val="0"/>
          <w:numId w:val="18"/>
        </w:numPr>
        <w:tabs>
          <w:tab w:val="clear" w:pos="720"/>
          <w:tab w:val="num" w:pos="1440"/>
        </w:tabs>
        <w:spacing w:line="259" w:lineRule="auto"/>
        <w:ind w:left="1440"/>
      </w:pPr>
      <w:r w:rsidRPr="00FC505B">
        <w:t>Enhver verdi av TcB &gt; 275 μmol/L uavhengig av barnets alder </w:t>
      </w:r>
    </w:p>
    <w:p w:rsidR="00440F15" w:rsidP="00440F15" w14:paraId="28EBA3CC" w14:textId="1F005F09">
      <w:pPr>
        <w:numPr>
          <w:ilvl w:val="1"/>
          <w:numId w:val="20"/>
        </w:numPr>
        <w:spacing w:line="259" w:lineRule="auto"/>
      </w:pPr>
      <w:r>
        <w:t xml:space="preserve">Polikliniske henviste pasienter med henvisningsgrunn </w:t>
      </w:r>
      <w:r w:rsidR="0054713E">
        <w:t>«</w:t>
      </w:r>
      <w:r>
        <w:t>gul i hud ved 3 ukers alder</w:t>
      </w:r>
      <w:r w:rsidR="0054713E">
        <w:t>»</w:t>
      </w:r>
      <w:r>
        <w:t xml:space="preserve">. </w:t>
      </w:r>
    </w:p>
    <w:p w:rsidR="00440F15" w:rsidRPr="00FC505B" w:rsidP="00440F15" w14:paraId="72F7917D" w14:textId="77777777">
      <w:pPr>
        <w:spacing w:line="259" w:lineRule="auto"/>
        <w:ind w:left="1440"/>
      </w:pPr>
    </w:p>
    <w:p w:rsidR="00440F15" w:rsidP="00440F15" w14:paraId="1E955F96" w14:textId="77777777">
      <w:pPr>
        <w:pStyle w:val="ListParagraph"/>
        <w:numPr>
          <w:ilvl w:val="0"/>
          <w:numId w:val="20"/>
        </w:numPr>
        <w:spacing w:line="259" w:lineRule="auto"/>
      </w:pPr>
      <w:r>
        <w:t>Transcutan biliurubin (TcB)</w:t>
      </w:r>
    </w:p>
    <w:p w:rsidR="00440F15" w:rsidP="00440F15" w14:paraId="6380C067" w14:textId="77777777">
      <w:pPr>
        <w:pStyle w:val="ListParagraph"/>
        <w:numPr>
          <w:ilvl w:val="1"/>
          <w:numId w:val="20"/>
        </w:numPr>
        <w:spacing w:line="259" w:lineRule="auto"/>
      </w:pPr>
      <w:r w:rsidRPr="00FC505B">
        <w:t>Målingen med </w:t>
      </w:r>
      <w:r>
        <w:t>T</w:t>
      </w:r>
      <w:r w:rsidRPr="00FC505B">
        <w:t>cB er uavhengig av barnets hudfarge. </w:t>
      </w:r>
    </w:p>
    <w:p w:rsidR="00440F15" w:rsidP="00440F15" w14:paraId="5D62111F" w14:textId="77777777">
      <w:pPr>
        <w:pStyle w:val="ListParagraph"/>
        <w:numPr>
          <w:ilvl w:val="1"/>
          <w:numId w:val="20"/>
        </w:numPr>
        <w:spacing w:line="259" w:lineRule="auto"/>
      </w:pPr>
      <w:r w:rsidRPr="00FC505B">
        <w:t>Panne og eventuelt sternum er foretrukne områder for undersøkelse, grunnet minst diskrepans mellom TcB og TSB. </w:t>
      </w:r>
    </w:p>
    <w:p w:rsidR="00440F15" w:rsidP="00440F15" w14:paraId="1637CD12" w14:textId="77777777">
      <w:pPr>
        <w:pStyle w:val="ListParagraph"/>
        <w:numPr>
          <w:ilvl w:val="1"/>
          <w:numId w:val="20"/>
        </w:numPr>
        <w:spacing w:line="259" w:lineRule="auto"/>
      </w:pPr>
      <w:r w:rsidRPr="00FC505B">
        <w:t>TcB </w:t>
      </w:r>
      <w:r>
        <w:t>anbefales s</w:t>
      </w:r>
      <w:r w:rsidRPr="00FC505B">
        <w:t>om førstevalg ved klinisk tegn på gulsott og ved poliklinisk oppfølging i etterkant av en ukonjugert gulsott. </w:t>
      </w:r>
    </w:p>
    <w:p w:rsidR="00440F15" w:rsidP="00440F15" w14:paraId="75C2FA36" w14:textId="77777777">
      <w:pPr>
        <w:pStyle w:val="ListParagraph"/>
        <w:numPr>
          <w:ilvl w:val="1"/>
          <w:numId w:val="20"/>
        </w:numPr>
        <w:spacing w:line="259" w:lineRule="auto"/>
      </w:pPr>
      <w:r w:rsidRPr="00FC505B">
        <w:t>TcB bør tas kort tid før ordinære blodprøverunder slik at ev. kontroll med TSB kan tas på ordinær prøverunde. </w:t>
      </w:r>
    </w:p>
    <w:p w:rsidR="00440F15" w:rsidP="00440F15" w14:paraId="5405DF2E" w14:textId="77777777">
      <w:pPr>
        <w:pStyle w:val="ListParagraph"/>
        <w:numPr>
          <w:ilvl w:val="1"/>
          <w:numId w:val="20"/>
        </w:numPr>
        <w:spacing w:line="259" w:lineRule="auto"/>
      </w:pPr>
      <w:r w:rsidRPr="00FC505B">
        <w:t>TcB skal </w:t>
      </w:r>
      <w:r w:rsidRPr="00975D2D">
        <w:rPr>
          <w:b/>
          <w:bCs/>
        </w:rPr>
        <w:t>ikke</w:t>
      </w:r>
      <w:r w:rsidRPr="00FC505B">
        <w:t> benyttes under pågående lysbehandling, men kan/bør brukes fra 18 timer etter avsluttet lysbehandling. </w:t>
      </w:r>
    </w:p>
    <w:p w:rsidR="00440F15" w:rsidP="00440F15" w14:paraId="004FC168" w14:textId="77777777">
      <w:pPr>
        <w:pStyle w:val="ListParagraph"/>
        <w:numPr>
          <w:ilvl w:val="1"/>
          <w:numId w:val="20"/>
        </w:numPr>
        <w:spacing w:line="259" w:lineRule="auto"/>
      </w:pPr>
      <w:r>
        <w:t xml:space="preserve">Kontroll etter 18 timer vil ofte være høyere enn da barnet ble tatt ut av lys og dermed kreve ny kontroll.  To påfølgende fallende verdier etter lysbehandling eller en fallende etter en stigende verdi betyr normalt å avslutte kontroller. </w:t>
      </w:r>
    </w:p>
    <w:p w:rsidR="00440F15" w:rsidP="00440F15" w14:paraId="0EBB5028" w14:textId="2E0EC19D">
      <w:pPr>
        <w:pStyle w:val="ListParagraph"/>
        <w:numPr>
          <w:ilvl w:val="1"/>
          <w:numId w:val="20"/>
        </w:numPr>
        <w:spacing w:line="259" w:lineRule="auto"/>
      </w:pPr>
      <w:r>
        <w:t>TcB tas ved p</w:t>
      </w:r>
      <w:r w:rsidR="00C557E1">
        <w:t xml:space="preserve">olikliniske henviste pasienter med henvisningsgrunn gul i hud ved 3 ukers alder hvor barnet likevel ikke er gul, marginalt gul eller kun litt på sclera. </w:t>
      </w:r>
    </w:p>
    <w:p w:rsidR="00440F15" w:rsidRPr="00D173D3" w:rsidP="00D173D3" w14:paraId="2FDC3B13" w14:textId="77777777">
      <w:pPr>
        <w:pStyle w:val="NormalWeb"/>
        <w:spacing w:after="0"/>
        <w:rPr>
          <w:rFonts w:asciiTheme="minorHAnsi" w:hAnsiTheme="minorHAnsi" w:cstheme="minorHAnsi"/>
          <w:color w:val="333333"/>
        </w:rPr>
      </w:pPr>
    </w:p>
    <w:p w:rsidR="00B7341E" w:rsidP="00B7341E" w14:paraId="1E2DFB98" w14:textId="77777777">
      <w:pPr>
        <w:pStyle w:val="Heading2"/>
      </w:pPr>
      <w:bookmarkStart w:id="8" w:name="_Toc256000006"/>
      <w:r>
        <w:t>Behandling</w:t>
      </w:r>
      <w:bookmarkEnd w:id="8"/>
    </w:p>
    <w:p w:rsidR="00B7341E" w:rsidRPr="00BF435B" w:rsidP="00B7341E" w14:paraId="1E2DFB99" w14:textId="77777777">
      <w:pPr>
        <w:rPr>
          <w:rFonts w:cstheme="minorHAnsi"/>
          <w:bCs/>
          <w:i/>
          <w:iCs/>
          <w:szCs w:val="22"/>
        </w:rPr>
      </w:pPr>
      <w:r w:rsidRPr="00BF435B">
        <w:rPr>
          <w:rFonts w:cstheme="minorHAnsi"/>
          <w:bCs/>
          <w:i/>
          <w:iCs/>
          <w:szCs w:val="22"/>
        </w:rPr>
        <w:t xml:space="preserve">Behandling av nyfødticterus er Lysterapi/fototerapi. </w:t>
      </w:r>
    </w:p>
    <w:p w:rsidR="00B7341E" w:rsidRPr="00385AEC" w:rsidP="00B7341E" w14:paraId="1E2DFB9A" w14:textId="1ECE5D01">
      <w:pPr>
        <w:rPr>
          <w:rFonts w:cstheme="minorHAnsi"/>
          <w:szCs w:val="22"/>
        </w:rPr>
      </w:pPr>
      <w:r w:rsidRPr="00385AEC">
        <w:rPr>
          <w:rFonts w:cstheme="minorHAnsi"/>
          <w:szCs w:val="22"/>
        </w:rPr>
        <w:t xml:space="preserve">Det er den ukonjugerte delen av bilirubinmengden i kroppen som absorberer lys fra den blå delen av lysspekteret ved fototerapi. Bilirubinmolekylene får på grunn av lyset en annen </w:t>
      </w:r>
      <w:r w:rsidRPr="00385AEC">
        <w:rPr>
          <w:rFonts w:cstheme="minorHAnsi"/>
          <w:szCs w:val="22"/>
        </w:rPr>
        <w:t xml:space="preserve">geometrisk struktur (isomerisering). Dette medfører at bilirubinmolekylet blir vannløselig og kan da skilles ut i gallen uten å omdannes til konjugert bilirubin i leveren først. Ved lysbehandling trenger lyset cirka </w:t>
      </w:r>
      <w:smartTag w:uri="urn:schemas-microsoft-com:office:smarttags" w:element="metricconverter">
        <w:smartTagPr>
          <w:attr w:name="ProductID" w:val="2 mm"/>
        </w:smartTagPr>
        <w:r w:rsidRPr="00385AEC">
          <w:rPr>
            <w:rFonts w:cstheme="minorHAnsi"/>
            <w:szCs w:val="22"/>
          </w:rPr>
          <w:t>2 mm</w:t>
        </w:r>
      </w:smartTag>
      <w:r w:rsidRPr="00385AEC">
        <w:rPr>
          <w:rFonts w:cstheme="minorHAnsi"/>
          <w:szCs w:val="22"/>
        </w:rPr>
        <w:t xml:space="preserve"> inn i huden, og det er kun ukonjugert bilirubin i denne delen av huden som blir vannløselig. Det er derfor viktig at størst mulig del av barnets kroppsoverflate eksponeres under lysbehandlingen. For at behandlingen skal være effektiv, må nytt bilirubin komme til i det eksponerte området ett</w:t>
      </w:r>
      <w:r w:rsidRPr="00385AEC">
        <w:rPr>
          <w:rFonts w:cstheme="minorHAnsi"/>
          <w:szCs w:val="22"/>
        </w:rPr>
        <w:t>er hvert som omgjorte bilirubinet skilles ut.</w:t>
      </w:r>
    </w:p>
    <w:p w:rsidR="00B7341E" w:rsidRPr="000659D2" w:rsidP="00B7341E" w14:paraId="1E2DFB9B" w14:textId="77777777">
      <w:pPr>
        <w:pStyle w:val="NormalWeb"/>
        <w:spacing w:after="0"/>
        <w:rPr>
          <w:rFonts w:asciiTheme="minorHAnsi" w:hAnsiTheme="minorHAnsi" w:cstheme="minorHAnsi"/>
          <w:b/>
          <w:bCs/>
          <w:sz w:val="22"/>
          <w:szCs w:val="22"/>
        </w:rPr>
      </w:pPr>
    </w:p>
    <w:p w:rsidR="00B7341E" w:rsidRPr="000659D2" w:rsidP="00B7341E" w14:paraId="1E2DFB9C" w14:textId="7DD12042">
      <w:pPr>
        <w:pStyle w:val="NormalWeb"/>
        <w:spacing w:after="0"/>
        <w:rPr>
          <w:rFonts w:asciiTheme="minorHAnsi" w:hAnsiTheme="minorHAnsi" w:cstheme="minorHAnsi"/>
          <w:i/>
          <w:iCs/>
          <w:sz w:val="22"/>
          <w:szCs w:val="22"/>
        </w:rPr>
      </w:pPr>
      <w:r w:rsidRPr="00863DAF">
        <w:rPr>
          <w:rFonts w:asciiTheme="minorHAnsi" w:hAnsiTheme="minorHAnsi" w:cstheme="minorHAnsi"/>
        </w:rPr>
        <w:t>Grense for start og stopp av hyperbilirubinemi følge</w:t>
      </w:r>
      <w:r w:rsidR="00863DAF">
        <w:rPr>
          <w:rFonts w:asciiTheme="minorHAnsi" w:hAnsiTheme="minorHAnsi" w:cstheme="minorHAnsi"/>
        </w:rPr>
        <w:t>s</w:t>
      </w:r>
      <w:r w:rsidRPr="00863DAF" w:rsidR="00863DAF">
        <w:rPr>
          <w:rFonts w:asciiTheme="minorHAnsi" w:hAnsiTheme="minorHAnsi" w:cstheme="minorHAnsi"/>
        </w:rPr>
        <w:t xml:space="preserve"> lysbehandlingsskjema, sist i dokumentet</w:t>
      </w:r>
      <w:r w:rsidR="00863DAF">
        <w:rPr>
          <w:rFonts w:asciiTheme="minorHAnsi" w:hAnsiTheme="minorHAnsi" w:cstheme="minorHAnsi"/>
        </w:rPr>
        <w:t>:</w:t>
      </w:r>
      <w:r w:rsidRPr="00863DAF">
        <w:rPr>
          <w:rFonts w:asciiTheme="minorHAnsi" w:hAnsiTheme="minorHAnsi" w:cstheme="minorHAnsi"/>
        </w:rPr>
        <w:t xml:space="preserve"> </w:t>
      </w:r>
      <w:hyperlink r:id="rId5" w:history="1">
        <w:r w:rsidRPr="00863DAF" w:rsidR="00863DAF">
          <w:rPr>
            <w:rStyle w:val="Hyperlink"/>
            <w:rFonts w:cstheme="minorHAnsi"/>
            <w:i/>
            <w:iCs/>
            <w:sz w:val="22"/>
            <w:szCs w:val="22"/>
          </w:rPr>
          <w:t>8.1 Tidlig gulsott - Helsebiblioteket</w:t>
        </w:r>
      </w:hyperlink>
    </w:p>
    <w:p w:rsidR="00B7341E" w:rsidRPr="00863DAF" w:rsidP="00B7341E" w14:paraId="1E2DFB9F" w14:textId="77777777">
      <w:pPr>
        <w:pStyle w:val="NormalWeb"/>
        <w:spacing w:after="0"/>
        <w:rPr>
          <w:rFonts w:asciiTheme="minorHAnsi" w:hAnsiTheme="minorHAnsi" w:cstheme="minorHAnsi"/>
        </w:rPr>
      </w:pPr>
      <w:r w:rsidRPr="00863DAF">
        <w:rPr>
          <w:rFonts w:asciiTheme="minorHAnsi" w:hAnsiTheme="minorHAnsi" w:cstheme="minorHAnsi"/>
        </w:rPr>
        <w:t>Hos nyfødte med risikofaktorer, kan grenser avvike - lege ordinerer.</w:t>
      </w:r>
    </w:p>
    <w:p w:rsidR="00B7341E" w:rsidP="00B7341E" w14:paraId="1E2DFBA0" w14:textId="77777777">
      <w:pPr>
        <w:pStyle w:val="NormalWeb"/>
        <w:spacing w:after="0"/>
        <w:rPr>
          <w:rFonts w:asciiTheme="minorHAnsi" w:hAnsiTheme="minorHAnsi" w:cstheme="minorHAnsi"/>
          <w:color w:val="333333"/>
          <w:sz w:val="22"/>
          <w:szCs w:val="22"/>
        </w:rPr>
      </w:pPr>
    </w:p>
    <w:p w:rsidR="00B7341E" w:rsidP="00BF435B" w14:paraId="1E2DFBA1" w14:textId="7262232E">
      <w:pPr>
        <w:pStyle w:val="Heading2"/>
        <w:rPr>
          <w:szCs w:val="24"/>
        </w:rPr>
      </w:pPr>
      <w:bookmarkStart w:id="9" w:name="_Toc256000007"/>
      <w:r w:rsidRPr="00863DAF">
        <w:rPr>
          <w:szCs w:val="24"/>
        </w:rPr>
        <w:t>Lysbehandlingsutstyr</w:t>
      </w:r>
      <w:r w:rsidR="00A865FC">
        <w:rPr>
          <w:szCs w:val="24"/>
        </w:rPr>
        <w:t xml:space="preserve"> med tilhørende forbruksutstyr</w:t>
      </w:r>
      <w:r w:rsidRPr="00863DAF">
        <w:rPr>
          <w:szCs w:val="24"/>
        </w:rPr>
        <w:t>:</w:t>
      </w:r>
      <w:bookmarkEnd w:id="9"/>
    </w:p>
    <w:p w:rsidR="00F12D7B" w:rsidP="00F12D7B" w14:paraId="12F6C89E" w14:textId="04C92AA8">
      <w:pPr>
        <w:pStyle w:val="NormalWeb"/>
        <w:numPr>
          <w:ilvl w:val="0"/>
          <w:numId w:val="15"/>
        </w:numPr>
        <w:spacing w:after="0"/>
        <w:rPr>
          <w:rFonts w:asciiTheme="minorHAnsi" w:hAnsiTheme="minorHAnsi" w:cstheme="minorHAnsi"/>
        </w:rPr>
      </w:pPr>
      <w:r>
        <w:rPr>
          <w:rFonts w:asciiTheme="minorHAnsi" w:hAnsiTheme="minorHAnsi" w:cstheme="minorHAnsi"/>
        </w:rPr>
        <w:t xml:space="preserve">Lysbriller: skal alltid benyttes </w:t>
      </w:r>
      <w:r>
        <w:rPr>
          <w:rFonts w:asciiTheme="minorHAnsi" w:hAnsiTheme="minorHAnsi" w:cstheme="minorHAnsi"/>
        </w:rPr>
        <w:t>uansett type lysbehandlingsutstyr, ulike str.</w:t>
      </w:r>
    </w:p>
    <w:p w:rsidR="00F12D7B" w:rsidRPr="00F12D7B" w:rsidP="00F12D7B" w14:paraId="5E6011A9" w14:textId="77777777">
      <w:pPr>
        <w:pStyle w:val="NormalWeb"/>
        <w:spacing w:after="0"/>
        <w:ind w:left="720"/>
        <w:rPr>
          <w:rFonts w:asciiTheme="minorHAnsi" w:hAnsiTheme="minorHAnsi" w:cstheme="minorHAnsi"/>
        </w:rPr>
      </w:pPr>
    </w:p>
    <w:p w:rsidR="00F12D7B" w:rsidRPr="00121CEC" w:rsidP="00F12D7B" w14:paraId="59D887BB" w14:textId="33C95589">
      <w:pPr>
        <w:pStyle w:val="NormalWeb"/>
        <w:numPr>
          <w:ilvl w:val="0"/>
          <w:numId w:val="22"/>
        </w:numPr>
        <w:spacing w:after="0"/>
        <w:rPr>
          <w:rFonts w:asciiTheme="minorHAnsi" w:hAnsiTheme="minorHAnsi" w:cstheme="minorHAnsi"/>
        </w:rPr>
      </w:pPr>
      <w:r w:rsidRPr="00121CEC">
        <w:rPr>
          <w:rFonts w:asciiTheme="minorHAnsi" w:hAnsiTheme="minorHAnsi" w:cstheme="minorHAnsi"/>
        </w:rPr>
        <w:t>Lyskasse</w:t>
      </w:r>
      <w:r w:rsidRPr="00121CEC" w:rsidR="00DA3D68">
        <w:rPr>
          <w:rFonts w:asciiTheme="minorHAnsi" w:hAnsiTheme="minorHAnsi" w:cstheme="minorHAnsi"/>
        </w:rPr>
        <w:t>/overlys</w:t>
      </w:r>
      <w:r w:rsidRPr="00121CEC">
        <w:rPr>
          <w:rFonts w:asciiTheme="minorHAnsi" w:hAnsiTheme="minorHAnsi" w:cstheme="minorHAnsi"/>
        </w:rPr>
        <w:t xml:space="preserve"> NeoBlue</w:t>
      </w:r>
      <w:r w:rsidRPr="00121CEC" w:rsidR="00863DAF">
        <w:rPr>
          <w:rFonts w:asciiTheme="minorHAnsi" w:hAnsiTheme="minorHAnsi" w:cstheme="minorHAnsi"/>
        </w:rPr>
        <w:t>/Comen BL70 har høyest behandlingseffekt</w:t>
      </w:r>
      <w:r w:rsidRPr="00121CEC" w:rsidR="00DA3D68">
        <w:rPr>
          <w:rFonts w:asciiTheme="minorHAnsi" w:hAnsiTheme="minorHAnsi" w:cstheme="minorHAnsi"/>
        </w:rPr>
        <w:t xml:space="preserve">: </w:t>
      </w:r>
      <w:hyperlink r:id="rId7" w:tooltip="XDF11773" w:history="1">
        <w:r w:rsidRPr="00121CEC">
          <w:rPr>
            <w:rStyle w:val="Hyperlink"/>
          </w:rPr>
          <w:fldChar w:fldCharType="begin" w:fldLock="1"/>
        </w:r>
        <w:r w:rsidRPr="00121CEC">
          <w:rPr>
            <w:rStyle w:val="Hyperlink"/>
          </w:rPr>
          <w:instrText xml:space="preserve"> DOCPROPERTY XDT11773 *charformat * MERGEFORMAT </w:instrText>
        </w:r>
        <w:r w:rsidRPr="00121CEC">
          <w:rPr>
            <w:rStyle w:val="Hyperlink"/>
          </w:rPr>
          <w:fldChar w:fldCharType="separate"/>
        </w:r>
        <w:r w:rsidRPr="00121CEC">
          <w:rPr>
            <w:rStyle w:val="Hyperlink"/>
          </w:rPr>
          <w:t>Lysterapi Neo Blue - lang</w:t>
        </w:r>
        <w:r w:rsidRPr="00121CEC">
          <w:rPr>
            <w:rStyle w:val="Hyperlink"/>
          </w:rPr>
          <w:fldChar w:fldCharType="end"/>
        </w:r>
      </w:hyperlink>
      <w:r>
        <w:t xml:space="preserve"> </w:t>
      </w:r>
      <w:r w:rsidR="00C82C5F">
        <w:t>og</w:t>
      </w:r>
      <w:r>
        <w:t xml:space="preserve"> </w:t>
      </w:r>
      <w:hyperlink r:id="rId8" w:tooltip="XDF79501" w:history="1">
        <w:r w:rsidRPr="00121CEC">
          <w:rPr>
            <w:rStyle w:val="Hyperlink"/>
          </w:rPr>
          <w:fldChar w:fldCharType="begin" w:fldLock="1"/>
        </w:r>
        <w:r w:rsidRPr="00121CEC">
          <w:rPr>
            <w:rStyle w:val="Hyperlink"/>
          </w:rPr>
          <w:instrText xml:space="preserve"> DOCPROPERTY XDT79501 *charformat * MERGEFORMAT </w:instrText>
        </w:r>
        <w:r w:rsidRPr="00121CEC">
          <w:rPr>
            <w:rStyle w:val="Hyperlink"/>
          </w:rPr>
          <w:fldChar w:fldCharType="separate"/>
        </w:r>
        <w:r w:rsidRPr="00121CEC">
          <w:rPr>
            <w:rStyle w:val="Hyperlink"/>
          </w:rPr>
          <w:t>lyskasse Comen BL70</w:t>
        </w:r>
        <w:r w:rsidRPr="00121CEC">
          <w:rPr>
            <w:rStyle w:val="Hyperlink"/>
          </w:rPr>
          <w:fldChar w:fldCharType="end"/>
        </w:r>
      </w:hyperlink>
      <w:r w:rsidRPr="00121CEC">
        <w:t xml:space="preserve"> </w:t>
      </w:r>
      <w:r>
        <w:t xml:space="preserve">  </w:t>
      </w:r>
      <w:hyperlink r:id="rId9" w:tooltip="XDF79320" w:history="1">
        <w:r w:rsidRPr="00121CEC">
          <w:rPr>
            <w:rStyle w:val="Hyperlink"/>
          </w:rPr>
          <w:fldChar w:fldCharType="begin" w:fldLock="1"/>
        </w:r>
        <w:r w:rsidRPr="00121CEC">
          <w:rPr>
            <w:rStyle w:val="Hyperlink"/>
          </w:rPr>
          <w:instrText xml:space="preserve"> DOCPROPERTY XDT79320 *charformat * MERGEFORMAT </w:instrText>
        </w:r>
        <w:r w:rsidRPr="00121CEC">
          <w:rPr>
            <w:rStyle w:val="Hyperlink"/>
          </w:rPr>
          <w:fldChar w:fldCharType="separate"/>
        </w:r>
        <w:r w:rsidRPr="00121CEC">
          <w:rPr>
            <w:rStyle w:val="Hyperlink"/>
          </w:rPr>
          <w:t>Lysbehandling Comen BL70</w:t>
        </w:r>
        <w:r w:rsidRPr="00121CEC">
          <w:rPr>
            <w:rStyle w:val="Hyperlink"/>
          </w:rPr>
          <w:fldChar w:fldCharType="end"/>
        </w:r>
      </w:hyperlink>
      <w:r w:rsidRPr="00121CEC">
        <w:t xml:space="preserve"> </w:t>
      </w:r>
      <w:r>
        <w:t xml:space="preserve">  </w:t>
      </w:r>
      <w:r w:rsidRPr="00121CEC">
        <w:rPr>
          <w:rFonts w:asciiTheme="minorHAnsi" w:hAnsiTheme="minorHAnsi" w:cstheme="minorHAnsi"/>
        </w:rPr>
        <w:t>Anbefaling: BUK anbefaler overlys ved ekstremt premature og ellers ved skjønn</w:t>
      </w:r>
    </w:p>
    <w:p w:rsidR="00B7341E" w:rsidRPr="00863DAF" w:rsidP="00F12D7B" w14:paraId="1E2DFBA2" w14:textId="26926925">
      <w:pPr>
        <w:pStyle w:val="NormalWeb"/>
        <w:spacing w:after="0"/>
        <w:ind w:left="1080"/>
        <w:rPr>
          <w:rFonts w:asciiTheme="minorHAnsi" w:hAnsiTheme="minorHAnsi" w:cstheme="minorHAnsi"/>
        </w:rPr>
      </w:pPr>
      <w:r w:rsidRPr="00C82C5F">
        <w:t xml:space="preserve"> </w:t>
      </w:r>
    </w:p>
    <w:p w:rsidR="00DA3D68" w:rsidP="00B7341E" w14:paraId="082A8953" w14:textId="74DEC445">
      <w:pPr>
        <w:pStyle w:val="NormalWeb"/>
        <w:numPr>
          <w:ilvl w:val="0"/>
          <w:numId w:val="15"/>
        </w:numPr>
        <w:spacing w:after="0"/>
        <w:rPr>
          <w:rFonts w:asciiTheme="minorHAnsi" w:hAnsiTheme="minorHAnsi" w:cstheme="minorHAnsi"/>
        </w:rPr>
      </w:pPr>
      <w:r w:rsidRPr="00DA3D68">
        <w:rPr>
          <w:rFonts w:asciiTheme="minorHAnsi" w:hAnsiTheme="minorHAnsi" w:cstheme="minorHAnsi"/>
        </w:rPr>
        <w:t xml:space="preserve">Lysmatte Bilisoft </w:t>
      </w:r>
      <w:r w:rsidRPr="00DA3D68" w:rsidR="00863DAF">
        <w:rPr>
          <w:rFonts w:asciiTheme="minorHAnsi" w:hAnsiTheme="minorHAnsi" w:cstheme="minorHAnsi"/>
        </w:rPr>
        <w:t>tilfredsstiller også europeiske krav til behandlingseffekt, men har noe lavere behandlingseffekt</w:t>
      </w:r>
      <w:r w:rsidR="00F12D7B">
        <w:rPr>
          <w:rFonts w:asciiTheme="minorHAnsi" w:hAnsiTheme="minorHAnsi" w:cstheme="minorHAnsi"/>
        </w:rPr>
        <w:t xml:space="preserve"> </w:t>
      </w:r>
      <w:hyperlink r:id="rId10" w:tooltip="XDF78117" w:history="1">
        <w:r w:rsidRPr="00DA3D68">
          <w:rPr>
            <w:rStyle w:val="Hyperlink"/>
            <w:rFonts w:cstheme="minorHAnsi"/>
          </w:rPr>
          <w:fldChar w:fldCharType="begin" w:fldLock="1"/>
        </w:r>
        <w:r w:rsidRPr="00DA3D68">
          <w:rPr>
            <w:rStyle w:val="Hyperlink"/>
            <w:rFonts w:cstheme="minorHAnsi"/>
          </w:rPr>
          <w:instrText xml:space="preserve"> DOCPROPERTY XDT78117 *charformat * MERGEFORMAT </w:instrText>
        </w:r>
        <w:r w:rsidRPr="00DA3D68">
          <w:rPr>
            <w:rStyle w:val="Hyperlink"/>
            <w:rFonts w:cstheme="minorHAnsi"/>
          </w:rPr>
          <w:fldChar w:fldCharType="separate"/>
        </w:r>
        <w:r w:rsidRPr="00DA3D68">
          <w:rPr>
            <w:rStyle w:val="Hyperlink"/>
            <w:rFonts w:cstheme="minorHAnsi"/>
          </w:rPr>
          <w:t>Lysmatte Bilisoft 2.0</w:t>
        </w:r>
        <w:r w:rsidRPr="00DA3D68">
          <w:rPr>
            <w:rStyle w:val="Hyperlink"/>
            <w:rFonts w:cstheme="minorHAnsi"/>
          </w:rPr>
          <w:fldChar w:fldCharType="end"/>
        </w:r>
      </w:hyperlink>
      <w:r w:rsidRPr="00DA3D68">
        <w:rPr>
          <w:rFonts w:asciiTheme="minorHAnsi" w:hAnsiTheme="minorHAnsi" w:cstheme="minorHAnsi"/>
        </w:rPr>
        <w:t xml:space="preserve">. </w:t>
      </w:r>
      <w:r w:rsidR="00F12D7B">
        <w:rPr>
          <w:rFonts w:asciiTheme="minorHAnsi" w:hAnsiTheme="minorHAnsi" w:cstheme="minorHAnsi"/>
        </w:rPr>
        <w:t>ift. våre overlys</w:t>
      </w:r>
    </w:p>
    <w:p w:rsidR="00F12D7B" w:rsidP="00DA3D68" w14:paraId="69BDA112" w14:textId="77777777">
      <w:pPr>
        <w:pStyle w:val="NormalWeb"/>
        <w:spacing w:after="0"/>
        <w:ind w:left="720"/>
        <w:rPr>
          <w:rFonts w:asciiTheme="minorHAnsi" w:hAnsiTheme="minorHAnsi" w:cstheme="minorHAnsi"/>
        </w:rPr>
      </w:pPr>
      <w:r w:rsidRPr="00DA3D68">
        <w:rPr>
          <w:rFonts w:asciiTheme="minorHAnsi" w:hAnsiTheme="minorHAnsi" w:cstheme="minorHAnsi"/>
        </w:rPr>
        <w:t xml:space="preserve">Denne kan benyttes som eneste </w:t>
      </w:r>
      <w:r w:rsidR="006C00F1">
        <w:rPr>
          <w:rFonts w:asciiTheme="minorHAnsi" w:hAnsiTheme="minorHAnsi" w:cstheme="minorHAnsi"/>
        </w:rPr>
        <w:t>lys</w:t>
      </w:r>
      <w:r w:rsidRPr="00DA3D68">
        <w:rPr>
          <w:rFonts w:asciiTheme="minorHAnsi" w:hAnsiTheme="minorHAnsi" w:cstheme="minorHAnsi"/>
        </w:rPr>
        <w:t>kilde eller i kombinasjon</w:t>
      </w:r>
      <w:r>
        <w:rPr>
          <w:rFonts w:asciiTheme="minorHAnsi" w:hAnsiTheme="minorHAnsi" w:cstheme="minorHAnsi"/>
        </w:rPr>
        <w:t xml:space="preserve"> med overlys. </w:t>
      </w:r>
    </w:p>
    <w:p w:rsidR="00F12D7B" w:rsidP="00F12D7B" w14:paraId="49FCF4E7" w14:textId="77777777">
      <w:pPr>
        <w:pStyle w:val="NormalWeb"/>
        <w:numPr>
          <w:ilvl w:val="0"/>
          <w:numId w:val="22"/>
        </w:numPr>
        <w:spacing w:after="0"/>
        <w:rPr>
          <w:rFonts w:asciiTheme="minorHAnsi" w:hAnsiTheme="minorHAnsi" w:cstheme="minorHAnsi"/>
        </w:rPr>
      </w:pPr>
      <w:r w:rsidRPr="00F12D7B">
        <w:rPr>
          <w:rFonts w:asciiTheme="minorHAnsi" w:hAnsiTheme="minorHAnsi" w:cstheme="minorHAnsi"/>
        </w:rPr>
        <w:t xml:space="preserve">Anbefaling: </w:t>
      </w:r>
      <w:r w:rsidRPr="00F12D7B" w:rsidR="00C557E1">
        <w:rPr>
          <w:rFonts w:asciiTheme="minorHAnsi" w:hAnsiTheme="minorHAnsi" w:cstheme="minorHAnsi"/>
        </w:rPr>
        <w:t xml:space="preserve">Lysmatte kan benyttes </w:t>
      </w:r>
      <w:r w:rsidRPr="00F12D7B" w:rsidR="00A865FC">
        <w:rPr>
          <w:rFonts w:asciiTheme="minorHAnsi" w:hAnsiTheme="minorHAnsi" w:cstheme="minorHAnsi"/>
        </w:rPr>
        <w:t xml:space="preserve">til premature </w:t>
      </w:r>
      <w:r w:rsidRPr="00F12D7B" w:rsidR="00C82C5F">
        <w:rPr>
          <w:rFonts w:asciiTheme="minorHAnsi" w:hAnsiTheme="minorHAnsi" w:cstheme="minorHAnsi"/>
        </w:rPr>
        <w:t>i seng eller</w:t>
      </w:r>
      <w:r w:rsidRPr="00F12D7B" w:rsidR="00A865FC">
        <w:rPr>
          <w:rFonts w:asciiTheme="minorHAnsi" w:hAnsiTheme="minorHAnsi" w:cstheme="minorHAnsi"/>
        </w:rPr>
        <w:t xml:space="preserve"> </w:t>
      </w:r>
      <w:r w:rsidRPr="00F12D7B" w:rsidR="00C557E1">
        <w:rPr>
          <w:rFonts w:asciiTheme="minorHAnsi" w:hAnsiTheme="minorHAnsi" w:cstheme="minorHAnsi"/>
        </w:rPr>
        <w:t xml:space="preserve">når barnet er i </w:t>
      </w:r>
      <w:r w:rsidRPr="00F12D7B" w:rsidR="00E57CE9">
        <w:rPr>
          <w:rFonts w:asciiTheme="minorHAnsi" w:hAnsiTheme="minorHAnsi" w:cstheme="minorHAnsi"/>
        </w:rPr>
        <w:t>kenguru</w:t>
      </w:r>
      <w:r w:rsidRPr="00F12D7B" w:rsidR="00A865FC">
        <w:rPr>
          <w:rFonts w:asciiTheme="minorHAnsi" w:hAnsiTheme="minorHAnsi" w:cstheme="minorHAnsi"/>
        </w:rPr>
        <w:t xml:space="preserve">, hele tiden ved urolig barn og dersom verdier tillater det. </w:t>
      </w:r>
      <w:r w:rsidRPr="00F12D7B" w:rsidR="00C82C5F">
        <w:rPr>
          <w:rFonts w:asciiTheme="minorHAnsi" w:hAnsiTheme="minorHAnsi" w:cstheme="minorHAnsi"/>
        </w:rPr>
        <w:t xml:space="preserve">Ingen absolutte nedre vektgrense, bruk skjønn. </w:t>
      </w:r>
      <w:r w:rsidRPr="00F12D7B">
        <w:rPr>
          <w:rFonts w:asciiTheme="minorHAnsi" w:hAnsiTheme="minorHAnsi" w:cstheme="minorHAnsi"/>
        </w:rPr>
        <w:t xml:space="preserve"> </w:t>
      </w:r>
    </w:p>
    <w:p w:rsidR="00F12D7B" w:rsidP="00F12D7B" w14:paraId="7C1C8A0F" w14:textId="77777777">
      <w:pPr>
        <w:pStyle w:val="NormalWeb"/>
        <w:numPr>
          <w:ilvl w:val="0"/>
          <w:numId w:val="22"/>
        </w:numPr>
        <w:spacing w:after="0"/>
        <w:rPr>
          <w:rFonts w:asciiTheme="minorHAnsi" w:hAnsiTheme="minorHAnsi" w:cstheme="minorHAnsi"/>
        </w:rPr>
      </w:pPr>
      <w:r w:rsidRPr="00F12D7B">
        <w:rPr>
          <w:rFonts w:asciiTheme="minorHAnsi" w:hAnsiTheme="minorHAnsi" w:cstheme="minorHAnsi"/>
        </w:rPr>
        <w:t>Bruk av lysmatte alene er kontraindisert ved bilirubinverdier i nærheten av utskiftingsgrensen. Konferer med lege.</w:t>
      </w:r>
    </w:p>
    <w:p w:rsidR="00F12D7B" w:rsidRPr="00F12D7B" w:rsidP="00F12D7B" w14:paraId="33644368" w14:textId="422EBE05">
      <w:pPr>
        <w:pStyle w:val="NormalWeb"/>
        <w:numPr>
          <w:ilvl w:val="0"/>
          <w:numId w:val="22"/>
        </w:numPr>
        <w:spacing w:after="0"/>
        <w:rPr>
          <w:rFonts w:asciiTheme="minorHAnsi" w:hAnsiTheme="minorHAnsi" w:cstheme="minorHAnsi"/>
        </w:rPr>
      </w:pPr>
      <w:r w:rsidRPr="00F12D7B">
        <w:rPr>
          <w:rFonts w:asciiTheme="minorHAnsi" w:hAnsiTheme="minorHAnsi" w:cstheme="minorHAnsi"/>
        </w:rPr>
        <w:t>Nasjonal anbefaling sier at lysmatte bør være førstevalget, men her må det utvises skjønn</w:t>
      </w:r>
      <w:r>
        <w:rPr>
          <w:rFonts w:asciiTheme="minorHAnsi" w:hAnsiTheme="minorHAnsi" w:cstheme="minorHAnsi"/>
        </w:rPr>
        <w:t xml:space="preserve"> mtp. pasient og tilgjengelig utstyr</w:t>
      </w:r>
    </w:p>
    <w:p w:rsidR="0054713E" w:rsidP="00DA3D68" w14:paraId="79453160" w14:textId="77777777">
      <w:pPr>
        <w:pStyle w:val="NormalWeb"/>
        <w:spacing w:after="0"/>
        <w:ind w:left="720"/>
        <w:rPr>
          <w:rFonts w:asciiTheme="minorHAnsi" w:hAnsiTheme="minorHAnsi" w:cstheme="minorHAnsi"/>
        </w:rPr>
      </w:pPr>
    </w:p>
    <w:p w:rsidR="0054713E" w:rsidP="0054713E" w14:paraId="5F18ADBD" w14:textId="77777777">
      <w:pPr>
        <w:pStyle w:val="NormalWeb"/>
        <w:spacing w:after="0"/>
        <w:rPr>
          <w:rFonts w:asciiTheme="minorHAnsi" w:hAnsiTheme="minorHAnsi" w:cstheme="minorHAnsi"/>
        </w:rPr>
      </w:pPr>
      <w:r w:rsidRPr="0054713E">
        <w:rPr>
          <w:rFonts w:asciiTheme="minorHAnsi" w:hAnsiTheme="minorHAnsi" w:cstheme="minorHAnsi"/>
          <w:i/>
          <w:iCs/>
        </w:rPr>
        <w:t>Behov for dobbelt lys:</w:t>
      </w:r>
      <w:r>
        <w:rPr>
          <w:rFonts w:asciiTheme="minorHAnsi" w:hAnsiTheme="minorHAnsi" w:cstheme="minorHAnsi"/>
        </w:rPr>
        <w:t xml:space="preserve"> </w:t>
      </w:r>
    </w:p>
    <w:p w:rsidR="006C00F1" w:rsidP="0054713E" w14:paraId="2D19BBDE" w14:textId="542ABB63">
      <w:pPr>
        <w:pStyle w:val="NormalWeb"/>
        <w:spacing w:after="0"/>
        <w:rPr>
          <w:rFonts w:asciiTheme="minorHAnsi" w:hAnsiTheme="minorHAnsi" w:cstheme="minorHAnsi"/>
        </w:rPr>
      </w:pPr>
      <w:r>
        <w:rPr>
          <w:rFonts w:asciiTheme="minorHAnsi" w:hAnsiTheme="minorHAnsi" w:cstheme="minorHAnsi"/>
        </w:rPr>
        <w:t>B</w:t>
      </w:r>
      <w:r w:rsidR="00C557E1">
        <w:rPr>
          <w:rFonts w:asciiTheme="minorHAnsi" w:hAnsiTheme="minorHAnsi" w:cstheme="minorHAnsi"/>
        </w:rPr>
        <w:t xml:space="preserve">enytt overlys i kombinasjon med lysmatte ved </w:t>
      </w:r>
      <w:r w:rsidRPr="00DA3D68" w:rsidR="00E57CE9">
        <w:rPr>
          <w:rFonts w:asciiTheme="minorHAnsi" w:hAnsiTheme="minorHAnsi" w:cstheme="minorHAnsi"/>
        </w:rPr>
        <w:t>svært høye verdier</w:t>
      </w:r>
      <w:r w:rsidR="00C557E1">
        <w:rPr>
          <w:rFonts w:asciiTheme="minorHAnsi" w:hAnsiTheme="minorHAnsi" w:cstheme="minorHAnsi"/>
        </w:rPr>
        <w:t>, lege ordinerer</w:t>
      </w:r>
      <w:r w:rsidRPr="00DA3D68" w:rsidR="00E57CE9">
        <w:rPr>
          <w:rFonts w:asciiTheme="minorHAnsi" w:hAnsiTheme="minorHAnsi" w:cstheme="minorHAnsi"/>
        </w:rPr>
        <w:t xml:space="preserve">. </w:t>
      </w:r>
    </w:p>
    <w:p w:rsidR="00B7341E" w:rsidP="00B7341E" w14:paraId="1E2DFBA4" w14:textId="77777777">
      <w:pPr>
        <w:pStyle w:val="NormalWeb"/>
        <w:spacing w:after="0"/>
        <w:rPr>
          <w:rFonts w:asciiTheme="minorHAnsi" w:hAnsiTheme="minorHAnsi" w:cstheme="minorHAnsi"/>
          <w:color w:val="333333"/>
          <w:sz w:val="22"/>
          <w:szCs w:val="22"/>
        </w:rPr>
      </w:pPr>
    </w:p>
    <w:p w:rsidR="00BF435B" w:rsidRPr="00B0162B" w:rsidP="00BF435B" w14:paraId="1E2DFBA5" w14:textId="77777777">
      <w:pPr>
        <w:pStyle w:val="Heading2"/>
      </w:pPr>
      <w:bookmarkStart w:id="10" w:name="_Toc256000008"/>
      <w:r w:rsidRPr="00B0162B">
        <w:t>Praktisk gjennomføring:</w:t>
      </w:r>
      <w:bookmarkEnd w:id="10"/>
    </w:p>
    <w:p w:rsidR="00FD5993" w:rsidP="00E86AE9" w14:paraId="1E2DFBA6" w14:textId="77777777"/>
    <w:p w:rsidR="00BF435B" w:rsidRPr="00E66CED" w:rsidP="00E86AE9" w14:paraId="1E2DFBA7" w14:textId="50534F2E">
      <w:r>
        <w:t xml:space="preserve">Pleiepersonell </w:t>
      </w:r>
      <w:r w:rsidRPr="00E66CED">
        <w:t xml:space="preserve">har ansvar for utfyller av </w:t>
      </w:r>
      <w:r w:rsidR="00F12D7B">
        <w:t>lysbehandlings</w:t>
      </w:r>
      <w:r w:rsidRPr="00E66CED">
        <w:t>skjema</w:t>
      </w:r>
    </w:p>
    <w:p w:rsidR="00BF435B" w:rsidRPr="00D173D3" w:rsidP="00BF435B" w14:paraId="1E2DFBA8" w14:textId="77777777">
      <w:pPr>
        <w:pStyle w:val="ListParagraph"/>
        <w:numPr>
          <w:ilvl w:val="0"/>
          <w:numId w:val="16"/>
        </w:numPr>
        <w:rPr>
          <w:szCs w:val="24"/>
        </w:rPr>
      </w:pPr>
      <w:r w:rsidRPr="00D173D3">
        <w:rPr>
          <w:szCs w:val="24"/>
        </w:rPr>
        <w:t xml:space="preserve">GA og fødselsdato og klokkeslett. </w:t>
      </w:r>
    </w:p>
    <w:p w:rsidR="00BF435B" w:rsidRPr="00D173D3" w:rsidP="00BF435B" w14:paraId="1E2DFBA9" w14:textId="77777777">
      <w:pPr>
        <w:pStyle w:val="ListParagraph"/>
        <w:numPr>
          <w:ilvl w:val="0"/>
          <w:numId w:val="16"/>
        </w:numPr>
        <w:rPr>
          <w:szCs w:val="24"/>
        </w:rPr>
      </w:pPr>
      <w:r w:rsidRPr="00D173D3">
        <w:rPr>
          <w:szCs w:val="24"/>
        </w:rPr>
        <w:t>Foreligger barnets blodtype og DAT, føres dette også på. Skjema starter på dag 0.</w:t>
      </w:r>
    </w:p>
    <w:p w:rsidR="00BF435B" w:rsidRPr="00D173D3" w:rsidP="00BF435B" w14:paraId="1E2DFBAA" w14:textId="77777777">
      <w:pPr>
        <w:pStyle w:val="ListParagraph"/>
        <w:numPr>
          <w:ilvl w:val="0"/>
          <w:numId w:val="16"/>
        </w:numPr>
        <w:rPr>
          <w:color w:val="333333"/>
          <w:szCs w:val="24"/>
        </w:rPr>
      </w:pPr>
      <w:r w:rsidRPr="00D173D3">
        <w:rPr>
          <w:color w:val="333333"/>
          <w:szCs w:val="24"/>
        </w:rPr>
        <w:t xml:space="preserve">Noterer Start- og stopptidspunktet samt blodverdier. </w:t>
      </w:r>
    </w:p>
    <w:p w:rsidR="00BF435B" w:rsidRPr="00D173D3" w:rsidP="00BF435B" w14:paraId="1E2DFBAB" w14:textId="77777777">
      <w:pPr>
        <w:pStyle w:val="ListParagraph"/>
        <w:numPr>
          <w:ilvl w:val="0"/>
          <w:numId w:val="16"/>
        </w:numPr>
        <w:rPr>
          <w:color w:val="333333"/>
          <w:szCs w:val="24"/>
        </w:rPr>
      </w:pPr>
      <w:r w:rsidRPr="00D173D3">
        <w:rPr>
          <w:color w:val="333333"/>
          <w:szCs w:val="24"/>
        </w:rPr>
        <w:t>Lege ordinerer blodprøver</w:t>
      </w:r>
    </w:p>
    <w:p w:rsidR="00B7341E" w:rsidP="00B7341E" w14:paraId="1E2DFBAC" w14:textId="77777777">
      <w:pPr>
        <w:rPr>
          <w:rFonts w:cstheme="minorHAnsi"/>
          <w:szCs w:val="22"/>
        </w:rPr>
      </w:pPr>
    </w:p>
    <w:p w:rsidR="00B7341E" w:rsidRPr="00C33D9C" w:rsidP="00B7341E" w14:paraId="1E2DFBAD" w14:textId="77777777">
      <w:pPr>
        <w:pStyle w:val="NormalWeb"/>
        <w:shd w:val="clear" w:color="auto" w:fill="DBE5F1"/>
        <w:spacing w:after="0"/>
        <w:ind w:left="360"/>
        <w:rPr>
          <w:rFonts w:asciiTheme="minorHAnsi" w:hAnsiTheme="minorHAnsi" w:cstheme="minorHAnsi"/>
          <w:color w:val="333333"/>
          <w:sz w:val="22"/>
          <w:szCs w:val="22"/>
        </w:rPr>
      </w:pPr>
      <w:r w:rsidRPr="00C33D9C">
        <w:rPr>
          <w:rFonts w:asciiTheme="minorHAnsi" w:hAnsiTheme="minorHAnsi" w:cstheme="minorHAnsi"/>
          <w:b/>
          <w:bCs/>
          <w:i/>
          <w:iCs/>
          <w:color w:val="FF0000"/>
          <w:sz w:val="22"/>
          <w:szCs w:val="22"/>
        </w:rPr>
        <w:t>Forsiktighet: </w:t>
      </w:r>
      <w:r w:rsidRPr="00C56405">
        <w:rPr>
          <w:rFonts w:asciiTheme="minorHAnsi" w:hAnsiTheme="minorHAnsi" w:cstheme="minorHAnsi"/>
          <w:bCs/>
          <w:iCs/>
          <w:sz w:val="22"/>
          <w:szCs w:val="22"/>
        </w:rPr>
        <w:t>Bruk</w:t>
      </w:r>
      <w:r>
        <w:rPr>
          <w:rFonts w:asciiTheme="minorHAnsi" w:hAnsiTheme="minorHAnsi" w:cstheme="minorHAnsi"/>
          <w:b/>
          <w:bCs/>
          <w:i/>
          <w:iCs/>
          <w:color w:val="FF0000"/>
          <w:sz w:val="22"/>
          <w:szCs w:val="22"/>
        </w:rPr>
        <w:t xml:space="preserve"> </w:t>
      </w:r>
      <w:r w:rsidRPr="00B0162B">
        <w:rPr>
          <w:rFonts w:asciiTheme="minorHAnsi" w:hAnsiTheme="minorHAnsi" w:cstheme="minorHAnsi"/>
          <w:szCs w:val="22"/>
        </w:rPr>
        <w:t xml:space="preserve">lysbriller spesialprodusert for dette formålet for å beskytte barnets øyne/netthinne (ikke kun svart filt). Påse at </w:t>
      </w:r>
      <w:r w:rsidRPr="00B0162B">
        <w:rPr>
          <w:rFonts w:asciiTheme="minorHAnsi" w:hAnsiTheme="minorHAnsi" w:cstheme="minorHAnsi"/>
          <w:szCs w:val="22"/>
        </w:rPr>
        <w:t>brillene ikke sitter for stramt.</w:t>
      </w:r>
    </w:p>
    <w:p w:rsidR="00B7341E" w:rsidP="00B7341E" w14:paraId="1E2DFBAE" w14:textId="77777777">
      <w:pPr>
        <w:pStyle w:val="ListParagraph"/>
        <w:numPr>
          <w:ilvl w:val="0"/>
          <w:numId w:val="15"/>
        </w:numPr>
      </w:pPr>
      <w:r w:rsidRPr="00C56405">
        <w:rPr>
          <w:rFonts w:cstheme="minorHAnsi"/>
          <w:szCs w:val="22"/>
        </w:rPr>
        <w:t>Slå av lyset før brillene tas av og sjekk øynene ved hvert stell/måltid</w:t>
      </w:r>
      <w:r>
        <w:rPr>
          <w:rFonts w:cstheme="minorHAnsi"/>
          <w:szCs w:val="22"/>
        </w:rPr>
        <w:t>.</w:t>
      </w:r>
    </w:p>
    <w:p w:rsidR="00EF2116" w:rsidP="00B7341E" w14:paraId="3B88AE49" w14:textId="77777777">
      <w:pPr>
        <w:numPr>
          <w:ilvl w:val="0"/>
          <w:numId w:val="15"/>
        </w:numPr>
        <w:rPr>
          <w:rFonts w:cstheme="minorHAnsi"/>
          <w:szCs w:val="22"/>
        </w:rPr>
      </w:pPr>
      <w:r w:rsidRPr="00B0162B">
        <w:rPr>
          <w:rFonts w:cstheme="minorHAnsi"/>
          <w:szCs w:val="22"/>
        </w:rPr>
        <w:t>Barnet skal ligge uten klær</w:t>
      </w:r>
      <w:r>
        <w:rPr>
          <w:rFonts w:cstheme="minorHAnsi"/>
          <w:szCs w:val="22"/>
        </w:rPr>
        <w:t xml:space="preserve"> med minst mulig bleiestørrelse</w:t>
      </w:r>
    </w:p>
    <w:p w:rsidR="00B7341E" w:rsidRPr="00EF2116" w:rsidP="00EF2116" w14:paraId="1E2DFBAF" w14:textId="1BBC4B00">
      <w:pPr>
        <w:numPr>
          <w:ilvl w:val="0"/>
          <w:numId w:val="15"/>
        </w:numPr>
        <w:rPr>
          <w:rFonts w:cstheme="minorHAnsi"/>
          <w:szCs w:val="22"/>
        </w:rPr>
      </w:pPr>
      <w:r w:rsidRPr="00EF2116">
        <w:rPr>
          <w:rFonts w:cstheme="minorHAnsi"/>
          <w:szCs w:val="22"/>
        </w:rPr>
        <w:t>Bruk tekstiler til å støtte og samle barnet (reiring)</w:t>
      </w:r>
      <w:r w:rsidRPr="00EF2116" w:rsidR="006C00F1">
        <w:rPr>
          <w:rFonts w:cstheme="minorHAnsi"/>
          <w:szCs w:val="22"/>
        </w:rPr>
        <w:t xml:space="preserve">, men påse at mest mulig </w:t>
      </w:r>
      <w:r w:rsidRPr="00EF2116" w:rsidR="0043131A">
        <w:rPr>
          <w:rFonts w:cstheme="minorHAnsi"/>
          <w:szCs w:val="22"/>
        </w:rPr>
        <w:t xml:space="preserve">hud er eksponert </w:t>
      </w:r>
      <w:r w:rsidRPr="00EF2116" w:rsidR="006C00F1">
        <w:rPr>
          <w:rFonts w:cstheme="minorHAnsi"/>
          <w:szCs w:val="22"/>
        </w:rPr>
        <w:t xml:space="preserve">for lys. </w:t>
      </w:r>
      <w:r w:rsidR="00D74DEA">
        <w:rPr>
          <w:rFonts w:cstheme="minorHAnsi"/>
          <w:szCs w:val="22"/>
        </w:rPr>
        <w:t xml:space="preserve">Ikke anbefalt å benytte Bilisoft sin overtrekksmatte for reiving hvor snorene ligger over barnet ved bruk av NeoBlue/Comen BL 70. Overlysets </w:t>
      </w:r>
      <w:r w:rsidR="00D74DEA">
        <w:rPr>
          <w:rFonts w:cstheme="minorHAnsi"/>
          <w:szCs w:val="22"/>
        </w:rPr>
        <w:t>behandlingseffekt vil da reduseres. Effekt av overlyset er beregnet ift. avstand og utildekket hud. Trekket er spesialprodusert til Bilisoft lysmatte.</w:t>
      </w:r>
    </w:p>
    <w:p w:rsidR="00DB2712" w:rsidP="00B7341E" w14:paraId="01F5A46F" w14:textId="77777777">
      <w:pPr>
        <w:numPr>
          <w:ilvl w:val="0"/>
          <w:numId w:val="15"/>
        </w:numPr>
        <w:rPr>
          <w:rFonts w:cstheme="minorHAnsi"/>
          <w:szCs w:val="22"/>
        </w:rPr>
      </w:pPr>
      <w:r>
        <w:rPr>
          <w:rFonts w:cstheme="minorHAnsi"/>
          <w:szCs w:val="22"/>
        </w:rPr>
        <w:t>Fest tøy rundt lyskassen</w:t>
      </w:r>
      <w:r w:rsidR="00EF2116">
        <w:rPr>
          <w:rFonts w:cstheme="minorHAnsi"/>
          <w:szCs w:val="22"/>
        </w:rPr>
        <w:t xml:space="preserve"> for å skjerme barnet og bevare temperatur/redusere risiko for hypotermi samt skjerme omgivelsene for det sterke blåe lyset. Men </w:t>
      </w:r>
      <w:r>
        <w:rPr>
          <w:rFonts w:cstheme="minorHAnsi"/>
          <w:szCs w:val="22"/>
        </w:rPr>
        <w:t>IKKE dekk til viften på NeoBlue</w:t>
      </w:r>
      <w:r w:rsidR="00EF2116">
        <w:rPr>
          <w:rFonts w:cstheme="minorHAnsi"/>
          <w:szCs w:val="22"/>
        </w:rPr>
        <w:t>/Comen BL70.</w:t>
      </w:r>
    </w:p>
    <w:p w:rsidR="00B7341E" w:rsidRPr="00DB2712" w:rsidP="00DB2712" w14:paraId="1E2DFBB0" w14:textId="2A264F40">
      <w:pPr>
        <w:numPr>
          <w:ilvl w:val="0"/>
          <w:numId w:val="15"/>
        </w:numPr>
        <w:rPr>
          <w:rFonts w:cstheme="minorHAnsi"/>
          <w:szCs w:val="22"/>
        </w:rPr>
      </w:pPr>
      <w:r w:rsidRPr="00EF2116">
        <w:rPr>
          <w:rFonts w:cstheme="minorHAnsi"/>
          <w:szCs w:val="22"/>
        </w:rPr>
        <w:t xml:space="preserve">Ved svært høye bilirubinverdier (TSB &gt; 450–500 μmol/L) ± nevrologiske symptomer på akutt bilirubinencefalopati anbefales bruk av reflekterende flater </w:t>
      </w:r>
      <w:r>
        <w:rPr>
          <w:rFonts w:cstheme="minorHAnsi"/>
          <w:szCs w:val="22"/>
        </w:rPr>
        <w:t xml:space="preserve">som </w:t>
      </w:r>
      <w:r w:rsidRPr="00EF2116">
        <w:rPr>
          <w:rFonts w:cstheme="minorHAnsi"/>
          <w:szCs w:val="22"/>
        </w:rPr>
        <w:t>hvitt laken innvendig rundt sengen og hvitt forheng rundt lyskassen</w:t>
      </w:r>
      <w:r>
        <w:rPr>
          <w:rFonts w:cstheme="minorHAnsi"/>
          <w:szCs w:val="22"/>
        </w:rPr>
        <w:t xml:space="preserve"> (heller Ikke feil å bruke hvitt tøy ved lavere verdier).</w:t>
      </w:r>
      <w:r w:rsidRPr="00DB2712" w:rsidR="00EF2116">
        <w:rPr>
          <w:rFonts w:cstheme="minorHAnsi"/>
          <w:szCs w:val="22"/>
        </w:rPr>
        <w:t xml:space="preserve"> </w:t>
      </w:r>
      <w:r w:rsidRPr="00DB2712" w:rsidR="0043131A">
        <w:rPr>
          <w:rFonts w:cstheme="minorHAnsi"/>
          <w:szCs w:val="22"/>
        </w:rPr>
        <w:t xml:space="preserve"> </w:t>
      </w:r>
    </w:p>
    <w:p w:rsidR="00B7341E" w:rsidRPr="00B0162B" w:rsidP="00B7341E" w14:paraId="1E2DFBB1" w14:textId="0CC965E6">
      <w:pPr>
        <w:numPr>
          <w:ilvl w:val="0"/>
          <w:numId w:val="15"/>
        </w:numPr>
        <w:rPr>
          <w:rFonts w:cstheme="minorHAnsi"/>
          <w:szCs w:val="22"/>
        </w:rPr>
      </w:pPr>
      <w:r>
        <w:rPr>
          <w:rFonts w:cstheme="minorHAnsi"/>
          <w:szCs w:val="22"/>
        </w:rPr>
        <w:t>Ved Cpap behandling: dersom mulig bruk hodegrime</w:t>
      </w:r>
      <w:r w:rsidR="00B17B4B">
        <w:rPr>
          <w:rFonts w:cstheme="minorHAnsi"/>
          <w:szCs w:val="22"/>
        </w:rPr>
        <w:t xml:space="preserve"> framfor</w:t>
      </w:r>
      <w:r>
        <w:rPr>
          <w:rFonts w:cstheme="minorHAnsi"/>
          <w:szCs w:val="22"/>
        </w:rPr>
        <w:t xml:space="preserve"> lue.</w:t>
      </w:r>
    </w:p>
    <w:p w:rsidR="00E30ACC" w:rsidP="00B7341E" w14:paraId="0250AA38" w14:textId="6C7EA437">
      <w:pPr>
        <w:numPr>
          <w:ilvl w:val="0"/>
          <w:numId w:val="15"/>
        </w:numPr>
        <w:rPr>
          <w:rFonts w:cstheme="minorHAnsi"/>
          <w:szCs w:val="22"/>
        </w:rPr>
      </w:pPr>
      <w:r>
        <w:rPr>
          <w:rFonts w:cstheme="minorHAnsi"/>
          <w:szCs w:val="22"/>
        </w:rPr>
        <w:t>Avstand fra lys</w:t>
      </w:r>
      <w:r w:rsidR="00267446">
        <w:rPr>
          <w:rFonts w:cstheme="minorHAnsi"/>
          <w:szCs w:val="22"/>
        </w:rPr>
        <w:t>behandlingsutstyret</w:t>
      </w:r>
      <w:r>
        <w:rPr>
          <w:rFonts w:cstheme="minorHAnsi"/>
          <w:szCs w:val="22"/>
        </w:rPr>
        <w:t xml:space="preserve"> til barnet</w:t>
      </w:r>
      <w:r w:rsidR="00267446">
        <w:rPr>
          <w:rFonts w:cstheme="minorHAnsi"/>
          <w:szCs w:val="22"/>
        </w:rPr>
        <w:t>; lysbehandlingsutstyret er kalibrert til å gi anbefalt effekt ut fra følgende avstander</w:t>
      </w:r>
      <w:r>
        <w:rPr>
          <w:rFonts w:cstheme="minorHAnsi"/>
          <w:szCs w:val="22"/>
        </w:rPr>
        <w:t xml:space="preserve">: </w:t>
      </w:r>
    </w:p>
    <w:p w:rsidR="00B7341E" w:rsidP="00E30ACC" w14:paraId="1E2DFBB2" w14:textId="733438C7">
      <w:pPr>
        <w:numPr>
          <w:ilvl w:val="1"/>
          <w:numId w:val="15"/>
        </w:numPr>
        <w:rPr>
          <w:rFonts w:cstheme="minorHAnsi"/>
          <w:szCs w:val="22"/>
        </w:rPr>
      </w:pPr>
      <w:r w:rsidRPr="00F20434">
        <w:rPr>
          <w:rFonts w:cstheme="minorHAnsi"/>
          <w:szCs w:val="22"/>
        </w:rPr>
        <w:t xml:space="preserve">NeoBlue: </w:t>
      </w:r>
      <w:r w:rsidRPr="00F20434" w:rsidR="00E57CE9">
        <w:rPr>
          <w:rFonts w:cstheme="minorHAnsi"/>
          <w:szCs w:val="22"/>
        </w:rPr>
        <w:t>20</w:t>
      </w:r>
      <w:r w:rsidRPr="00F20434">
        <w:rPr>
          <w:rFonts w:cstheme="minorHAnsi"/>
          <w:szCs w:val="22"/>
        </w:rPr>
        <w:t>-30</w:t>
      </w:r>
      <w:r w:rsidRPr="00F20434" w:rsidR="00E57CE9">
        <w:rPr>
          <w:rFonts w:cstheme="minorHAnsi"/>
          <w:szCs w:val="22"/>
        </w:rPr>
        <w:t xml:space="preserve"> cm</w:t>
      </w:r>
      <w:r w:rsidRPr="00B0162B" w:rsidR="00E57CE9">
        <w:rPr>
          <w:rFonts w:cstheme="minorHAnsi"/>
          <w:szCs w:val="22"/>
        </w:rPr>
        <w:t xml:space="preserve"> over barnet</w:t>
      </w:r>
      <w:r w:rsidR="00E57CE9">
        <w:rPr>
          <w:rFonts w:cstheme="minorHAnsi"/>
          <w:szCs w:val="22"/>
        </w:rPr>
        <w:t>.</w:t>
      </w:r>
    </w:p>
    <w:p w:rsidR="00E30ACC" w:rsidRPr="00F20434" w:rsidP="00E30ACC" w14:paraId="1A89060C" w14:textId="7E899581">
      <w:pPr>
        <w:numPr>
          <w:ilvl w:val="1"/>
          <w:numId w:val="15"/>
        </w:numPr>
        <w:rPr>
          <w:rFonts w:cstheme="minorHAnsi"/>
          <w:szCs w:val="22"/>
        </w:rPr>
      </w:pPr>
      <w:r w:rsidRPr="00F20434">
        <w:rPr>
          <w:rFonts w:cstheme="minorHAnsi"/>
          <w:szCs w:val="22"/>
        </w:rPr>
        <w:t xml:space="preserve">Comen </w:t>
      </w:r>
      <w:r w:rsidRPr="00F20434">
        <w:rPr>
          <w:rFonts w:cstheme="minorHAnsi"/>
          <w:szCs w:val="22"/>
        </w:rPr>
        <w:t>BL70: 30-35</w:t>
      </w:r>
      <w:r w:rsidR="00B17B4B">
        <w:rPr>
          <w:rFonts w:cstheme="minorHAnsi"/>
          <w:szCs w:val="22"/>
        </w:rPr>
        <w:t xml:space="preserve"> cm</w:t>
      </w:r>
      <w:r w:rsidRPr="00F20434">
        <w:rPr>
          <w:rFonts w:cstheme="minorHAnsi"/>
          <w:szCs w:val="22"/>
        </w:rPr>
        <w:t xml:space="preserve"> over barnet med effekt på 80%</w:t>
      </w:r>
      <w:r w:rsidR="00F20434">
        <w:rPr>
          <w:rFonts w:cstheme="minorHAnsi"/>
          <w:szCs w:val="22"/>
        </w:rPr>
        <w:t xml:space="preserve">. </w:t>
      </w:r>
    </w:p>
    <w:p w:rsidR="00E30ACC" w:rsidP="00E30ACC" w14:paraId="2E1D9C13" w14:textId="242E9D0F">
      <w:pPr>
        <w:numPr>
          <w:ilvl w:val="1"/>
          <w:numId w:val="15"/>
        </w:numPr>
        <w:rPr>
          <w:rFonts w:cstheme="minorHAnsi"/>
          <w:szCs w:val="22"/>
        </w:rPr>
      </w:pPr>
      <w:r>
        <w:rPr>
          <w:rFonts w:cstheme="minorHAnsi"/>
          <w:szCs w:val="22"/>
        </w:rPr>
        <w:t xml:space="preserve">Lysmatten: barnet ligger på matten med engangstrekket på. Påse at lysmatten er vendt rett vei, barnet skal ligge på siden med tegning av barnet </w:t>
      </w:r>
    </w:p>
    <w:p w:rsidR="00F20434" w:rsidRPr="00F20434" w:rsidP="00F20434" w14:paraId="4466D8FE" w14:textId="687B536C">
      <w:pPr>
        <w:pStyle w:val="ListParagraph"/>
        <w:numPr>
          <w:ilvl w:val="0"/>
          <w:numId w:val="15"/>
        </w:numPr>
        <w:rPr>
          <w:rFonts w:cstheme="minorHAnsi"/>
          <w:szCs w:val="22"/>
        </w:rPr>
      </w:pPr>
      <w:r w:rsidRPr="00F20434">
        <w:rPr>
          <w:rFonts w:cstheme="minorHAnsi"/>
          <w:szCs w:val="22"/>
        </w:rPr>
        <w:t>Ved ekstremt høye verdier</w:t>
      </w:r>
      <w:r>
        <w:rPr>
          <w:rFonts w:cstheme="minorHAnsi"/>
          <w:szCs w:val="22"/>
        </w:rPr>
        <w:t xml:space="preserve"> ordinerer legen dobbelt lys. Det vil si lysmatten under barnet og en av lyskassene som overlys. Lege kan forordne reduksjon av avstand til barnet. Dette gjelder kun NeoBlue. Comen BL70 bør opprettholde samme avstand for å være godt nok dekket av lysstrålene. </w:t>
      </w:r>
    </w:p>
    <w:p w:rsidR="00E30ACC" w:rsidP="00B7341E" w14:paraId="5B65A9CE" w14:textId="77777777">
      <w:pPr>
        <w:numPr>
          <w:ilvl w:val="0"/>
          <w:numId w:val="15"/>
        </w:numPr>
        <w:rPr>
          <w:rFonts w:cstheme="minorHAnsi"/>
          <w:szCs w:val="22"/>
        </w:rPr>
      </w:pPr>
      <w:r w:rsidRPr="00B0162B">
        <w:rPr>
          <w:rFonts w:cstheme="minorHAnsi"/>
          <w:szCs w:val="22"/>
        </w:rPr>
        <w:t>I kuvøse</w:t>
      </w:r>
      <w:r>
        <w:rPr>
          <w:rFonts w:cstheme="minorHAnsi"/>
          <w:szCs w:val="22"/>
        </w:rPr>
        <w:t>:</w:t>
      </w:r>
    </w:p>
    <w:p w:rsidR="00B7341E" w:rsidP="00E30ACC" w14:paraId="1E2DFBB3" w14:textId="14B9BB23">
      <w:pPr>
        <w:numPr>
          <w:ilvl w:val="1"/>
          <w:numId w:val="15"/>
        </w:numPr>
        <w:rPr>
          <w:rFonts w:cstheme="minorHAnsi"/>
          <w:szCs w:val="22"/>
        </w:rPr>
      </w:pPr>
      <w:r>
        <w:rPr>
          <w:rFonts w:cstheme="minorHAnsi"/>
          <w:szCs w:val="22"/>
        </w:rPr>
        <w:t xml:space="preserve">NeoBlue: </w:t>
      </w:r>
      <w:r w:rsidRPr="00B0162B" w:rsidR="00E57CE9">
        <w:rPr>
          <w:rFonts w:cstheme="minorHAnsi"/>
          <w:szCs w:val="22"/>
        </w:rPr>
        <w:t xml:space="preserve">lyskasse </w:t>
      </w:r>
      <w:r>
        <w:rPr>
          <w:rFonts w:cstheme="minorHAnsi"/>
          <w:szCs w:val="22"/>
        </w:rPr>
        <w:t xml:space="preserve">føres </w:t>
      </w:r>
      <w:r w:rsidRPr="00B0162B" w:rsidR="00E57CE9">
        <w:rPr>
          <w:rFonts w:cstheme="minorHAnsi"/>
          <w:szCs w:val="22"/>
        </w:rPr>
        <w:t>helt ned til kuvøsetaket (avstand til barnet blir da ca. 30 cm).</w:t>
      </w:r>
    </w:p>
    <w:p w:rsidR="00E30ACC" w:rsidRPr="00B0162B" w:rsidP="00E30ACC" w14:paraId="0886D704" w14:textId="2A158256">
      <w:pPr>
        <w:numPr>
          <w:ilvl w:val="1"/>
          <w:numId w:val="15"/>
        </w:numPr>
        <w:rPr>
          <w:rFonts w:cstheme="minorHAnsi"/>
          <w:szCs w:val="22"/>
        </w:rPr>
      </w:pPr>
      <w:r>
        <w:rPr>
          <w:rFonts w:cstheme="minorHAnsi"/>
          <w:szCs w:val="22"/>
        </w:rPr>
        <w:t xml:space="preserve">Comen BL70: ta gjerne lyskassen av stativet og fest på taket, har sugekopper. NB: les brukerveiledning mtp. demontering/påmontering til stativet. </w:t>
      </w:r>
    </w:p>
    <w:p w:rsidR="00B7341E" w:rsidRPr="00B0162B" w:rsidP="00B7341E" w14:paraId="1E2DFBB5" w14:textId="77777777">
      <w:pPr>
        <w:numPr>
          <w:ilvl w:val="0"/>
          <w:numId w:val="15"/>
        </w:numPr>
        <w:rPr>
          <w:rFonts w:cstheme="minorHAnsi"/>
          <w:szCs w:val="22"/>
        </w:rPr>
      </w:pPr>
      <w:r w:rsidRPr="00B0162B">
        <w:rPr>
          <w:rFonts w:cstheme="minorHAnsi"/>
          <w:szCs w:val="22"/>
        </w:rPr>
        <w:t xml:space="preserve">Følg med på barnets temperatur, unngå </w:t>
      </w:r>
      <w:r w:rsidRPr="00B0162B">
        <w:rPr>
          <w:rFonts w:cstheme="minorHAnsi"/>
          <w:szCs w:val="22"/>
        </w:rPr>
        <w:t>hypo- eller hypertermi.</w:t>
      </w:r>
    </w:p>
    <w:p w:rsidR="00B7341E" w:rsidRPr="00B0162B" w:rsidP="00B7341E" w14:paraId="1E2DFBB6" w14:textId="61253285">
      <w:pPr>
        <w:numPr>
          <w:ilvl w:val="0"/>
          <w:numId w:val="15"/>
        </w:numPr>
        <w:rPr>
          <w:rFonts w:cstheme="minorHAnsi"/>
          <w:szCs w:val="22"/>
        </w:rPr>
      </w:pPr>
      <w:r w:rsidRPr="00B0162B">
        <w:rPr>
          <w:rFonts w:cstheme="minorHAnsi"/>
          <w:szCs w:val="22"/>
        </w:rPr>
        <w:t>Varm</w:t>
      </w:r>
      <w:r w:rsidR="00E30ACC">
        <w:rPr>
          <w:rFonts w:cstheme="minorHAnsi"/>
          <w:szCs w:val="22"/>
        </w:rPr>
        <w:t xml:space="preserve">emadrass </w:t>
      </w:r>
      <w:r w:rsidRPr="00B0162B">
        <w:rPr>
          <w:rFonts w:cstheme="minorHAnsi"/>
          <w:szCs w:val="22"/>
        </w:rPr>
        <w:t xml:space="preserve">kan benyttes ved </w:t>
      </w:r>
      <w:r w:rsidR="00E30ACC">
        <w:rPr>
          <w:rFonts w:cstheme="minorHAnsi"/>
          <w:szCs w:val="22"/>
        </w:rPr>
        <w:t>risiko for hypotermi til barn i seng</w:t>
      </w:r>
      <w:r w:rsidR="00F20434">
        <w:rPr>
          <w:rFonts w:cstheme="minorHAnsi"/>
          <w:szCs w:val="22"/>
        </w:rPr>
        <w:t xml:space="preserve"> (men da kun med overlys)</w:t>
      </w:r>
    </w:p>
    <w:p w:rsidR="00B7341E" w:rsidRPr="00B0162B" w:rsidP="00B7341E" w14:paraId="1E2DFBB7" w14:textId="77777777">
      <w:pPr>
        <w:numPr>
          <w:ilvl w:val="0"/>
          <w:numId w:val="15"/>
        </w:numPr>
        <w:rPr>
          <w:rFonts w:cstheme="minorHAnsi"/>
          <w:szCs w:val="22"/>
        </w:rPr>
      </w:pPr>
      <w:r>
        <w:rPr>
          <w:rFonts w:cstheme="minorHAnsi"/>
          <w:szCs w:val="22"/>
        </w:rPr>
        <w:t>Gjeldende råd er at b</w:t>
      </w:r>
      <w:r w:rsidRPr="00B0162B">
        <w:rPr>
          <w:rFonts w:cstheme="minorHAnsi"/>
          <w:szCs w:val="22"/>
        </w:rPr>
        <w:t xml:space="preserve">arnet </w:t>
      </w:r>
      <w:r>
        <w:rPr>
          <w:rFonts w:cstheme="minorHAnsi"/>
          <w:szCs w:val="22"/>
        </w:rPr>
        <w:t>bør</w:t>
      </w:r>
      <w:r w:rsidRPr="00B0162B">
        <w:rPr>
          <w:rFonts w:cstheme="minorHAnsi"/>
          <w:szCs w:val="22"/>
        </w:rPr>
        <w:t xml:space="preserve"> snus ved hvert stell slik at ulike hudområder eksponeres for lyset</w:t>
      </w:r>
      <w:r>
        <w:rPr>
          <w:rFonts w:cstheme="minorHAnsi"/>
          <w:szCs w:val="22"/>
        </w:rPr>
        <w:t xml:space="preserve"> når overlys benyttes (Lyskasse), men det er dog noe svak evidens for denne anbefalingen. Det er av praktiske grunner ikke så enkelt når lysmatte benyttes. Dersom barnet ligger i mageleie, skal man alltid ha overvåkingsutstyr påkoblet barnet for monitorering av SpO</w:t>
      </w:r>
      <w:r w:rsidRPr="00D173D3">
        <w:rPr>
          <w:rFonts w:cstheme="minorHAnsi"/>
          <w:szCs w:val="22"/>
          <w:vertAlign w:val="subscript"/>
        </w:rPr>
        <w:t>2</w:t>
      </w:r>
      <w:r>
        <w:rPr>
          <w:rFonts w:cstheme="minorHAnsi"/>
          <w:szCs w:val="22"/>
        </w:rPr>
        <w:t>.</w:t>
      </w:r>
      <w:r w:rsidRPr="00B0162B">
        <w:rPr>
          <w:rFonts w:cstheme="minorHAnsi"/>
          <w:szCs w:val="22"/>
        </w:rPr>
        <w:t xml:space="preserve"> </w:t>
      </w:r>
    </w:p>
    <w:p w:rsidR="00B7341E" w:rsidP="00B7341E" w14:paraId="1E2DFBB8" w14:textId="35977A59">
      <w:pPr>
        <w:numPr>
          <w:ilvl w:val="0"/>
          <w:numId w:val="15"/>
        </w:numPr>
        <w:rPr>
          <w:rFonts w:cstheme="minorHAnsi"/>
          <w:szCs w:val="22"/>
        </w:rPr>
      </w:pPr>
      <w:r w:rsidRPr="00B0162B">
        <w:rPr>
          <w:rFonts w:cstheme="minorHAnsi"/>
          <w:szCs w:val="22"/>
        </w:rPr>
        <w:t>Observasjoner av barnet gjøres regelmessig</w:t>
      </w:r>
      <w:r w:rsidR="00B17B4B">
        <w:rPr>
          <w:rFonts w:cstheme="minorHAnsi"/>
          <w:szCs w:val="22"/>
        </w:rPr>
        <w:t xml:space="preserve">, slå av lyset </w:t>
      </w:r>
      <w:r w:rsidRPr="00B0162B">
        <w:rPr>
          <w:rFonts w:cstheme="minorHAnsi"/>
          <w:szCs w:val="22"/>
        </w:rPr>
        <w:t>(lyset hindrer observasjon av hudfarge).</w:t>
      </w:r>
      <w:r>
        <w:rPr>
          <w:rFonts w:cstheme="minorHAnsi"/>
          <w:szCs w:val="22"/>
        </w:rPr>
        <w:t xml:space="preserve"> Da tas samtidig lysbrillene av og øyne observeres.</w:t>
      </w:r>
    </w:p>
    <w:p w:rsidR="00B7341E" w:rsidRPr="00B0162B" w:rsidP="00B7341E" w14:paraId="1E2DFBB9" w14:textId="12946A21">
      <w:pPr>
        <w:numPr>
          <w:ilvl w:val="0"/>
          <w:numId w:val="15"/>
        </w:numPr>
        <w:rPr>
          <w:rFonts w:cstheme="minorHAnsi"/>
          <w:szCs w:val="22"/>
        </w:rPr>
      </w:pPr>
      <w:r w:rsidRPr="00B0162B">
        <w:rPr>
          <w:rFonts w:cstheme="minorHAnsi"/>
          <w:szCs w:val="22"/>
        </w:rPr>
        <w:t>Pauser fra lysbehandlingen skal begrenses til inntil 30 min. pr. måltid</w:t>
      </w:r>
      <w:r w:rsidR="00267446">
        <w:rPr>
          <w:rFonts w:cstheme="minorHAnsi"/>
          <w:szCs w:val="22"/>
        </w:rPr>
        <w:t>, dersom ikke annet er bestemt</w:t>
      </w:r>
      <w:r w:rsidR="00D173D3">
        <w:rPr>
          <w:rFonts w:cstheme="minorHAnsi"/>
          <w:szCs w:val="22"/>
        </w:rPr>
        <w:t>.</w:t>
      </w:r>
    </w:p>
    <w:p w:rsidR="00B7341E" w:rsidRPr="00B0162B" w:rsidP="00B7341E" w14:paraId="1E2DFBBA" w14:textId="77777777">
      <w:pPr>
        <w:numPr>
          <w:ilvl w:val="0"/>
          <w:numId w:val="15"/>
        </w:numPr>
        <w:rPr>
          <w:rFonts w:cstheme="minorHAnsi"/>
          <w:szCs w:val="22"/>
        </w:rPr>
      </w:pPr>
      <w:r w:rsidRPr="00B0162B">
        <w:rPr>
          <w:rFonts w:cstheme="minorHAnsi"/>
          <w:szCs w:val="22"/>
        </w:rPr>
        <w:t>Noen barn får et småprikket utslett under lysbehandlingen- fotodermatose. Dette er ufarlig og forsvinner når lyset seponeres.</w:t>
      </w:r>
    </w:p>
    <w:p w:rsidR="00B7341E" w:rsidRPr="00D173D3" w:rsidP="00B7341E" w14:paraId="1E2DFBBB" w14:textId="6A2FE15A">
      <w:pPr>
        <w:numPr>
          <w:ilvl w:val="0"/>
          <w:numId w:val="15"/>
        </w:numPr>
        <w:rPr>
          <w:rFonts w:cstheme="minorHAnsi"/>
          <w:szCs w:val="24"/>
        </w:rPr>
      </w:pPr>
      <w:r w:rsidRPr="00D173D3">
        <w:rPr>
          <w:rFonts w:cstheme="minorHAnsi"/>
          <w:szCs w:val="24"/>
        </w:rPr>
        <w:t xml:space="preserve">Barnet kan få tynnere </w:t>
      </w:r>
      <w:r w:rsidR="00F20434">
        <w:rPr>
          <w:rFonts w:cstheme="minorHAnsi"/>
          <w:szCs w:val="24"/>
        </w:rPr>
        <w:t xml:space="preserve">og grønnlig </w:t>
      </w:r>
      <w:r w:rsidRPr="00D173D3">
        <w:rPr>
          <w:rFonts w:cstheme="minorHAnsi"/>
          <w:szCs w:val="24"/>
        </w:rPr>
        <w:t>avføring</w:t>
      </w:r>
      <w:r w:rsidR="00F20434">
        <w:rPr>
          <w:rFonts w:cstheme="minorHAnsi"/>
          <w:szCs w:val="24"/>
        </w:rPr>
        <w:t xml:space="preserve"> </w:t>
      </w:r>
      <w:r w:rsidRPr="00D173D3">
        <w:rPr>
          <w:rFonts w:cstheme="minorHAnsi"/>
          <w:szCs w:val="24"/>
        </w:rPr>
        <w:t>eller diare. Ta vare på huden slik at den ikke blir sår. Urin kan bli mørkere på farge.</w:t>
      </w:r>
    </w:p>
    <w:p w:rsidR="00B7341E" w:rsidRPr="00D173D3" w:rsidP="00B7341E" w14:paraId="1E2DFBBC" w14:textId="50948467">
      <w:pPr>
        <w:pStyle w:val="NormalWeb"/>
        <w:numPr>
          <w:ilvl w:val="0"/>
          <w:numId w:val="15"/>
        </w:numPr>
        <w:spacing w:after="0"/>
        <w:rPr>
          <w:rFonts w:asciiTheme="minorHAnsi" w:hAnsiTheme="minorHAnsi" w:cstheme="minorHAnsi"/>
          <w:color w:val="333333"/>
        </w:rPr>
      </w:pPr>
      <w:r w:rsidRPr="00D173D3">
        <w:rPr>
          <w:rFonts w:asciiTheme="minorHAnsi" w:hAnsiTheme="minorHAnsi" w:cstheme="minorHAnsi"/>
          <w:color w:val="333333"/>
        </w:rPr>
        <w:t xml:space="preserve">Lys </w:t>
      </w:r>
      <w:r w:rsidR="00B17B4B">
        <w:rPr>
          <w:rFonts w:asciiTheme="minorHAnsi" w:hAnsiTheme="minorHAnsi" w:cstheme="minorHAnsi"/>
          <w:color w:val="333333"/>
        </w:rPr>
        <w:t xml:space="preserve">må </w:t>
      </w:r>
      <w:r w:rsidRPr="00D173D3">
        <w:rPr>
          <w:rFonts w:asciiTheme="minorHAnsi" w:hAnsiTheme="minorHAnsi" w:cstheme="minorHAnsi"/>
          <w:color w:val="333333"/>
        </w:rPr>
        <w:t xml:space="preserve">slås av ifm. blodprøve, da lys kan påvirke testresultatet. </w:t>
      </w:r>
    </w:p>
    <w:p w:rsidR="00E86AE9" w:rsidP="00B7341E" w14:paraId="1E2DFBBD" w14:textId="77777777">
      <w:pPr>
        <w:pStyle w:val="NormalWeb"/>
        <w:spacing w:after="0"/>
        <w:ind w:left="720"/>
        <w:rPr>
          <w:rFonts w:asciiTheme="minorHAnsi" w:hAnsiTheme="minorHAnsi" w:cstheme="minorHAnsi"/>
          <w:color w:val="333333"/>
          <w:sz w:val="22"/>
          <w:szCs w:val="22"/>
        </w:rPr>
      </w:pPr>
    </w:p>
    <w:p w:rsidR="00E86AE9" w:rsidRPr="00267446" w:rsidP="00E86AE9" w14:paraId="1E2DFBBE" w14:textId="10088EE7">
      <w:pPr>
        <w:pStyle w:val="Heading2"/>
        <w:rPr>
          <w:rFonts w:cstheme="minorHAnsi"/>
          <w:szCs w:val="24"/>
        </w:rPr>
      </w:pPr>
      <w:bookmarkStart w:id="11" w:name="_Toc256000009"/>
      <w:r>
        <w:rPr>
          <w:rFonts w:cstheme="minorHAnsi"/>
          <w:szCs w:val="24"/>
        </w:rPr>
        <w:t xml:space="preserve">Lysbehandling i AHS og </w:t>
      </w:r>
      <w:r w:rsidRPr="00267446" w:rsidR="00C557E1">
        <w:rPr>
          <w:rFonts w:cstheme="minorHAnsi"/>
          <w:szCs w:val="24"/>
        </w:rPr>
        <w:t>Poliklinisk kontroll</w:t>
      </w:r>
      <w:bookmarkEnd w:id="11"/>
    </w:p>
    <w:p w:rsidR="00B17B4B" w:rsidP="00B17B4B" w14:paraId="7A4CE46E" w14:textId="13589D81">
      <w:pPr>
        <w:pStyle w:val="NormalWeb"/>
        <w:spacing w:after="0"/>
        <w:rPr>
          <w:rFonts w:asciiTheme="minorHAnsi" w:hAnsiTheme="minorHAnsi" w:cstheme="minorHAnsi"/>
          <w:color w:val="333333"/>
        </w:rPr>
      </w:pPr>
      <w:r>
        <w:rPr>
          <w:rFonts w:asciiTheme="minorHAnsi" w:hAnsiTheme="minorHAnsi" w:cstheme="minorHAnsi"/>
          <w:color w:val="333333"/>
        </w:rPr>
        <w:t xml:space="preserve">Polikliniske pasienter med behov for lysbehandling, er førstevalget hjemmebehandling i AHS. For henvisning AHS, se </w:t>
      </w:r>
      <w:hyperlink r:id="rId11" w:history="1">
        <w:r w:rsidRPr="00694231">
          <w:rPr>
            <w:rStyle w:val="Hyperlink"/>
            <w:rFonts w:cstheme="minorHAnsi"/>
          </w:rPr>
          <w:t xml:space="preserve">Henvisning av pasienter til Avansert heimesjukehus, Barne- og </w:t>
        </w:r>
        <w:r w:rsidRPr="00694231">
          <w:rPr>
            <w:rStyle w:val="Hyperlink"/>
            <w:rFonts w:cstheme="minorHAnsi"/>
          </w:rPr>
          <w:t>ungdomsklinikken</w:t>
        </w:r>
      </w:hyperlink>
      <w:r w:rsidRPr="00694231">
        <w:rPr>
          <w:rFonts w:asciiTheme="minorHAnsi" w:hAnsiTheme="minorHAnsi" w:cstheme="minorHAnsi"/>
          <w:color w:val="333333"/>
        </w:rPr>
        <w:t xml:space="preserve"> </w:t>
      </w:r>
      <w:r>
        <w:rPr>
          <w:rFonts w:asciiTheme="minorHAnsi" w:hAnsiTheme="minorHAnsi" w:cstheme="minorHAnsi"/>
          <w:color w:val="333333"/>
        </w:rPr>
        <w:t xml:space="preserve">og </w:t>
      </w:r>
      <w:hyperlink r:id="rId12" w:history="1">
        <w:r w:rsidRPr="00694231">
          <w:rPr>
            <w:rStyle w:val="Hyperlink"/>
            <w:rFonts w:cstheme="minorHAnsi"/>
          </w:rPr>
          <w:t>Lysbehandling av gulsott i hjemmet, Avansert heimesjukehus Barne- og ungdomsklinikken</w:t>
        </w:r>
      </w:hyperlink>
      <w:r w:rsidR="00B37116">
        <w:rPr>
          <w:rFonts w:asciiTheme="minorHAnsi" w:hAnsiTheme="minorHAnsi" w:cstheme="minorHAnsi"/>
          <w:color w:val="333333"/>
        </w:rPr>
        <w:t xml:space="preserve">. Da foregår også kontroll etter behandling i AHS. </w:t>
      </w:r>
    </w:p>
    <w:p w:rsidR="00B37116" w:rsidP="00E86AE9" w14:paraId="7A7C7954" w14:textId="77777777">
      <w:pPr>
        <w:pStyle w:val="NormalWeb"/>
        <w:spacing w:after="0"/>
        <w:rPr>
          <w:rFonts w:asciiTheme="minorHAnsi" w:hAnsiTheme="minorHAnsi" w:cstheme="minorHAnsi"/>
          <w:color w:val="333333"/>
        </w:rPr>
      </w:pPr>
    </w:p>
    <w:p w:rsidR="00E86AE9" w:rsidRPr="00267446" w:rsidP="00E86AE9" w14:paraId="1E2DFBBF" w14:textId="7A820F1B">
      <w:pPr>
        <w:pStyle w:val="NormalWeb"/>
        <w:spacing w:after="0"/>
        <w:rPr>
          <w:rFonts w:asciiTheme="minorHAnsi" w:hAnsiTheme="minorHAnsi" w:cstheme="minorHAnsi"/>
          <w:color w:val="333333"/>
        </w:rPr>
      </w:pPr>
      <w:r>
        <w:rPr>
          <w:rFonts w:asciiTheme="minorHAnsi" w:hAnsiTheme="minorHAnsi" w:cstheme="minorHAnsi"/>
          <w:color w:val="333333"/>
        </w:rPr>
        <w:t xml:space="preserve">Dersom hjemmebehandling ikke er aktuelt, innlegges barna på Nyfødtintensiv under lysbehandlingstiden. </w:t>
      </w:r>
      <w:r w:rsidR="00717826">
        <w:rPr>
          <w:rFonts w:asciiTheme="minorHAnsi" w:hAnsiTheme="minorHAnsi" w:cstheme="minorHAnsi"/>
          <w:color w:val="333333"/>
        </w:rPr>
        <w:t>K</w:t>
      </w:r>
      <w:r w:rsidRPr="00267446" w:rsidR="00C557E1">
        <w:rPr>
          <w:rFonts w:asciiTheme="minorHAnsi" w:hAnsiTheme="minorHAnsi" w:cstheme="minorHAnsi"/>
          <w:color w:val="333333"/>
        </w:rPr>
        <w:t xml:space="preserve">ontroll etter utskrivelse, se prosedyre </w:t>
      </w:r>
      <w:hyperlink r:id="rId13" w:tooltip="XDF11804" w:history="1">
        <w:r w:rsidRPr="00E57CE9">
          <w:rPr>
            <w:rStyle w:val="Hyperlink"/>
          </w:rPr>
          <w:fldChar w:fldCharType="begin" w:fldLock="1"/>
        </w:r>
        <w:r w:rsidRPr="00E57CE9">
          <w:rPr>
            <w:rStyle w:val="Hyperlink"/>
          </w:rPr>
          <w:instrText xml:space="preserve"> DOCPROPERTY XDT11804 *charformat * MERGEFORMAT </w:instrText>
        </w:r>
        <w:r w:rsidRPr="00E57CE9">
          <w:rPr>
            <w:rStyle w:val="Hyperlink"/>
          </w:rPr>
          <w:fldChar w:fldCharType="separate"/>
        </w:r>
        <w:r w:rsidRPr="00E57CE9">
          <w:rPr>
            <w:rStyle w:val="Hyperlink"/>
          </w:rPr>
          <w:t>Bilirubin poliklinikk, Nyfødtintensiv</w:t>
        </w:r>
        <w:r w:rsidRPr="00E57CE9">
          <w:rPr>
            <w:rStyle w:val="Hyperlink"/>
          </w:rPr>
          <w:fldChar w:fldCharType="end"/>
        </w:r>
      </w:hyperlink>
      <w:r w:rsidRPr="00E57CE9" w:rsidR="00C557E1">
        <w:t xml:space="preserve"> </w:t>
      </w:r>
      <w:r w:rsidR="00C557E1">
        <w:rPr>
          <w:rFonts w:asciiTheme="minorHAnsi" w:hAnsiTheme="minorHAnsi" w:cstheme="minorHAnsi"/>
          <w:color w:val="333333"/>
        </w:rPr>
        <w:t xml:space="preserve">   </w:t>
      </w:r>
    </w:p>
    <w:p w:rsidR="00440F15" w:rsidRPr="00E86AE9" w:rsidP="00E57CE9" w14:paraId="300DE0D8" w14:textId="77777777">
      <w:pPr>
        <w:pStyle w:val="NormalWeb"/>
        <w:spacing w:after="0"/>
      </w:pPr>
    </w:p>
    <w:p w:rsidR="00510BDF" w:rsidP="00E57CE9" w14:paraId="1E2DFBCA" w14:textId="35764CB7">
      <w:pPr>
        <w:pStyle w:val="Heading2"/>
      </w:pPr>
      <w:bookmarkStart w:id="12" w:name="_Toc256000010"/>
      <w:r>
        <w:t>Langvarig gulsott hos nyfødte</w:t>
      </w:r>
      <w:bookmarkEnd w:id="12"/>
    </w:p>
    <w:p w:rsidR="00E57CE9" w:rsidP="00E57CE9" w14:paraId="735F0086" w14:textId="4CDA3430">
      <w:r>
        <w:t xml:space="preserve">Her følges nasjonale anbefalinger i Nyfødtveileder </w:t>
      </w:r>
      <w:hyperlink r:id="rId14" w:history="1">
        <w:r w:rsidRPr="00E57CE9">
          <w:rPr>
            <w:rStyle w:val="Hyperlink"/>
          </w:rPr>
          <w:t>8.4 Langvarig gulsott hos nyfødte og spedbarn - Helsebiblioteket</w:t>
        </w:r>
      </w:hyperlink>
      <w:r>
        <w:t xml:space="preserve">. Disse barna </w:t>
      </w:r>
      <w:r w:rsidR="00B37116">
        <w:t>til</w:t>
      </w:r>
      <w:r>
        <w:t>sees normalt sett på poliklinikken</w:t>
      </w:r>
      <w:r w:rsidRPr="00E57CE9">
        <w:t xml:space="preserve"> </w:t>
      </w:r>
      <w:r w:rsidR="004825F8">
        <w:t xml:space="preserve">og </w:t>
      </w:r>
      <w:r w:rsidR="00717826">
        <w:t xml:space="preserve">videre </w:t>
      </w:r>
      <w:r w:rsidR="004825F8">
        <w:t>oppfølging og henvis</w:t>
      </w:r>
      <w:r w:rsidR="00717826">
        <w:t xml:space="preserve">ning </w:t>
      </w:r>
      <w:r w:rsidR="004825F8">
        <w:t xml:space="preserve">etter flytskjema nyfødtveileder. </w:t>
      </w:r>
    </w:p>
    <w:p w:rsidR="004825F8" w:rsidP="00E57CE9" w14:paraId="0CFF69DC" w14:textId="0F3342FA"/>
    <w:p w:rsidR="00510BDF" w:rsidP="00126938" w14:paraId="1E2DFBCB" w14:textId="77777777">
      <w:pPr>
        <w:pStyle w:val="Heading1"/>
      </w:pPr>
      <w:bookmarkStart w:id="13" w:name="_Toc256000011"/>
      <w:r>
        <w:t>Referanser</w:t>
      </w:r>
      <w:bookmarkEnd w:id="13"/>
      <w:r>
        <w:t xml:space="preserve"> </w:t>
      </w:r>
    </w:p>
    <w:p w:rsidR="00510BDF" w:rsidP="00B7341E" w14:paraId="1E2DFBCC" w14:textId="77777777">
      <w:pPr>
        <w:pStyle w:val="Heading2"/>
      </w:pPr>
      <w:bookmarkStart w:id="14" w:name="_Toc256000012"/>
      <w:r>
        <w:t>Interne referanser</w:t>
      </w:r>
      <w:bookmarkEnd w:id="14"/>
      <w: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268"/>
        <w:gridCol w:w="6803"/>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250" w:type="pct"/>
            <w:tcBorders>
              <w:top w:val="nil"/>
              <w:left w:val="nil"/>
              <w:bottom w:val="nil"/>
              <w:right w:val="nil"/>
            </w:tcBorders>
          </w:tcPr>
          <w:p w:rsidP="00CB3EB0">
            <w:pPr>
              <w:numPr>
                <w:ilvl w:val="0"/>
                <w:numId w:val="0"/>
              </w:numPr>
              <w:rPr>
                <w:b w:val="0"/>
                <w:color w:val="0000FF"/>
                <w:u w:val="single"/>
              </w:rPr>
            </w:pPr>
            <w:bookmarkStart w:id="15" w:name="EK_Referanse"/>
            <w:hyperlink r:id="rId9" w:history="1">
              <w:r>
                <w:rPr>
                  <w:b w:val="0"/>
                  <w:color w:val="0000FF"/>
                  <w:u w:val="single"/>
                </w:rPr>
                <w:t>1.7.5.1.17.7-07</w:t>
              </w:r>
            </w:hyperlink>
          </w:p>
        </w:tc>
        <w:tc>
          <w:tcPr>
            <w:tcW w:w="3750" w:type="pct"/>
            <w:tcBorders>
              <w:top w:val="nil"/>
              <w:left w:val="nil"/>
              <w:bottom w:val="nil"/>
              <w:right w:val="nil"/>
            </w:tcBorders>
          </w:tcPr>
          <w:p w:rsidP="00CB3EB0">
            <w:pPr>
              <w:numPr>
                <w:ilvl w:val="0"/>
                <w:numId w:val="0"/>
              </w:numPr>
              <w:rPr>
                <w:b w:val="0"/>
                <w:color w:val="0000FF"/>
                <w:u w:val="single"/>
              </w:rPr>
            </w:pPr>
            <w:hyperlink r:id="rId9" w:history="1">
              <w:r>
                <w:rPr>
                  <w:b w:val="0"/>
                  <w:color w:val="0000FF"/>
                  <w:u w:val="single"/>
                </w:rPr>
                <w:t>Lysbehandling Comen BL70</w:t>
              </w:r>
            </w:hyperlink>
          </w:p>
        </w:tc>
      </w:tr>
      <w:tr>
        <w:tblPrEx>
          <w:tblW w:w="5000" w:type="pct"/>
          <w:tblCellMar>
            <w:left w:w="108" w:type="dxa"/>
            <w:right w:w="108" w:type="dxa"/>
          </w:tblCellMar>
        </w:tblPrEx>
        <w:tc>
          <w:tcPr>
            <w:tcW w:w="1250" w:type="pct"/>
            <w:tcBorders>
              <w:top w:val="nil"/>
              <w:left w:val="nil"/>
              <w:bottom w:val="nil"/>
              <w:right w:val="nil"/>
            </w:tcBorders>
          </w:tcPr>
          <w:p w:rsidP="00CB3EB0">
            <w:pPr>
              <w:numPr>
                <w:ilvl w:val="0"/>
                <w:numId w:val="0"/>
              </w:numPr>
              <w:rPr>
                <w:b w:val="0"/>
                <w:color w:val="0000FF"/>
                <w:u w:val="single"/>
              </w:rPr>
            </w:pPr>
            <w:hyperlink r:id="rId15" w:history="1">
              <w:r>
                <w:rPr>
                  <w:b w:val="0"/>
                  <w:color w:val="0000FF"/>
                  <w:u w:val="single"/>
                </w:rPr>
                <w:t>5.3.7.6.1.2-01</w:t>
              </w:r>
            </w:hyperlink>
          </w:p>
        </w:tc>
        <w:tc>
          <w:tcPr>
            <w:tcW w:w="3750" w:type="pct"/>
            <w:tcBorders>
              <w:top w:val="nil"/>
              <w:left w:val="nil"/>
              <w:bottom w:val="nil"/>
              <w:right w:val="nil"/>
            </w:tcBorders>
          </w:tcPr>
          <w:p w:rsidP="00CB3EB0">
            <w:pPr>
              <w:numPr>
                <w:ilvl w:val="0"/>
                <w:numId w:val="0"/>
              </w:numPr>
              <w:rPr>
                <w:b w:val="0"/>
                <w:color w:val="0000FF"/>
                <w:u w:val="single"/>
              </w:rPr>
            </w:pPr>
            <w:hyperlink r:id="rId15" w:history="1">
              <w:r>
                <w:rPr>
                  <w:b w:val="0"/>
                  <w:color w:val="0000FF"/>
                  <w:u w:val="single"/>
                </w:rPr>
                <w:t>Henvisning av pasienter til Avansert heimesjukehus, Barne- og ungdomsklinikken</w:t>
              </w:r>
            </w:hyperlink>
          </w:p>
        </w:tc>
      </w:tr>
      <w:tr>
        <w:tblPrEx>
          <w:tblW w:w="5000" w:type="pct"/>
          <w:tblCellMar>
            <w:left w:w="108" w:type="dxa"/>
            <w:right w:w="108" w:type="dxa"/>
          </w:tblCellMar>
        </w:tblPrEx>
        <w:tc>
          <w:tcPr>
            <w:tcW w:w="1250" w:type="pct"/>
            <w:tcBorders>
              <w:top w:val="nil"/>
              <w:left w:val="nil"/>
              <w:bottom w:val="nil"/>
              <w:right w:val="nil"/>
            </w:tcBorders>
          </w:tcPr>
          <w:p w:rsidP="00CB3EB0">
            <w:pPr>
              <w:numPr>
                <w:ilvl w:val="0"/>
                <w:numId w:val="0"/>
              </w:numPr>
              <w:rPr>
                <w:b w:val="0"/>
                <w:color w:val="0000FF"/>
                <w:u w:val="single"/>
              </w:rPr>
            </w:pPr>
            <w:hyperlink r:id="rId16" w:history="1">
              <w:r>
                <w:rPr>
                  <w:b w:val="0"/>
                  <w:color w:val="0000FF"/>
                  <w:u w:val="single"/>
                </w:rPr>
                <w:t>5.3.7.6.2.2-01</w:t>
              </w:r>
            </w:hyperlink>
          </w:p>
        </w:tc>
        <w:tc>
          <w:tcPr>
            <w:tcW w:w="3750" w:type="pct"/>
            <w:tcBorders>
              <w:top w:val="nil"/>
              <w:left w:val="nil"/>
              <w:bottom w:val="nil"/>
              <w:right w:val="nil"/>
            </w:tcBorders>
          </w:tcPr>
          <w:p w:rsidP="00CB3EB0">
            <w:pPr>
              <w:numPr>
                <w:ilvl w:val="0"/>
                <w:numId w:val="0"/>
              </w:numPr>
              <w:rPr>
                <w:b w:val="0"/>
                <w:color w:val="0000FF"/>
                <w:u w:val="single"/>
              </w:rPr>
            </w:pPr>
            <w:hyperlink r:id="rId16" w:history="1">
              <w:r>
                <w:rPr>
                  <w:b w:val="0"/>
                  <w:color w:val="0000FF"/>
                  <w:u w:val="single"/>
                </w:rPr>
                <w:t>Lysbehandling i hjemmet, Avansert Heimesjukehus</w:t>
              </w:r>
            </w:hyperlink>
          </w:p>
        </w:tc>
      </w:tr>
      <w:tr>
        <w:tblPrEx>
          <w:tblW w:w="5000" w:type="pct"/>
          <w:tblCellMar>
            <w:left w:w="108" w:type="dxa"/>
            <w:right w:w="108" w:type="dxa"/>
          </w:tblCellMar>
        </w:tblPrEx>
        <w:tc>
          <w:tcPr>
            <w:tcW w:w="1250" w:type="pct"/>
            <w:tcBorders>
              <w:top w:val="nil"/>
              <w:left w:val="nil"/>
              <w:bottom w:val="nil"/>
              <w:right w:val="nil"/>
            </w:tcBorders>
          </w:tcPr>
          <w:p w:rsidP="00CB3EB0">
            <w:pPr>
              <w:numPr>
                <w:ilvl w:val="0"/>
                <w:numId w:val="0"/>
              </w:numPr>
              <w:rPr>
                <w:b w:val="0"/>
                <w:color w:val="0000FF"/>
                <w:u w:val="single"/>
              </w:rPr>
            </w:pPr>
            <w:hyperlink r:id="rId6" w:history="1">
              <w:r>
                <w:rPr>
                  <w:b w:val="0"/>
                  <w:color w:val="0000FF"/>
                  <w:u w:val="single"/>
                </w:rPr>
                <w:t>5.3.10-55</w:t>
              </w:r>
            </w:hyperlink>
          </w:p>
        </w:tc>
        <w:tc>
          <w:tcPr>
            <w:tcW w:w="3750" w:type="pct"/>
            <w:tcBorders>
              <w:top w:val="nil"/>
              <w:left w:val="nil"/>
              <w:bottom w:val="nil"/>
              <w:right w:val="nil"/>
            </w:tcBorders>
          </w:tcPr>
          <w:p w:rsidP="00CB3EB0">
            <w:pPr>
              <w:numPr>
                <w:ilvl w:val="0"/>
                <w:numId w:val="0"/>
              </w:numPr>
              <w:rPr>
                <w:b w:val="0"/>
                <w:color w:val="0000FF"/>
                <w:u w:val="single"/>
              </w:rPr>
            </w:pPr>
            <w:hyperlink r:id="rId6" w:history="1">
              <w:r>
                <w:rPr>
                  <w:b w:val="0"/>
                  <w:color w:val="0000FF"/>
                  <w:u w:val="single"/>
                </w:rPr>
                <w:t>Blodprøvetaking av nyfødte</w:t>
              </w:r>
            </w:hyperlink>
          </w:p>
        </w:tc>
      </w:tr>
      <w:tr>
        <w:tblPrEx>
          <w:tblW w:w="5000" w:type="pct"/>
          <w:tblCellMar>
            <w:left w:w="108" w:type="dxa"/>
            <w:right w:w="108" w:type="dxa"/>
          </w:tblCellMar>
        </w:tblPrEx>
        <w:tc>
          <w:tcPr>
            <w:tcW w:w="1250" w:type="pct"/>
            <w:tcBorders>
              <w:top w:val="nil"/>
              <w:left w:val="nil"/>
              <w:bottom w:val="nil"/>
              <w:right w:val="nil"/>
            </w:tcBorders>
          </w:tcPr>
          <w:p w:rsidP="00CB3EB0">
            <w:pPr>
              <w:numPr>
                <w:ilvl w:val="0"/>
                <w:numId w:val="0"/>
              </w:numPr>
              <w:rPr>
                <w:b w:val="0"/>
                <w:color w:val="0000FF"/>
                <w:u w:val="single"/>
              </w:rPr>
            </w:pPr>
            <w:hyperlink r:id="rId13" w:history="1">
              <w:r>
                <w:rPr>
                  <w:b w:val="0"/>
                  <w:color w:val="0000FF"/>
                  <w:u w:val="single"/>
                </w:rPr>
                <w:t>5.3.10.2-12</w:t>
              </w:r>
            </w:hyperlink>
          </w:p>
        </w:tc>
        <w:tc>
          <w:tcPr>
            <w:tcW w:w="3750" w:type="pct"/>
            <w:tcBorders>
              <w:top w:val="nil"/>
              <w:left w:val="nil"/>
              <w:bottom w:val="nil"/>
              <w:right w:val="nil"/>
            </w:tcBorders>
          </w:tcPr>
          <w:p w:rsidP="00CB3EB0">
            <w:pPr>
              <w:numPr>
                <w:ilvl w:val="0"/>
                <w:numId w:val="0"/>
              </w:numPr>
              <w:rPr>
                <w:b w:val="0"/>
                <w:color w:val="0000FF"/>
                <w:u w:val="single"/>
              </w:rPr>
            </w:pPr>
            <w:hyperlink r:id="rId13" w:history="1">
              <w:r>
                <w:rPr>
                  <w:b w:val="0"/>
                  <w:color w:val="0000FF"/>
                  <w:u w:val="single"/>
                </w:rPr>
                <w:t>Bilirubin poliklinikk, Nyfødtintensiv</w:t>
              </w:r>
            </w:hyperlink>
          </w:p>
        </w:tc>
      </w:tr>
      <w:tr>
        <w:tblPrEx>
          <w:tblW w:w="5000" w:type="pct"/>
          <w:tblCellMar>
            <w:left w:w="108" w:type="dxa"/>
            <w:right w:w="108" w:type="dxa"/>
          </w:tblCellMar>
        </w:tblPrEx>
        <w:tc>
          <w:tcPr>
            <w:tcW w:w="1250" w:type="pct"/>
            <w:tcBorders>
              <w:top w:val="nil"/>
              <w:left w:val="nil"/>
              <w:bottom w:val="nil"/>
              <w:right w:val="nil"/>
            </w:tcBorders>
          </w:tcPr>
          <w:p w:rsidP="00CB3EB0">
            <w:pPr>
              <w:numPr>
                <w:ilvl w:val="0"/>
                <w:numId w:val="0"/>
              </w:numPr>
              <w:rPr>
                <w:b w:val="0"/>
                <w:color w:val="0000FF"/>
                <w:u w:val="single"/>
              </w:rPr>
            </w:pPr>
            <w:hyperlink r:id="rId17" w:history="1">
              <w:r>
                <w:rPr>
                  <w:b w:val="0"/>
                  <w:color w:val="0000FF"/>
                  <w:u w:val="single"/>
                </w:rPr>
                <w:t>5.3.10.3-15</w:t>
              </w:r>
            </w:hyperlink>
          </w:p>
        </w:tc>
        <w:tc>
          <w:tcPr>
            <w:tcW w:w="3750" w:type="pct"/>
            <w:tcBorders>
              <w:top w:val="nil"/>
              <w:left w:val="nil"/>
              <w:bottom w:val="nil"/>
              <w:right w:val="nil"/>
            </w:tcBorders>
          </w:tcPr>
          <w:p w:rsidP="00CB3EB0">
            <w:pPr>
              <w:numPr>
                <w:ilvl w:val="0"/>
                <w:numId w:val="0"/>
              </w:numPr>
              <w:rPr>
                <w:b w:val="0"/>
                <w:color w:val="0000FF"/>
                <w:u w:val="single"/>
              </w:rPr>
            </w:pPr>
            <w:hyperlink r:id="rId17" w:history="1">
              <w:r>
                <w:rPr>
                  <w:b w:val="0"/>
                  <w:color w:val="0000FF"/>
                  <w:u w:val="single"/>
                </w:rPr>
                <w:t>Smertebehandling av nyfødte barn</w:t>
              </w:r>
            </w:hyperlink>
          </w:p>
        </w:tc>
      </w:tr>
      <w:tr>
        <w:tblPrEx>
          <w:tblW w:w="5000" w:type="pct"/>
          <w:tblCellMar>
            <w:left w:w="108" w:type="dxa"/>
            <w:right w:w="108" w:type="dxa"/>
          </w:tblCellMar>
        </w:tblPrEx>
        <w:tc>
          <w:tcPr>
            <w:tcW w:w="1250" w:type="pct"/>
            <w:tcBorders>
              <w:top w:val="nil"/>
              <w:left w:val="nil"/>
              <w:bottom w:val="nil"/>
              <w:right w:val="nil"/>
            </w:tcBorders>
          </w:tcPr>
          <w:p w:rsidP="00CB3EB0">
            <w:pPr>
              <w:numPr>
                <w:ilvl w:val="0"/>
                <w:numId w:val="0"/>
              </w:numPr>
              <w:rPr>
                <w:b w:val="0"/>
                <w:color w:val="0000FF"/>
                <w:u w:val="single"/>
              </w:rPr>
            </w:pPr>
            <w:hyperlink r:id="rId8" w:history="1">
              <w:r>
                <w:rPr>
                  <w:b w:val="0"/>
                  <w:color w:val="0000FF"/>
                  <w:u w:val="single"/>
                </w:rPr>
                <w:t>5.6.3.1-58</w:t>
              </w:r>
            </w:hyperlink>
          </w:p>
        </w:tc>
        <w:tc>
          <w:tcPr>
            <w:tcW w:w="3750" w:type="pct"/>
            <w:tcBorders>
              <w:top w:val="nil"/>
              <w:left w:val="nil"/>
              <w:bottom w:val="nil"/>
              <w:right w:val="nil"/>
            </w:tcBorders>
          </w:tcPr>
          <w:p w:rsidP="00CB3EB0">
            <w:pPr>
              <w:numPr>
                <w:ilvl w:val="0"/>
                <w:numId w:val="0"/>
              </w:numPr>
              <w:rPr>
                <w:b w:val="0"/>
                <w:color w:val="0000FF"/>
                <w:u w:val="single"/>
              </w:rPr>
            </w:pPr>
            <w:hyperlink r:id="rId8" w:history="1">
              <w:r>
                <w:rPr>
                  <w:b w:val="0"/>
                  <w:color w:val="0000FF"/>
                  <w:u w:val="single"/>
                </w:rPr>
                <w:t>lyskasse Comen BL70</w:t>
              </w:r>
            </w:hyperlink>
          </w:p>
        </w:tc>
      </w:tr>
      <w:tr>
        <w:tblPrEx>
          <w:tblW w:w="5000" w:type="pct"/>
          <w:tblCellMar>
            <w:left w:w="108" w:type="dxa"/>
            <w:right w:w="108" w:type="dxa"/>
          </w:tblCellMar>
        </w:tblPrEx>
        <w:tc>
          <w:tcPr>
            <w:tcW w:w="1250" w:type="pct"/>
            <w:tcBorders>
              <w:top w:val="nil"/>
              <w:left w:val="nil"/>
              <w:bottom w:val="nil"/>
              <w:right w:val="nil"/>
            </w:tcBorders>
          </w:tcPr>
          <w:p w:rsidP="00CB3EB0">
            <w:pPr>
              <w:numPr>
                <w:ilvl w:val="0"/>
                <w:numId w:val="0"/>
              </w:numPr>
              <w:rPr>
                <w:b w:val="0"/>
                <w:color w:val="0000FF"/>
                <w:u w:val="single"/>
              </w:rPr>
            </w:pPr>
            <w:hyperlink r:id="rId10" w:history="1">
              <w:r>
                <w:rPr>
                  <w:b w:val="0"/>
                  <w:color w:val="0000FF"/>
                  <w:u w:val="single"/>
                </w:rPr>
                <w:t>5.6.3.1-59</w:t>
              </w:r>
            </w:hyperlink>
          </w:p>
        </w:tc>
        <w:tc>
          <w:tcPr>
            <w:tcW w:w="3750" w:type="pct"/>
            <w:tcBorders>
              <w:top w:val="nil"/>
              <w:left w:val="nil"/>
              <w:bottom w:val="nil"/>
              <w:right w:val="nil"/>
            </w:tcBorders>
          </w:tcPr>
          <w:p w:rsidP="00CB3EB0">
            <w:pPr>
              <w:numPr>
                <w:ilvl w:val="0"/>
                <w:numId w:val="0"/>
              </w:numPr>
              <w:rPr>
                <w:b w:val="0"/>
                <w:color w:val="0000FF"/>
                <w:u w:val="single"/>
              </w:rPr>
            </w:pPr>
            <w:hyperlink r:id="rId10" w:history="1">
              <w:r>
                <w:rPr>
                  <w:b w:val="0"/>
                  <w:color w:val="0000FF"/>
                  <w:u w:val="single"/>
                </w:rPr>
                <w:t>Lysmatte Bilisoft 2.0</w:t>
              </w:r>
            </w:hyperlink>
          </w:p>
        </w:tc>
      </w:tr>
      <w:tr>
        <w:tblPrEx>
          <w:tblW w:w="5000" w:type="pct"/>
          <w:tblCellMar>
            <w:left w:w="108" w:type="dxa"/>
            <w:right w:w="108" w:type="dxa"/>
          </w:tblCellMar>
        </w:tblPrEx>
        <w:tc>
          <w:tcPr>
            <w:tcW w:w="1250" w:type="pct"/>
            <w:tcBorders>
              <w:top w:val="nil"/>
              <w:left w:val="nil"/>
              <w:bottom w:val="nil"/>
              <w:right w:val="nil"/>
            </w:tcBorders>
          </w:tcPr>
          <w:p w:rsidP="00CB3EB0">
            <w:pPr>
              <w:numPr>
                <w:ilvl w:val="0"/>
                <w:numId w:val="0"/>
              </w:numPr>
              <w:rPr>
                <w:b w:val="0"/>
                <w:color w:val="0000FF"/>
                <w:u w:val="single"/>
              </w:rPr>
            </w:pPr>
            <w:hyperlink r:id="rId7" w:history="1">
              <w:r>
                <w:rPr>
                  <w:b w:val="0"/>
                  <w:color w:val="0000FF"/>
                  <w:u w:val="single"/>
                </w:rPr>
                <w:t>5.6.3.1-61</w:t>
              </w:r>
            </w:hyperlink>
          </w:p>
        </w:tc>
        <w:tc>
          <w:tcPr>
            <w:tcW w:w="3750" w:type="pct"/>
            <w:tcBorders>
              <w:top w:val="nil"/>
              <w:left w:val="nil"/>
              <w:bottom w:val="nil"/>
              <w:right w:val="nil"/>
            </w:tcBorders>
          </w:tcPr>
          <w:p w:rsidP="00CB3EB0">
            <w:pPr>
              <w:numPr>
                <w:ilvl w:val="0"/>
                <w:numId w:val="0"/>
              </w:numPr>
              <w:rPr>
                <w:b w:val="0"/>
                <w:color w:val="0000FF"/>
                <w:u w:val="single"/>
              </w:rPr>
            </w:pPr>
            <w:hyperlink r:id="rId7" w:history="1">
              <w:r>
                <w:rPr>
                  <w:b w:val="0"/>
                  <w:color w:val="0000FF"/>
                  <w:u w:val="single"/>
                </w:rPr>
                <w:t>Lysterapi Neo Blue - lang</w:t>
              </w:r>
            </w:hyperlink>
          </w:p>
        </w:tc>
      </w:tr>
      <w:tr>
        <w:tblPrEx>
          <w:tblW w:w="5000" w:type="pct"/>
          <w:tblCellMar>
            <w:left w:w="108" w:type="dxa"/>
            <w:right w:w="108" w:type="dxa"/>
          </w:tblCellMar>
        </w:tblPrEx>
        <w:tc>
          <w:tcPr>
            <w:tcW w:w="1250" w:type="pct"/>
            <w:tcBorders>
              <w:top w:val="nil"/>
              <w:left w:val="nil"/>
              <w:bottom w:val="nil"/>
              <w:right w:val="nil"/>
            </w:tcBorders>
          </w:tcPr>
          <w:p w:rsidP="00CB3EB0">
            <w:pPr>
              <w:numPr>
                <w:ilvl w:val="0"/>
                <w:numId w:val="0"/>
              </w:numPr>
              <w:rPr>
                <w:b w:val="0"/>
                <w:color w:val="0000FF"/>
                <w:u w:val="single"/>
              </w:rPr>
            </w:pPr>
            <w:hyperlink r:id="rId18" w:history="1">
              <w:r>
                <w:rPr>
                  <w:b w:val="0"/>
                  <w:color w:val="0000FF"/>
                  <w:u w:val="single"/>
                </w:rPr>
                <w:t>5.6.3.1-133</w:t>
              </w:r>
            </w:hyperlink>
          </w:p>
        </w:tc>
        <w:tc>
          <w:tcPr>
            <w:tcW w:w="3750" w:type="pct"/>
            <w:tcBorders>
              <w:top w:val="nil"/>
              <w:left w:val="nil"/>
              <w:bottom w:val="nil"/>
              <w:right w:val="nil"/>
            </w:tcBorders>
          </w:tcPr>
          <w:p w:rsidP="00CB3EB0">
            <w:pPr>
              <w:numPr>
                <w:ilvl w:val="0"/>
                <w:numId w:val="0"/>
              </w:numPr>
              <w:rPr>
                <w:b w:val="0"/>
                <w:color w:val="0000FF"/>
                <w:u w:val="single"/>
              </w:rPr>
            </w:pPr>
            <w:hyperlink r:id="rId18" w:history="1">
              <w:r>
                <w:rPr>
                  <w:b w:val="0"/>
                  <w:color w:val="0000FF"/>
                  <w:u w:val="single"/>
                </w:rPr>
                <w:t>Transkutan bilirubinmåler Drager JM105</w:t>
              </w:r>
            </w:hyperlink>
          </w:p>
        </w:tc>
      </w:tr>
    </w:tbl>
    <w:p w:rsidR="00510BDF" w:rsidP="00CB3EB0" w14:paraId="1E2DFBD3" w14:textId="77777777">
      <w:pPr>
        <w:rPr>
          <w:rFonts w:cstheme="minorHAnsi"/>
        </w:rPr>
      </w:pPr>
      <w:bookmarkEnd w:id="15"/>
    </w:p>
    <w:p w:rsidR="00510BDF" w:rsidP="00B7341E" w14:paraId="1E2DFBD4" w14:textId="77777777">
      <w:pPr>
        <w:pStyle w:val="Heading2"/>
      </w:pPr>
      <w:bookmarkStart w:id="16" w:name="_Toc256000013"/>
      <w:r>
        <w:t>Eksterne referanser</w:t>
      </w:r>
      <w:bookmarkEnd w:id="16"/>
      <w:r>
        <w:t xml:space="preserve"> </w:t>
      </w:r>
    </w:p>
    <w:p w:rsidR="00080827" w:rsidP="00430F76" w14:paraId="3452E040" w14:textId="77777777">
      <w:r>
        <w:t xml:space="preserve">Nyfødtveileder: </w:t>
      </w:r>
    </w:p>
    <w:p w:rsidR="00430F76" w:rsidRPr="00430F76" w:rsidP="00430F76" w14:paraId="3C4F1715" w14:textId="6A71B942">
      <w:hyperlink r:id="rId5" w:history="1">
        <w:r w:rsidRPr="00430F76">
          <w:rPr>
            <w:rStyle w:val="Hyperlink"/>
          </w:rPr>
          <w:t>8.1 Tidlig gulsott - Helsebiblioteket</w:t>
        </w:r>
      </w:hyperlink>
      <w:r w:rsidRPr="00080827" w:rsidR="00080827">
        <w:t xml:space="preserve"> </w:t>
      </w:r>
      <w:r w:rsidR="00080827">
        <w:t xml:space="preserve"> og  </w:t>
      </w:r>
      <w:hyperlink r:id="rId14" w:history="1">
        <w:r w:rsidRPr="00080827" w:rsidR="00080827">
          <w:rPr>
            <w:rStyle w:val="Hyperlink"/>
          </w:rPr>
          <w:t>8.4 Langvarig gulsott hos nyfødte og spedbarn - Helsebiblioteket</w:t>
        </w:r>
      </w:hyperlink>
    </w:p>
    <w:p w:rsidR="00541496" w:rsidRPr="005F0E8F" w:rsidP="00126938" w14:paraId="1E2DFBE4" w14:textId="77777777">
      <w:pPr>
        <w:pStyle w:val="Heading1"/>
      </w:pPr>
      <w:bookmarkStart w:id="17" w:name="_Toc256000014"/>
      <w:r w:rsidRPr="005F0E8F">
        <w:t>Endringer siden forrige versjon</w:t>
      </w:r>
      <w:bookmarkEnd w:id="17"/>
    </w:p>
    <w:p w:rsidR="00B7341E" w:rsidRPr="001443B8" w:rsidP="00B7341E" w14:paraId="1E2DFBEE" w14:textId="330F3D26">
      <w:pPr>
        <w:rPr>
          <w:rFonts w:cstheme="minorHAnsi"/>
          <w:color w:val="000080"/>
        </w:rPr>
      </w:pPr>
      <w:r>
        <w:rPr>
          <w:rFonts w:cstheme="minorHAnsi"/>
          <w:color w:val="000080"/>
        </w:rPr>
        <w:t>Det er etabler tilbud om lysbehandling hjemme via AHS</w:t>
      </w:r>
      <w:r w:rsidR="00717826">
        <w:rPr>
          <w:rFonts w:cstheme="minorHAnsi"/>
          <w:color w:val="000080"/>
        </w:rPr>
        <w:t xml:space="preserve"> samt innføring av TcB måling også for inneliggende barn. Videre oppdaterte nasjonale anbefalinger. </w:t>
      </w:r>
    </w:p>
    <w:p w:rsidR="00B7341E" w:rsidRPr="00541496" w:rsidP="00541496" w14:paraId="1E2DFBEF" w14:textId="77777777"/>
    <w:sectPr w:rsidSect="00D03EED">
      <w:headerReference w:type="even" r:id="rId19"/>
      <w:headerReference w:type="default" r:id="rId20"/>
      <w:footerReference w:type="even" r:id="rId21"/>
      <w:footerReference w:type="default" r:id="rId22"/>
      <w:headerReference w:type="first" r:id="rId23"/>
      <w:footerReference w:type="first" r:id="rId24"/>
      <w:type w:val="continuous"/>
      <w:pgSz w:w="11907" w:h="16840" w:code="9"/>
      <w:pgMar w:top="851" w:right="1418" w:bottom="851" w:left="1418" w:header="851" w:footer="454" w:gutter="0"/>
      <w:pgNumType w:start="1"/>
      <w:cols w:space="708"/>
      <w:formProt w:val="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4927"/>
      <w:gridCol w:w="4074"/>
    </w:tblGrid>
    <w:tr w14:paraId="1E2DFBF8" w14:textId="77777777">
      <w:tblPrEx>
        <w:tblW w:w="0" w:type="auto"/>
        <w:jc w:val="center"/>
        <w:tblBorders>
          <w:top w:val="single" w:sz="4" w:space="0" w:color="auto"/>
        </w:tblBorders>
        <w:tblLayout w:type="fixed"/>
        <w:tblCellMar>
          <w:left w:w="70" w:type="dxa"/>
          <w:right w:w="70" w:type="dxa"/>
        </w:tblCellMar>
        <w:tblLook w:val="0000"/>
      </w:tblPrEx>
      <w:trPr>
        <w:trHeight w:val="128"/>
        <w:jc w:val="center"/>
      </w:trPr>
      <w:tc>
        <w:tcPr>
          <w:tcW w:w="4927" w:type="dxa"/>
          <w:tcBorders>
            <w:right w:val="single" w:sz="4" w:space="0" w:color="auto"/>
          </w:tcBorders>
        </w:tcPr>
        <w:p w:rsidR="00485214" w14:paraId="1E2DFBF6" w14:textId="183AB7A4">
          <w:pPr>
            <w:pStyle w:val="Footer"/>
            <w:rPr>
              <w:sz w:val="16"/>
            </w:rPr>
          </w:pPr>
          <w:r>
            <w:rPr>
              <w:noProof/>
              <w:sz w:val="16"/>
            </w:rPr>
            <mc:AlternateContent>
              <mc:Choice Requires="wps">
                <w:drawing>
                  <wp:anchor distT="0" distB="0" distL="0" distR="0" simplePos="0" relativeHeight="251660288" behindDoc="0" locked="0" layoutInCell="1" allowOverlap="1">
                    <wp:simplePos x="0" y="0"/>
                    <wp:positionH relativeFrom="page">
                      <wp:align>left</wp:align>
                    </wp:positionH>
                    <wp:positionV relativeFrom="page">
                      <wp:align>bottom</wp:align>
                    </wp:positionV>
                    <wp:extent cx="1405255" cy="345440"/>
                    <wp:effectExtent l="0" t="0" r="4445" b="0"/>
                    <wp:wrapNone/>
                    <wp:docPr id="949095144" name="Tekstboks 2"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E94398" w:rsidRPr="00E94398" w:rsidP="00E94398" w14:textId="77777777">
                                <w:pPr>
                                  <w:rPr>
                                    <w:rFonts w:ascii="Calibri" w:eastAsia="Calibri" w:hAnsi="Calibri" w:cs="Calibri"/>
                                    <w:noProof/>
                                    <w:color w:val="000000"/>
                                    <w:sz w:val="20"/>
                                  </w:rPr>
                                </w:pPr>
                                <w:r w:rsidRPr="00E94398">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2" o:spid="_x0000_s2049"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1312" filled="f" stroked="f">
                    <v:textbox style="mso-fit-shape-to-text:t" inset="20pt,0,0,15pt">
                      <w:txbxContent>
                        <w:p w:rsidR="00E94398" w:rsidRPr="00E94398" w:rsidP="00E94398" w14:paraId="0C25959E" w14:textId="77777777">
                          <w:pPr>
                            <w:rPr>
                              <w:rFonts w:ascii="Calibri" w:eastAsia="Calibri" w:hAnsi="Calibri" w:cs="Calibri"/>
                              <w:noProof/>
                              <w:color w:val="000000"/>
                              <w:sz w:val="20"/>
                            </w:rPr>
                          </w:pPr>
                          <w:r w:rsidRPr="00E94398">
                            <w:rPr>
                              <w:rFonts w:ascii="Calibri" w:eastAsia="Calibri" w:hAnsi="Calibri" w:cs="Calibri"/>
                              <w:noProof/>
                              <w:color w:val="000000"/>
                              <w:sz w:val="20"/>
                            </w:rPr>
                            <w:t>Følsomhet Intern (gul)</w:t>
                          </w:r>
                        </w:p>
                      </w:txbxContent>
                    </v:textbox>
                  </v:shape>
                </w:pict>
              </mc:Fallback>
            </mc:AlternateContent>
          </w:r>
          <w:r w:rsidR="008F0F5B">
            <w:rPr>
              <w:sz w:val="16"/>
            </w:rPr>
            <w:t xml:space="preserve">Side </w:t>
          </w:r>
          <w:r w:rsidR="008F0F5B">
            <w:rPr>
              <w:rStyle w:val="PageNumber"/>
              <w:sz w:val="16"/>
            </w:rPr>
            <w:fldChar w:fldCharType="begin"/>
          </w:r>
          <w:r w:rsidR="008F0F5B">
            <w:rPr>
              <w:rStyle w:val="PageNumber"/>
              <w:sz w:val="16"/>
            </w:rPr>
            <w:instrText xml:space="preserve"> PAGE </w:instrText>
          </w:r>
          <w:r w:rsidR="008F0F5B">
            <w:rPr>
              <w:rStyle w:val="PageNumber"/>
              <w:sz w:val="16"/>
            </w:rPr>
            <w:fldChar w:fldCharType="separate"/>
          </w:r>
          <w:r w:rsidR="001E39FB">
            <w:rPr>
              <w:rStyle w:val="PageNumber"/>
              <w:noProof/>
              <w:sz w:val="16"/>
            </w:rPr>
            <w:t>3</w:t>
          </w:r>
          <w:r w:rsidR="008F0F5B">
            <w:rPr>
              <w:rStyle w:val="PageNumber"/>
              <w:sz w:val="16"/>
            </w:rPr>
            <w:fldChar w:fldCharType="end"/>
          </w:r>
          <w:r w:rsidR="008F0F5B">
            <w:rPr>
              <w:sz w:val="16"/>
            </w:rPr>
            <w:t xml:space="preserve"> av </w:t>
          </w:r>
          <w:r w:rsidR="008F0F5B">
            <w:rPr>
              <w:rStyle w:val="PageNumber"/>
              <w:sz w:val="16"/>
            </w:rPr>
            <w:fldChar w:fldCharType="begin"/>
          </w:r>
          <w:r w:rsidR="008F0F5B">
            <w:rPr>
              <w:rStyle w:val="PageNumber"/>
              <w:sz w:val="16"/>
            </w:rPr>
            <w:instrText xml:space="preserve"> NUMPAGES </w:instrText>
          </w:r>
          <w:r w:rsidR="008F0F5B">
            <w:rPr>
              <w:rStyle w:val="PageNumber"/>
              <w:sz w:val="16"/>
            </w:rPr>
            <w:fldChar w:fldCharType="separate"/>
          </w:r>
          <w:r w:rsidR="001E39FB">
            <w:rPr>
              <w:rStyle w:val="PageNumber"/>
              <w:noProof/>
              <w:sz w:val="16"/>
            </w:rPr>
            <w:t>3</w:t>
          </w:r>
          <w:r w:rsidR="008F0F5B">
            <w:rPr>
              <w:rStyle w:val="PageNumber"/>
              <w:sz w:val="16"/>
            </w:rPr>
            <w:fldChar w:fldCharType="end"/>
          </w:r>
        </w:p>
      </w:tc>
      <w:tc>
        <w:tcPr>
          <w:tcW w:w="4074" w:type="dxa"/>
          <w:tcBorders>
            <w:left w:val="single" w:sz="4" w:space="0" w:color="auto"/>
          </w:tcBorders>
        </w:tcPr>
        <w:p w:rsidR="00485214" w14:paraId="1E2DFBF7" w14:textId="77777777">
          <w:pPr>
            <w:pStyle w:val="Footer"/>
            <w:rPr>
              <w:sz w:val="16"/>
            </w:rPr>
          </w:pPr>
          <w:r>
            <w:rPr>
              <w:sz w:val="16"/>
            </w:rPr>
            <w:t xml:space="preserve">Ref. 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5.3.10-19</w:t>
          </w:r>
          <w:r>
            <w:rPr>
              <w:color w:val="000080"/>
              <w:sz w:val="16"/>
            </w:rPr>
            <w:fldChar w:fldCharType="end"/>
          </w:r>
        </w:p>
      </w:tc>
    </w:tr>
  </w:tbl>
  <w:p w:rsidR="00485214" w14:paraId="1E2DFBF9" w14:textId="77777777">
    <w:pPr>
      <w:pStyle w:val="Footer"/>
      <w:ind w:firstLine="709"/>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Borders>
        <w:top w:val="single" w:sz="4" w:space="0" w:color="auto"/>
      </w:tblBorders>
      <w:tblLayout w:type="fixed"/>
      <w:tblCellMar>
        <w:left w:w="70" w:type="dxa"/>
        <w:right w:w="70" w:type="dxa"/>
      </w:tblCellMar>
      <w:tblLook w:val="0000"/>
    </w:tblPr>
    <w:tblGrid>
      <w:gridCol w:w="1843"/>
      <w:gridCol w:w="2126"/>
      <w:gridCol w:w="3402"/>
      <w:gridCol w:w="1296"/>
    </w:tblGrid>
    <w:tr w14:paraId="1E2DFBFE" w14:textId="77777777" w:rsidTr="00541496">
      <w:tblPrEx>
        <w:tblW w:w="0" w:type="auto"/>
        <w:jc w:val="center"/>
        <w:tblBorders>
          <w:top w:val="single" w:sz="4" w:space="0" w:color="auto"/>
        </w:tblBorders>
        <w:tblLayout w:type="fixed"/>
        <w:tblCellMar>
          <w:left w:w="70" w:type="dxa"/>
          <w:right w:w="70" w:type="dxa"/>
        </w:tblCellMar>
        <w:tblLook w:val="0000"/>
      </w:tblPrEx>
      <w:trPr>
        <w:trHeight w:val="270"/>
        <w:jc w:val="center"/>
      </w:trPr>
      <w:tc>
        <w:tcPr>
          <w:tcW w:w="1843" w:type="dxa"/>
          <w:tcBorders>
            <w:right w:val="single" w:sz="4" w:space="0" w:color="auto"/>
          </w:tcBorders>
        </w:tcPr>
        <w:p w:rsidR="009B041D" w:rsidRPr="004568C8" w:rsidP="007E4125" w14:paraId="1E2DFBFA" w14:textId="0A29B4B6">
          <w:pPr>
            <w:pStyle w:val="Footer"/>
            <w:rPr>
              <w:color w:val="000080"/>
              <w:sz w:val="16"/>
            </w:rPr>
          </w:pPr>
          <w:r>
            <w:rPr>
              <w:noProof/>
              <w:sz w:val="16"/>
            </w:rPr>
            <mc:AlternateContent>
              <mc:Choice Requires="wps">
                <w:drawing>
                  <wp:anchor distT="0" distB="0" distL="0" distR="0" simplePos="0" relativeHeight="251662336" behindDoc="0" locked="0" layoutInCell="1" allowOverlap="1">
                    <wp:simplePos x="0" y="0"/>
                    <wp:positionH relativeFrom="page">
                      <wp:align>left</wp:align>
                    </wp:positionH>
                    <wp:positionV relativeFrom="page">
                      <wp:align>bottom</wp:align>
                    </wp:positionV>
                    <wp:extent cx="1081405" cy="500380"/>
                    <wp:effectExtent l="0" t="0" r="4445" b="0"/>
                    <wp:wrapNone/>
                    <wp:docPr id="1672238396" name="Tekstboks 3"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081405" cy="500380"/>
                            </a:xfrm>
                            <a:prstGeom prst="rect">
                              <a:avLst/>
                            </a:prstGeom>
                            <a:noFill/>
                            <a:ln>
                              <a:noFill/>
                            </a:ln>
                          </wps:spPr>
                          <wps:txbx>
                            <w:txbxContent>
                              <w:p w:rsidR="00E94398" w:rsidRPr="00E94398" w:rsidP="00E94398" w14:textId="77777777">
                                <w:pPr>
                                  <w:rPr>
                                    <w:rFonts w:ascii="Calibri" w:eastAsia="Calibri" w:hAnsi="Calibri" w:cs="Calibri"/>
                                    <w:noProof/>
                                    <w:color w:val="000000"/>
                                    <w:sz w:val="20"/>
                                  </w:rPr>
                                </w:pPr>
                                <w:r w:rsidRPr="00E94398">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3" o:spid="_x0000_s2050" type="#_x0000_t202" alt="Følsomhet Intern (gul)" style="width:85.15pt;height:39.4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63360" filled="f" stroked="f">
                    <v:textbox style="mso-fit-shape-to-text:t" inset="20pt,0,0,15pt">
                      <w:txbxContent>
                        <w:p w:rsidR="00E94398" w:rsidRPr="00E94398" w:rsidP="00E94398" w14:paraId="7A75270E" w14:textId="77777777">
                          <w:pPr>
                            <w:rPr>
                              <w:rFonts w:ascii="Calibri" w:eastAsia="Calibri" w:hAnsi="Calibri" w:cs="Calibri"/>
                              <w:noProof/>
                              <w:color w:val="000000"/>
                              <w:sz w:val="20"/>
                            </w:rPr>
                          </w:pPr>
                          <w:r w:rsidRPr="00E94398">
                            <w:rPr>
                              <w:rFonts w:ascii="Calibri" w:eastAsia="Calibri" w:hAnsi="Calibri" w:cs="Calibri"/>
                              <w:noProof/>
                              <w:color w:val="000000"/>
                              <w:sz w:val="20"/>
                            </w:rPr>
                            <w:t>Følsomhet Intern (gul)</w:t>
                          </w:r>
                        </w:p>
                      </w:txbxContent>
                    </v:textbox>
                  </v:shape>
                </w:pict>
              </mc:Fallback>
            </mc:AlternateContent>
          </w:r>
          <w:r w:rsidR="008F0F5B">
            <w:rPr>
              <w:sz w:val="16"/>
            </w:rPr>
            <w:t xml:space="preserve">Dok.id: </w:t>
          </w:r>
          <w:r w:rsidR="008F0F5B">
            <w:rPr>
              <w:color w:val="000080"/>
              <w:sz w:val="16"/>
            </w:rPr>
            <w:fldChar w:fldCharType="begin" w:fldLock="1"/>
          </w:r>
          <w:r w:rsidR="008F0F5B">
            <w:rPr>
              <w:color w:val="000080"/>
              <w:sz w:val="16"/>
            </w:rPr>
            <w:instrText xml:space="preserve"> DOCPROPERTY EK_DokumentID </w:instrText>
          </w:r>
          <w:r w:rsidR="008F0F5B">
            <w:rPr>
              <w:color w:val="000080"/>
              <w:sz w:val="16"/>
            </w:rPr>
            <w:fldChar w:fldCharType="separate"/>
          </w:r>
          <w:r w:rsidR="008F0F5B">
            <w:rPr>
              <w:color w:val="000080"/>
              <w:sz w:val="16"/>
            </w:rPr>
            <w:t>D76288</w:t>
          </w:r>
          <w:r w:rsidR="008F0F5B">
            <w:rPr>
              <w:color w:val="000080"/>
              <w:sz w:val="16"/>
            </w:rPr>
            <w:fldChar w:fldCharType="end"/>
          </w:r>
        </w:p>
      </w:tc>
      <w:tc>
        <w:tcPr>
          <w:tcW w:w="2126" w:type="dxa"/>
          <w:tcBorders>
            <w:right w:val="single" w:sz="4" w:space="0" w:color="auto"/>
          </w:tcBorders>
        </w:tcPr>
        <w:p w:rsidR="009B041D" w:rsidRPr="009B041D" w:rsidP="007E4125" w14:paraId="1E2DFBFB" w14:textId="77777777">
          <w:pPr>
            <w:pStyle w:val="Footer"/>
            <w:rPr>
              <w:color w:val="000080"/>
              <w:sz w:val="16"/>
            </w:rPr>
          </w:pPr>
          <w:r>
            <w:rPr>
              <w:color w:val="000080"/>
              <w:sz w:val="16"/>
            </w:rPr>
            <w:t xml:space="preserve">Ref.nr: </w:t>
          </w:r>
          <w:r>
            <w:rPr>
              <w:color w:val="000080"/>
              <w:sz w:val="16"/>
            </w:rPr>
            <w:fldChar w:fldCharType="begin" w:fldLock="1"/>
          </w:r>
          <w:r>
            <w:rPr>
              <w:color w:val="000080"/>
              <w:sz w:val="16"/>
            </w:rPr>
            <w:instrText xml:space="preserve"> DOCPROPERTY EK_RefNr </w:instrText>
          </w:r>
          <w:r>
            <w:rPr>
              <w:color w:val="000080"/>
              <w:sz w:val="16"/>
            </w:rPr>
            <w:fldChar w:fldCharType="separate"/>
          </w:r>
          <w:r>
            <w:rPr>
              <w:color w:val="000080"/>
              <w:sz w:val="16"/>
            </w:rPr>
            <w:t>5.3.10-19</w:t>
          </w:r>
          <w:r>
            <w:rPr>
              <w:color w:val="000080"/>
              <w:sz w:val="16"/>
            </w:rPr>
            <w:fldChar w:fldCharType="end"/>
          </w:r>
        </w:p>
      </w:tc>
      <w:tc>
        <w:tcPr>
          <w:tcW w:w="3402" w:type="dxa"/>
          <w:tcBorders>
            <w:left w:val="single" w:sz="4" w:space="0" w:color="auto"/>
            <w:right w:val="single" w:sz="4" w:space="0" w:color="auto"/>
          </w:tcBorders>
        </w:tcPr>
        <w:p w:rsidR="009B041D" w:rsidRPr="00D320CC" w:rsidP="007E4125" w14:paraId="1E2DFBFC"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1296" w:type="dxa"/>
          <w:tcBorders>
            <w:left w:val="single" w:sz="4" w:space="0" w:color="auto"/>
          </w:tcBorders>
        </w:tcPr>
        <w:p w:rsidR="009B041D" w:rsidP="007E4125" w14:paraId="1E2DFBFD"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5</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5</w:t>
          </w:r>
          <w:r>
            <w:rPr>
              <w:rStyle w:val="PageNumber"/>
              <w:sz w:val="16"/>
            </w:rPr>
            <w:fldChar w:fldCharType="end"/>
          </w:r>
        </w:p>
      </w:tc>
    </w:tr>
  </w:tbl>
  <w:p w:rsidR="00B24A00" w:rsidRPr="009E0D59" w:rsidP="00B24A00" w14:paraId="1E2DFBFF" w14:textId="77777777">
    <w:pPr>
      <w:pStyle w:val="Footer"/>
      <w:rPr>
        <w:color w:val="FFFFFF"/>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083" w:type="dxa"/>
      <w:tblBorders>
        <w:top w:val="single" w:sz="4" w:space="0" w:color="auto"/>
      </w:tblBorders>
      <w:tblLayout w:type="fixed"/>
      <w:tblCellMar>
        <w:left w:w="70" w:type="dxa"/>
        <w:right w:w="70" w:type="dxa"/>
      </w:tblCellMar>
      <w:tblLook w:val="0000"/>
    </w:tblPr>
    <w:tblGrid>
      <w:gridCol w:w="2628"/>
      <w:gridCol w:w="4287"/>
      <w:gridCol w:w="2168"/>
    </w:tblGrid>
    <w:tr w14:paraId="1E2DFC13" w14:textId="77777777" w:rsidTr="00E37FE2">
      <w:tblPrEx>
        <w:tblW w:w="9083" w:type="dxa"/>
        <w:tblBorders>
          <w:top w:val="single" w:sz="4" w:space="0" w:color="auto"/>
        </w:tblBorders>
        <w:tblLayout w:type="fixed"/>
        <w:tblCellMar>
          <w:left w:w="70" w:type="dxa"/>
          <w:right w:w="70" w:type="dxa"/>
        </w:tblCellMar>
        <w:tblLook w:val="0000"/>
      </w:tblPrEx>
      <w:trPr>
        <w:trHeight w:val="522"/>
      </w:trPr>
      <w:tc>
        <w:tcPr>
          <w:tcW w:w="2628" w:type="dxa"/>
          <w:tcBorders>
            <w:right w:val="single" w:sz="4" w:space="0" w:color="auto"/>
          </w:tcBorders>
        </w:tcPr>
        <w:p w:rsidR="00E37FE2" w:rsidRPr="009B041D" w:rsidP="007E4125" w14:paraId="1E2DFC10" w14:textId="70B563E4">
          <w:pPr>
            <w:pStyle w:val="Footer"/>
            <w:rPr>
              <w:color w:val="000080"/>
              <w:sz w:val="16"/>
            </w:rPr>
          </w:pPr>
          <w:r>
            <w:rPr>
              <w:noProof/>
              <w:color w:val="000080"/>
              <w:sz w:val="16"/>
            </w:rPr>
            <mc:AlternateContent>
              <mc:Choice Requires="wps">
                <w:drawing>
                  <wp:anchor distT="0" distB="0" distL="0" distR="0" simplePos="0" relativeHeight="251658240" behindDoc="0" locked="0" layoutInCell="1" allowOverlap="1">
                    <wp:simplePos x="0" y="0"/>
                    <wp:positionH relativeFrom="page">
                      <wp:align>left</wp:align>
                    </wp:positionH>
                    <wp:positionV relativeFrom="page">
                      <wp:align>bottom</wp:align>
                    </wp:positionV>
                    <wp:extent cx="1405255" cy="345440"/>
                    <wp:effectExtent l="0" t="0" r="4445" b="0"/>
                    <wp:wrapNone/>
                    <wp:docPr id="1663941184" name="Tekstboks 1" descr="Følsomhet Intern (gul)">
                      <a:extLst xmlns:a="http://schemas.openxmlformats.org/drawingml/2006/main">
                        <a:ext xmlns:a="http://schemas.openxmlformats.org/drawingml/2006/main"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xmlns:wps="http://schemas.microsoft.com/office/word/2010/wordprocessingShape">
                          <wps:cNvSpPr txBox="1"/>
                          <wps:spPr>
                            <a:xfrm>
                              <a:off x="0" y="0"/>
                              <a:ext cx="1405255" cy="345440"/>
                            </a:xfrm>
                            <a:prstGeom prst="rect">
                              <a:avLst/>
                            </a:prstGeom>
                            <a:noFill/>
                            <a:ln>
                              <a:noFill/>
                            </a:ln>
                          </wps:spPr>
                          <wps:txbx>
                            <w:txbxContent>
                              <w:p w:rsidR="00E94398" w:rsidRPr="00E94398" w:rsidP="00E94398" w14:textId="77777777">
                                <w:pPr>
                                  <w:rPr>
                                    <w:rFonts w:ascii="Calibri" w:eastAsia="Calibri" w:hAnsi="Calibri" w:cs="Calibri"/>
                                    <w:noProof/>
                                    <w:color w:val="000000"/>
                                    <w:sz w:val="20"/>
                                  </w:rPr>
                                </w:pPr>
                                <w:r w:rsidRPr="00E94398">
                                  <w:rPr>
                                    <w:rFonts w:ascii="Calibri" w:eastAsia="Calibri" w:hAnsi="Calibri" w:cs="Calibri"/>
                                    <w:noProof/>
                                    <w:color w:val="000000"/>
                                    <w:sz w:val="20"/>
                                  </w:rPr>
                                  <w:t>Følsomhet Intern (gul)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Tekstboks 1" o:spid="_x0000_s2052" type="#_x0000_t202" alt="Følsomhet Intern (gul)" style="width:110.65pt;height:27.2pt;margin-top:0;margin-left:0;mso-position-horizontal:left;mso-position-horizontal-relative:page;mso-position-vertical:bottom;mso-position-vertical-relative:page;mso-wrap-distance-bottom:0;mso-wrap-distance-left:0;mso-wrap-distance-right:0;mso-wrap-distance-top:0;mso-wrap-style:none;position:absolute;visibility:visible;v-text-anchor:bottom;z-index:251659264" filled="f" stroked="f">
                    <v:textbox style="mso-fit-shape-to-text:t" inset="20pt,0,0,15pt">
                      <w:txbxContent>
                        <w:p w:rsidR="00E94398" w:rsidRPr="00E94398" w:rsidP="00E94398" w14:paraId="1222941A" w14:textId="77777777">
                          <w:pPr>
                            <w:rPr>
                              <w:rFonts w:ascii="Calibri" w:eastAsia="Calibri" w:hAnsi="Calibri" w:cs="Calibri"/>
                              <w:noProof/>
                              <w:color w:val="000000"/>
                              <w:sz w:val="20"/>
                            </w:rPr>
                          </w:pPr>
                          <w:r w:rsidRPr="00E94398">
                            <w:rPr>
                              <w:rFonts w:ascii="Calibri" w:eastAsia="Calibri" w:hAnsi="Calibri" w:cs="Calibri"/>
                              <w:noProof/>
                              <w:color w:val="000000"/>
                              <w:sz w:val="20"/>
                            </w:rPr>
                            <w:t>Følsomhet Intern (gul)</w:t>
                          </w:r>
                        </w:p>
                      </w:txbxContent>
                    </v:textbox>
                  </v:shape>
                </w:pict>
              </mc:Fallback>
            </mc:AlternateContent>
          </w:r>
          <w:r w:rsidR="008F0F5B">
            <w:rPr>
              <w:color w:val="000080"/>
              <w:sz w:val="16"/>
            </w:rPr>
            <w:t xml:space="preserve">Ref.nr: </w:t>
          </w:r>
          <w:r w:rsidR="008F0F5B">
            <w:rPr>
              <w:color w:val="000080"/>
              <w:sz w:val="16"/>
            </w:rPr>
            <w:fldChar w:fldCharType="begin" w:fldLock="1"/>
          </w:r>
          <w:r w:rsidR="008F0F5B">
            <w:rPr>
              <w:color w:val="000080"/>
              <w:sz w:val="16"/>
            </w:rPr>
            <w:instrText xml:space="preserve"> DOCPROPERTY EK_RefNr </w:instrText>
          </w:r>
          <w:r w:rsidR="008F0F5B">
            <w:rPr>
              <w:color w:val="000080"/>
              <w:sz w:val="16"/>
            </w:rPr>
            <w:fldChar w:fldCharType="separate"/>
          </w:r>
          <w:r w:rsidR="008F0F5B">
            <w:rPr>
              <w:color w:val="000080"/>
              <w:sz w:val="16"/>
            </w:rPr>
            <w:t>5.3.10-19</w:t>
          </w:r>
          <w:r w:rsidR="008F0F5B">
            <w:rPr>
              <w:color w:val="000080"/>
              <w:sz w:val="16"/>
            </w:rPr>
            <w:fldChar w:fldCharType="end"/>
          </w:r>
        </w:p>
      </w:tc>
      <w:tc>
        <w:tcPr>
          <w:tcW w:w="4287" w:type="dxa"/>
          <w:tcBorders>
            <w:left w:val="single" w:sz="4" w:space="0" w:color="auto"/>
            <w:right w:val="single" w:sz="4" w:space="0" w:color="auto"/>
          </w:tcBorders>
        </w:tcPr>
        <w:p w:rsidR="00E37FE2" w:rsidRPr="00D320CC" w:rsidP="007E4125" w14:paraId="1E2DFC11" w14:textId="77777777">
          <w:pPr>
            <w:pStyle w:val="Footer"/>
            <w:jc w:val="center"/>
            <w:rPr>
              <w:color w:val="000080"/>
              <w:sz w:val="16"/>
            </w:rPr>
          </w:pPr>
          <w:r>
            <w:rPr>
              <w:color w:val="000080"/>
              <w:sz w:val="16"/>
            </w:rPr>
            <w:fldChar w:fldCharType="begin" w:fldLock="1"/>
          </w:r>
          <w:r>
            <w:rPr>
              <w:color w:val="000080"/>
              <w:sz w:val="16"/>
            </w:rPr>
            <w:instrText xml:space="preserve"> DOCPROPERTY EK_EKPrintMerke </w:instrText>
          </w:r>
          <w:r>
            <w:rPr>
              <w:color w:val="000080"/>
              <w:sz w:val="16"/>
            </w:rPr>
            <w:fldChar w:fldCharType="separate"/>
          </w:r>
          <w:r>
            <w:rPr>
              <w:color w:val="000080"/>
              <w:sz w:val="16"/>
            </w:rPr>
            <w:t>Uoffisiell utskrift er kun gyldig på utskriftsdato</w:t>
          </w:r>
          <w:r>
            <w:rPr>
              <w:color w:val="000080"/>
              <w:sz w:val="16"/>
            </w:rPr>
            <w:fldChar w:fldCharType="end"/>
          </w:r>
        </w:p>
      </w:tc>
      <w:tc>
        <w:tcPr>
          <w:tcW w:w="2168" w:type="dxa"/>
          <w:tcBorders>
            <w:left w:val="single" w:sz="4" w:space="0" w:color="auto"/>
          </w:tcBorders>
        </w:tcPr>
        <w:p w:rsidR="00E37FE2" w:rsidP="007E4125" w14:paraId="1E2DFC12" w14:textId="77777777">
          <w:pPr>
            <w:pStyle w:val="Footer"/>
            <w:jc w:val="right"/>
            <w:rPr>
              <w:sz w:val="16"/>
            </w:rPr>
          </w:pPr>
          <w:r>
            <w:rPr>
              <w:sz w:val="16"/>
            </w:rPr>
            <w:t xml:space="preserve">Side </w:t>
          </w:r>
          <w:r>
            <w:rPr>
              <w:rStyle w:val="PageNumber"/>
              <w:sz w:val="16"/>
            </w:rPr>
            <w:fldChar w:fldCharType="begin"/>
          </w:r>
          <w:r>
            <w:rPr>
              <w:rStyle w:val="PageNumber"/>
              <w:sz w:val="16"/>
            </w:rPr>
            <w:instrText xml:space="preserve"> PAGE </w:instrText>
          </w:r>
          <w:r>
            <w:rPr>
              <w:rStyle w:val="PageNumber"/>
              <w:sz w:val="16"/>
            </w:rPr>
            <w:fldChar w:fldCharType="separate"/>
          </w:r>
          <w:r>
            <w:rPr>
              <w:rStyle w:val="PageNumber"/>
              <w:rFonts w:asciiTheme="minorHAnsi" w:hAnsiTheme="minorHAnsi"/>
              <w:sz w:val="16"/>
              <w:lang w:val="nb-NO" w:eastAsia="nb-NO" w:bidi="ar-SA"/>
            </w:rPr>
            <w:t>1</w:t>
          </w:r>
          <w:r>
            <w:rPr>
              <w:rStyle w:val="PageNumber"/>
              <w:sz w:val="16"/>
            </w:rPr>
            <w:fldChar w:fldCharType="end"/>
          </w:r>
          <w:r>
            <w:rPr>
              <w:sz w:val="16"/>
            </w:rPr>
            <w:t xml:space="preserve"> av </w:t>
          </w:r>
          <w:r>
            <w:rPr>
              <w:rStyle w:val="PageNumber"/>
              <w:sz w:val="16"/>
            </w:rPr>
            <w:fldChar w:fldCharType="begin"/>
          </w:r>
          <w:r>
            <w:rPr>
              <w:rStyle w:val="PageNumber"/>
              <w:sz w:val="16"/>
            </w:rPr>
            <w:instrText xml:space="preserve"> NUMPAGES </w:instrText>
          </w:r>
          <w:r>
            <w:rPr>
              <w:rStyle w:val="PageNumber"/>
              <w:sz w:val="16"/>
            </w:rPr>
            <w:fldChar w:fldCharType="separate"/>
          </w:r>
          <w:r>
            <w:rPr>
              <w:rStyle w:val="PageNumber"/>
              <w:sz w:val="16"/>
            </w:rPr>
            <w:t>5</w:t>
          </w:r>
          <w:r>
            <w:rPr>
              <w:rStyle w:val="PageNumber"/>
              <w:sz w:val="16"/>
            </w:rPr>
            <w:fldChar w:fldCharType="end"/>
          </w:r>
        </w:p>
      </w:tc>
    </w:tr>
  </w:tbl>
  <w:p w:rsidR="00B24A00" w:rsidP="00B24A00" w14:paraId="1E2DFC14" w14:textId="77777777">
    <w:pPr>
      <w:pStyle w:val="Footer"/>
      <w:rPr>
        <w:color w:val="FFFFFF"/>
        <w:sz w:val="16"/>
      </w:rPr>
    </w:pPr>
    <w:r>
      <w:rPr>
        <w:color w:val="FFFFFF"/>
        <w:sz w:val="16"/>
      </w:rPr>
      <w:t xml:space="preserve">Bedriftsnavn: </w:t>
    </w:r>
    <w:r>
      <w:rPr>
        <w:color w:val="FFFFFF"/>
        <w:sz w:val="16"/>
      </w:rPr>
      <w:fldChar w:fldCharType="begin" w:fldLock="1"/>
    </w:r>
    <w:r>
      <w:rPr>
        <w:color w:val="FFFFFF"/>
        <w:sz w:val="16"/>
      </w:rPr>
      <w:instrText xml:space="preserve"> DOCPROPERTY EK_Bedriftsnavn </w:instrText>
    </w:r>
    <w:r>
      <w:rPr>
        <w:color w:val="FFFFFF"/>
        <w:sz w:val="16"/>
      </w:rPr>
      <w:fldChar w:fldCharType="separate"/>
    </w:r>
    <w:r>
      <w:rPr>
        <w:color w:val="FFFFFF"/>
        <w:sz w:val="16"/>
      </w:rPr>
      <w:t>Helse Bergen</w:t>
    </w:r>
    <w:r>
      <w:rPr>
        <w:color w:val="FFFFFF"/>
        <w:sz w:val="16"/>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85214" w:rsidRPr="00D03EED" w:rsidP="00D03EED" w14:paraId="1E2DFBF0" w14:textId="77777777">
    <w:pPr>
      <w:pStyle w:val="Header"/>
      <w:rPr>
        <w:color w:val="000080"/>
      </w:rPr>
    </w:pPr>
    <w:r>
      <w:rPr>
        <w:color w:val="000080"/>
      </w:rPr>
      <w:fldChar w:fldCharType="begin" w:fldLock="1"/>
    </w:r>
    <w:r>
      <w:rPr>
        <w:color w:val="000080"/>
      </w:rPr>
      <w:instrText xml:space="preserve"> DOCPROPERTY EK_Bedriftsnavn </w:instrText>
    </w:r>
    <w:r>
      <w:rPr>
        <w:color w:val="000080"/>
      </w:rPr>
      <w:fldChar w:fldCharType="separate"/>
    </w:r>
    <w:r>
      <w:rPr>
        <w:color w:val="000080"/>
      </w:rPr>
      <w:t>Helse Bergen</w:t>
    </w:r>
    <w:r>
      <w:rPr>
        <w:color w:val="00008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
    <w:tblGrid>
      <w:gridCol w:w="8010"/>
      <w:gridCol w:w="992"/>
    </w:tblGrid>
    <w:tr w14:paraId="1E2DFBF4" w14:textId="77777777">
      <w:tblPrEx>
        <w:tblW w:w="0" w:type="auto"/>
        <w:tblInd w:w="70" w:type="dxa"/>
        <w:tblBorders>
          <w:top w:val="single" w:sz="4" w:space="0" w:color="auto"/>
          <w:insideH w:val="single" w:sz="4" w:space="0" w:color="auto"/>
          <w:insideV w:val="single" w:sz="4" w:space="0" w:color="auto"/>
        </w:tblBorders>
        <w:tblLayout w:type="fixed"/>
        <w:tblCellMar>
          <w:left w:w="70" w:type="dxa"/>
          <w:right w:w="70" w:type="dxa"/>
        </w:tblCellMar>
        <w:tblLook w:val="0000"/>
      </w:tblPrEx>
      <w:trPr>
        <w:trHeight w:val="576"/>
      </w:trPr>
      <w:tc>
        <w:tcPr>
          <w:tcW w:w="8010" w:type="dxa"/>
          <w:tcBorders>
            <w:top w:val="single" w:sz="4" w:space="0" w:color="auto"/>
            <w:left w:val="single" w:sz="4" w:space="0" w:color="auto"/>
            <w:bottom w:val="single" w:sz="4" w:space="0" w:color="auto"/>
          </w:tcBorders>
          <w:vAlign w:val="bottom"/>
        </w:tcPr>
        <w:p w:rsidR="00485214" w14:paraId="1E2DFBF1"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Hyperbilirubinemi - prosedyrer og lysbehandling ved gulsott, Nyfødtintensiv</w:t>
          </w:r>
          <w:r>
            <w:rPr>
              <w:sz w:val="28"/>
            </w:rPr>
            <w:fldChar w:fldCharType="end"/>
          </w:r>
        </w:p>
      </w:tc>
      <w:tc>
        <w:tcPr>
          <w:tcW w:w="992" w:type="dxa"/>
          <w:tcBorders>
            <w:bottom w:val="single" w:sz="4" w:space="0" w:color="auto"/>
            <w:right w:val="single" w:sz="4" w:space="0" w:color="auto"/>
          </w:tcBorders>
        </w:tcPr>
        <w:p w:rsidR="00485214" w14:paraId="1E2DFBF2" w14:textId="77777777">
          <w:pPr>
            <w:pStyle w:val="Header"/>
            <w:jc w:val="left"/>
            <w:rPr>
              <w:sz w:val="12"/>
            </w:rPr>
          </w:pPr>
        </w:p>
        <w:p w:rsidR="00485214" w14:paraId="1E2DFBF3" w14:textId="77777777">
          <w:pPr>
            <w:pStyle w:val="Header"/>
            <w:jc w:val="left"/>
            <w:rPr>
              <w:sz w:val="28"/>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3.00</w:t>
          </w:r>
          <w:r>
            <w:rPr>
              <w:sz w:val="16"/>
            </w:rPr>
            <w:fldChar w:fldCharType="end"/>
          </w:r>
        </w:p>
      </w:tc>
    </w:tr>
  </w:tbl>
  <w:p w:rsidR="00485214" w14:paraId="1E2DFBF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1859"/>
      <w:gridCol w:w="5082"/>
      <w:gridCol w:w="2737"/>
    </w:tblGrid>
    <w:tr w14:paraId="1E2DFC02" w14:textId="77777777" w:rsidTr="00B57A47">
      <w:tblPrEx>
        <w:tblW w:w="96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Ex>
      <w:trPr>
        <w:cantSplit/>
        <w:trHeight w:val="465"/>
      </w:trPr>
      <w:tc>
        <w:tcPr>
          <w:tcW w:w="1859" w:type="dxa"/>
          <w:vAlign w:val="center"/>
        </w:tcPr>
        <w:p w:rsidR="00485214" w14:paraId="1E2DFC00" w14:textId="77777777">
          <w:pPr>
            <w:pStyle w:val="Header"/>
            <w:jc w:val="center"/>
            <w:rPr>
              <w:sz w:val="16"/>
            </w:rPr>
          </w:pPr>
          <w:r>
            <w:obj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051" type="#_x0000_t75" style="width:86.15pt;height:16.45pt" o:ole="">
                <v:imagedata r:id="rId1" o:title=""/>
              </v:shape>
              <o:OLEObject Type="Embed" ProgID="PBrush" ShapeID="_x0000_i2051" DrawAspect="Content" ObjectID="_1836033401" r:id="rId2"/>
            </w:object>
          </w:r>
        </w:p>
      </w:tc>
      <w:tc>
        <w:tcPr>
          <w:tcW w:w="7819" w:type="dxa"/>
          <w:gridSpan w:val="2"/>
          <w:vAlign w:val="bottom"/>
        </w:tcPr>
        <w:p w:rsidR="00485214" w14:paraId="1E2DFC01" w14:textId="77777777">
          <w:pPr>
            <w:pStyle w:val="Header"/>
            <w:jc w:val="center"/>
            <w:rPr>
              <w:sz w:val="28"/>
            </w:rPr>
          </w:pPr>
          <w:r>
            <w:rPr>
              <w:sz w:val="28"/>
            </w:rPr>
            <w:fldChar w:fldCharType="begin" w:fldLock="1"/>
          </w:r>
          <w:r>
            <w:rPr>
              <w:color w:val="000080"/>
              <w:sz w:val="28"/>
            </w:rPr>
            <w:instrText xml:space="preserve"> DOCPROPERTY EK_DokTittel </w:instrText>
          </w:r>
          <w:r>
            <w:rPr>
              <w:sz w:val="28"/>
            </w:rPr>
            <w:fldChar w:fldCharType="separate"/>
          </w:r>
          <w:r>
            <w:rPr>
              <w:color w:val="000080"/>
              <w:sz w:val="28"/>
            </w:rPr>
            <w:t>Hyperbilirubinemi - prosedyrer og lysbehandling ved gulsott, Nyfødtintensiv</w:t>
          </w:r>
          <w:r>
            <w:rPr>
              <w:sz w:val="28"/>
            </w:rPr>
            <w:fldChar w:fldCharType="end"/>
          </w:r>
        </w:p>
      </w:tc>
    </w:tr>
    <w:tr w14:paraId="1E2DFC05" w14:textId="77777777" w:rsidTr="00B57A47">
      <w:tblPrEx>
        <w:tblW w:w="9678" w:type="dxa"/>
        <w:tblLayout w:type="fixed"/>
        <w:tblCellMar>
          <w:left w:w="70" w:type="dxa"/>
          <w:right w:w="70" w:type="dxa"/>
        </w:tblCellMar>
        <w:tblLook w:val="0000"/>
      </w:tblPrEx>
      <w:trPr>
        <w:cantSplit/>
        <w:trHeight w:val="228"/>
      </w:trPr>
      <w:tc>
        <w:tcPr>
          <w:tcW w:w="6941" w:type="dxa"/>
          <w:gridSpan w:val="2"/>
          <w:vAlign w:val="bottom"/>
        </w:tcPr>
        <w:p w:rsidR="00FD5284" w14:paraId="1E2DFC03" w14:textId="77777777">
          <w:pPr>
            <w:pStyle w:val="Header"/>
            <w:jc w:val="left"/>
            <w:rPr>
              <w:sz w:val="16"/>
            </w:rPr>
          </w:pPr>
          <w:r>
            <w:rPr>
              <w:sz w:val="16"/>
            </w:rPr>
            <w:t xml:space="preserve">Kategori: </w:t>
          </w:r>
          <w:r>
            <w:rPr>
              <w:sz w:val="16"/>
            </w:rPr>
            <w:fldChar w:fldCharType="begin" w:fldLock="1"/>
          </w:r>
          <w:r>
            <w:rPr>
              <w:sz w:val="16"/>
            </w:rPr>
            <w:instrText xml:space="preserve"> DOCPROPERTY EK_S01MT3 </w:instrText>
          </w:r>
          <w:r>
            <w:rPr>
              <w:sz w:val="16"/>
            </w:rPr>
            <w:fldChar w:fldCharType="separate"/>
          </w:r>
          <w:r>
            <w:rPr>
              <w:sz w:val="16"/>
            </w:rPr>
            <w:t>Pasientbehandling/Fagprosedyrer</w:t>
          </w:r>
          <w:r>
            <w:rPr>
              <w:sz w:val="16"/>
            </w:rPr>
            <w:fldChar w:fldCharType="end"/>
          </w:r>
        </w:p>
      </w:tc>
      <w:tc>
        <w:tcPr>
          <w:tcW w:w="2737" w:type="dxa"/>
          <w:vAlign w:val="bottom"/>
        </w:tcPr>
        <w:p w:rsidR="00FD5284" w:rsidRPr="005F0E8F" w:rsidP="005F0E8F" w14:paraId="1E2DFC04" w14:textId="77777777">
          <w:pPr>
            <w:pStyle w:val="Header"/>
            <w:jc w:val="left"/>
            <w:rPr>
              <w:color w:val="000080"/>
              <w:sz w:val="16"/>
            </w:rPr>
          </w:pPr>
          <w:r>
            <w:rPr>
              <w:sz w:val="16"/>
            </w:rPr>
            <w:t>G</w:t>
          </w:r>
          <w:r w:rsidRPr="005F0E8F">
            <w:rPr>
              <w:sz w:val="16"/>
            </w:rPr>
            <w:t xml:space="preserve">yldig </w:t>
          </w:r>
          <w:r>
            <w:rPr>
              <w:sz w:val="16"/>
            </w:rPr>
            <w:t>fra/</w:t>
          </w:r>
          <w:r w:rsidRPr="005F0E8F">
            <w:rPr>
              <w:sz w:val="16"/>
            </w:rPr>
            <w:t>til</w:t>
          </w:r>
          <w:r>
            <w:rPr>
              <w:color w:val="000080"/>
              <w:sz w:val="16"/>
            </w:rPr>
            <w:t>:</w:t>
          </w:r>
          <w:r>
            <w:rPr>
              <w:color w:val="000080"/>
              <w:sz w:val="16"/>
            </w:rPr>
            <w:fldChar w:fldCharType="begin" w:fldLock="1"/>
          </w:r>
          <w:r>
            <w:rPr>
              <w:color w:val="000080"/>
              <w:sz w:val="16"/>
            </w:rPr>
            <w:instrText xml:space="preserve"> DOCPROPERTY EK_GjelderFra </w:instrText>
          </w:r>
          <w:r>
            <w:rPr>
              <w:color w:val="000080"/>
              <w:sz w:val="16"/>
            </w:rPr>
            <w:fldChar w:fldCharType="separate"/>
          </w:r>
          <w:r>
            <w:rPr>
              <w:color w:val="000080"/>
              <w:sz w:val="16"/>
            </w:rPr>
            <w:t>27.03.2026</w:t>
          </w:r>
          <w:r>
            <w:rPr>
              <w:color w:val="000080"/>
              <w:sz w:val="16"/>
            </w:rPr>
            <w:fldChar w:fldCharType="end"/>
          </w:r>
          <w:r>
            <w:rPr>
              <w:color w:val="000080"/>
              <w:sz w:val="16"/>
            </w:rPr>
            <w:t>/</w:t>
          </w:r>
          <w:r>
            <w:rPr>
              <w:color w:val="000080"/>
              <w:sz w:val="16"/>
            </w:rPr>
            <w:fldChar w:fldCharType="begin" w:fldLock="1"/>
          </w:r>
          <w:r>
            <w:rPr>
              <w:color w:val="000080"/>
              <w:sz w:val="16"/>
            </w:rPr>
            <w:instrText xml:space="preserve"> DOCPROPERTY EK_GjelderTil </w:instrText>
          </w:r>
          <w:r>
            <w:rPr>
              <w:color w:val="000080"/>
              <w:sz w:val="16"/>
            </w:rPr>
            <w:fldChar w:fldCharType="separate"/>
          </w:r>
          <w:r>
            <w:rPr>
              <w:color w:val="000080"/>
              <w:sz w:val="16"/>
            </w:rPr>
            <w:t>27.03.2029</w:t>
          </w:r>
          <w:r>
            <w:rPr>
              <w:color w:val="000080"/>
              <w:sz w:val="16"/>
            </w:rPr>
            <w:fldChar w:fldCharType="end"/>
          </w:r>
        </w:p>
      </w:tc>
    </w:tr>
    <w:tr w14:paraId="1E2DFC08" w14:textId="77777777" w:rsidTr="00B57A47">
      <w:tblPrEx>
        <w:tblW w:w="9678" w:type="dxa"/>
        <w:tblLayout w:type="fixed"/>
        <w:tblCellMar>
          <w:left w:w="70" w:type="dxa"/>
          <w:right w:w="70" w:type="dxa"/>
        </w:tblCellMar>
        <w:tblLook w:val="0000"/>
      </w:tblPrEx>
      <w:trPr>
        <w:cantSplit/>
        <w:trHeight w:val="168"/>
      </w:trPr>
      <w:tc>
        <w:tcPr>
          <w:tcW w:w="6941" w:type="dxa"/>
          <w:gridSpan w:val="2"/>
        </w:tcPr>
        <w:p w:rsidR="005F0E8F" w14:paraId="1E2DFC06" w14:textId="77777777">
          <w:pPr>
            <w:rPr>
              <w:sz w:val="16"/>
            </w:rPr>
          </w:pPr>
          <w:r>
            <w:rPr>
              <w:sz w:val="16"/>
            </w:rPr>
            <w:t xml:space="preserve">Organisatorisk plassering: </w:t>
          </w:r>
          <w:r>
            <w:rPr>
              <w:sz w:val="16"/>
            </w:rPr>
            <w:fldChar w:fldCharType="begin" w:fldLock="1"/>
          </w:r>
          <w:r>
            <w:rPr>
              <w:sz w:val="16"/>
            </w:rPr>
            <w:instrText xml:space="preserve"> DOCPROPERTY EK_S00MT1 </w:instrText>
          </w:r>
          <w:r>
            <w:rPr>
              <w:sz w:val="16"/>
            </w:rPr>
            <w:fldChar w:fldCharType="separate"/>
          </w:r>
          <w:r>
            <w:rPr>
              <w:sz w:val="16"/>
            </w:rPr>
            <w:t>Helse Bergen HF/Barne- og ungdomsklinikken/Nyføddintensiv</w:t>
          </w:r>
          <w:r>
            <w:rPr>
              <w:sz w:val="16"/>
            </w:rPr>
            <w:fldChar w:fldCharType="end"/>
          </w:r>
        </w:p>
      </w:tc>
      <w:tc>
        <w:tcPr>
          <w:tcW w:w="2737" w:type="dxa"/>
          <w:vAlign w:val="bottom"/>
        </w:tcPr>
        <w:p w:rsidR="005F0E8F" w14:paraId="1E2DFC07" w14:textId="77777777">
          <w:pPr>
            <w:pStyle w:val="Header"/>
            <w:jc w:val="left"/>
            <w:rPr>
              <w:sz w:val="16"/>
            </w:rPr>
          </w:pPr>
          <w:r>
            <w:rPr>
              <w:sz w:val="16"/>
            </w:rPr>
            <w:t xml:space="preserve">Versjon: </w:t>
          </w:r>
          <w:r>
            <w:rPr>
              <w:sz w:val="16"/>
            </w:rPr>
            <w:fldChar w:fldCharType="begin" w:fldLock="1"/>
          </w:r>
          <w:r>
            <w:rPr>
              <w:color w:val="000080"/>
              <w:sz w:val="16"/>
            </w:rPr>
            <w:instrText xml:space="preserve"> DOCPROPERTY EK_Utgave </w:instrText>
          </w:r>
          <w:r>
            <w:rPr>
              <w:sz w:val="16"/>
            </w:rPr>
            <w:fldChar w:fldCharType="separate"/>
          </w:r>
          <w:r>
            <w:rPr>
              <w:color w:val="000080"/>
              <w:sz w:val="16"/>
            </w:rPr>
            <w:t>3.00</w:t>
          </w:r>
          <w:r>
            <w:rPr>
              <w:sz w:val="16"/>
            </w:rPr>
            <w:fldChar w:fldCharType="end"/>
          </w:r>
        </w:p>
      </w:tc>
    </w:tr>
    <w:tr w14:paraId="1E2DFC0B" w14:textId="77777777" w:rsidTr="00B57A47">
      <w:tblPrEx>
        <w:tblW w:w="9678" w:type="dxa"/>
        <w:tblLayout w:type="fixed"/>
        <w:tblCellMar>
          <w:left w:w="70" w:type="dxa"/>
          <w:right w:w="70" w:type="dxa"/>
        </w:tblCellMar>
        <w:tblLook w:val="0000"/>
      </w:tblPrEx>
      <w:trPr>
        <w:trHeight w:val="252"/>
      </w:trPr>
      <w:tc>
        <w:tcPr>
          <w:tcW w:w="6941" w:type="dxa"/>
          <w:gridSpan w:val="2"/>
        </w:tcPr>
        <w:p w:rsidR="00FD5284" w:rsidP="00FD5284" w14:paraId="1E2DFC09" w14:textId="77777777">
          <w:pPr>
            <w:pStyle w:val="Header"/>
            <w:jc w:val="left"/>
            <w:rPr>
              <w:sz w:val="16"/>
            </w:rPr>
          </w:pPr>
          <w:r>
            <w:rPr>
              <w:sz w:val="16"/>
            </w:rPr>
            <w:t xml:space="preserve">Godkjenner: </w:t>
          </w:r>
          <w:r>
            <w:rPr>
              <w:color w:val="000080"/>
              <w:sz w:val="16"/>
            </w:rPr>
            <w:fldChar w:fldCharType="begin" w:fldLock="1"/>
          </w:r>
          <w:r>
            <w:rPr>
              <w:color w:val="000080"/>
              <w:sz w:val="16"/>
            </w:rPr>
            <w:instrText xml:space="preserve"> DOCPROPERTY EK_Signatur </w:instrText>
          </w:r>
          <w:r>
            <w:rPr>
              <w:color w:val="000080"/>
              <w:sz w:val="16"/>
            </w:rPr>
            <w:fldChar w:fldCharType="separate"/>
          </w:r>
          <w:r>
            <w:rPr>
              <w:color w:val="000080"/>
              <w:sz w:val="16"/>
            </w:rPr>
            <w:t>Anne-Siri Fonneland</w:t>
          </w:r>
          <w:r>
            <w:rPr>
              <w:color w:val="000080"/>
              <w:sz w:val="16"/>
            </w:rPr>
            <w:fldChar w:fldCharType="end"/>
          </w:r>
          <w:r>
            <w:rPr>
              <w:color w:val="000080"/>
              <w:sz w:val="16"/>
            </w:rPr>
            <w:t xml:space="preserve"> </w:t>
          </w:r>
        </w:p>
      </w:tc>
      <w:tc>
        <w:tcPr>
          <w:tcW w:w="2737" w:type="dxa"/>
        </w:tcPr>
        <w:p w:rsidR="00FD5284" w:rsidP="00FD5284" w14:paraId="1E2DFC0A" w14:textId="77777777">
          <w:pPr>
            <w:rPr>
              <w:sz w:val="16"/>
            </w:rPr>
          </w:pPr>
          <w:r>
            <w:rPr>
              <w:color w:val="000080"/>
              <w:sz w:val="16"/>
            </w:rPr>
            <w:fldChar w:fldCharType="begin" w:fldLock="1"/>
          </w:r>
          <w:r>
            <w:rPr>
              <w:color w:val="000080"/>
              <w:sz w:val="16"/>
            </w:rPr>
            <w:instrText xml:space="preserve"> DOCPROPERTY EK_DokType </w:instrText>
          </w:r>
          <w:r>
            <w:rPr>
              <w:color w:val="000080"/>
              <w:sz w:val="16"/>
            </w:rPr>
            <w:fldChar w:fldCharType="separate"/>
          </w:r>
          <w:r>
            <w:rPr>
              <w:color w:val="000080"/>
              <w:sz w:val="16"/>
            </w:rPr>
            <w:t>Prosedyre</w:t>
          </w:r>
          <w:r>
            <w:rPr>
              <w:color w:val="000080"/>
              <w:sz w:val="16"/>
            </w:rPr>
            <w:fldChar w:fldCharType="end"/>
          </w:r>
        </w:p>
      </w:tc>
    </w:tr>
    <w:tr w14:paraId="1E2DFC0E" w14:textId="77777777" w:rsidTr="00B57A47">
      <w:tblPrEx>
        <w:tblW w:w="9678" w:type="dxa"/>
        <w:tblLayout w:type="fixed"/>
        <w:tblCellMar>
          <w:left w:w="70" w:type="dxa"/>
          <w:right w:w="70" w:type="dxa"/>
        </w:tblCellMar>
        <w:tblLook w:val="0000"/>
      </w:tblPrEx>
      <w:trPr>
        <w:trHeight w:val="153"/>
      </w:trPr>
      <w:tc>
        <w:tcPr>
          <w:tcW w:w="6941" w:type="dxa"/>
          <w:gridSpan w:val="2"/>
        </w:tcPr>
        <w:p w:rsidR="00FD5284" w:rsidP="00FD5284" w14:paraId="1E2DFC0C" w14:textId="77777777">
          <w:pPr>
            <w:rPr>
              <w:sz w:val="16"/>
            </w:rPr>
          </w:pPr>
          <w:r>
            <w:rPr>
              <w:sz w:val="16"/>
            </w:rPr>
            <w:t xml:space="preserve">Dok. ansvarlig: </w:t>
          </w:r>
          <w:r>
            <w:rPr>
              <w:color w:val="000080"/>
              <w:sz w:val="16"/>
            </w:rPr>
            <w:fldChar w:fldCharType="begin" w:fldLock="1"/>
          </w:r>
          <w:r>
            <w:rPr>
              <w:color w:val="000080"/>
              <w:sz w:val="16"/>
            </w:rPr>
            <w:instrText xml:space="preserve"> DOCPROPERTY EK_UText1 </w:instrText>
          </w:r>
          <w:r>
            <w:rPr>
              <w:color w:val="000080"/>
              <w:sz w:val="16"/>
            </w:rPr>
            <w:fldChar w:fldCharType="separate"/>
          </w:r>
          <w:r>
            <w:rPr>
              <w:color w:val="000080"/>
              <w:sz w:val="16"/>
            </w:rPr>
            <w:t>Merete Susan Olsen</w:t>
          </w:r>
          <w:r>
            <w:rPr>
              <w:color w:val="000080"/>
              <w:sz w:val="16"/>
            </w:rPr>
            <w:fldChar w:fldCharType="end"/>
          </w:r>
          <w:r>
            <w:rPr>
              <w:color w:val="000080"/>
              <w:sz w:val="16"/>
            </w:rPr>
            <w:t xml:space="preserve"> </w:t>
          </w:r>
        </w:p>
      </w:tc>
      <w:tc>
        <w:tcPr>
          <w:tcW w:w="2737" w:type="dxa"/>
        </w:tcPr>
        <w:p w:rsidR="00FD5284" w14:paraId="1E2DFC0D" w14:textId="77777777">
          <w:pPr>
            <w:rPr>
              <w:sz w:val="16"/>
            </w:rPr>
          </w:pPr>
          <w:r w:rsidRPr="005F0E8F">
            <w:rPr>
              <w:sz w:val="16"/>
            </w:rPr>
            <w:t>Dok.id</w:t>
          </w:r>
          <w:r>
            <w:rPr>
              <w:sz w:val="16"/>
            </w:rPr>
            <w:t xml:space="preserve">: </w:t>
          </w:r>
          <w:r>
            <w:rPr>
              <w:color w:val="000080"/>
              <w:sz w:val="16"/>
            </w:rPr>
            <w:fldChar w:fldCharType="begin" w:fldLock="1"/>
          </w:r>
          <w:r>
            <w:rPr>
              <w:color w:val="000080"/>
              <w:sz w:val="16"/>
            </w:rPr>
            <w:instrText xml:space="preserve"> DOCPROPERTY EK_DokumentID </w:instrText>
          </w:r>
          <w:r>
            <w:rPr>
              <w:color w:val="000080"/>
              <w:sz w:val="16"/>
            </w:rPr>
            <w:fldChar w:fldCharType="separate"/>
          </w:r>
          <w:r>
            <w:rPr>
              <w:color w:val="000080"/>
              <w:sz w:val="16"/>
            </w:rPr>
            <w:t>D76288</w:t>
          </w:r>
          <w:r>
            <w:rPr>
              <w:color w:val="000080"/>
              <w:sz w:val="16"/>
            </w:rPr>
            <w:fldChar w:fldCharType="end"/>
          </w:r>
        </w:p>
      </w:tc>
    </w:tr>
  </w:tbl>
  <w:p w:rsidR="00485214" w14:paraId="1E2DFC0F" w14:textId="77777777">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7A25486"/>
    <w:lvl w:ilvl="0">
      <w:start w:val="1"/>
      <w:numFmt w:val="decimal"/>
      <w:lvlText w:val="%1."/>
      <w:lvlJc w:val="left"/>
      <w:pPr>
        <w:tabs>
          <w:tab w:val="num" w:pos="1492"/>
        </w:tabs>
        <w:ind w:left="1492" w:hanging="360"/>
      </w:pPr>
    </w:lvl>
  </w:abstractNum>
  <w:abstractNum w:abstractNumId="1">
    <w:nsid w:val="FFFFFF7D"/>
    <w:multiLevelType w:val="singleLevel"/>
    <w:tmpl w:val="9E10453A"/>
    <w:lvl w:ilvl="0">
      <w:start w:val="1"/>
      <w:numFmt w:val="decimal"/>
      <w:lvlText w:val="%1."/>
      <w:lvlJc w:val="left"/>
      <w:pPr>
        <w:tabs>
          <w:tab w:val="num" w:pos="1209"/>
        </w:tabs>
        <w:ind w:left="1209" w:hanging="360"/>
      </w:pPr>
    </w:lvl>
  </w:abstractNum>
  <w:abstractNum w:abstractNumId="2">
    <w:nsid w:val="FFFFFF7E"/>
    <w:multiLevelType w:val="singleLevel"/>
    <w:tmpl w:val="2D9898B4"/>
    <w:lvl w:ilvl="0">
      <w:start w:val="1"/>
      <w:numFmt w:val="decimal"/>
      <w:lvlText w:val="%1."/>
      <w:lvlJc w:val="left"/>
      <w:pPr>
        <w:tabs>
          <w:tab w:val="num" w:pos="926"/>
        </w:tabs>
        <w:ind w:left="926" w:hanging="360"/>
      </w:pPr>
    </w:lvl>
  </w:abstractNum>
  <w:abstractNum w:abstractNumId="3">
    <w:nsid w:val="FFFFFF7F"/>
    <w:multiLevelType w:val="singleLevel"/>
    <w:tmpl w:val="2DAA4B56"/>
    <w:lvl w:ilvl="0">
      <w:start w:val="1"/>
      <w:numFmt w:val="decimal"/>
      <w:lvlText w:val="%1."/>
      <w:lvlJc w:val="left"/>
      <w:pPr>
        <w:tabs>
          <w:tab w:val="num" w:pos="643"/>
        </w:tabs>
        <w:ind w:left="643" w:hanging="360"/>
      </w:pPr>
    </w:lvl>
  </w:abstractNum>
  <w:abstractNum w:abstractNumId="4">
    <w:nsid w:val="FFFFFF80"/>
    <w:multiLevelType w:val="singleLevel"/>
    <w:tmpl w:val="875C338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798EBF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4121EF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81E6D4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5288EAE"/>
    <w:lvl w:ilvl="0">
      <w:start w:val="1"/>
      <w:numFmt w:val="decimal"/>
      <w:lvlText w:val="%1."/>
      <w:lvlJc w:val="left"/>
      <w:pPr>
        <w:tabs>
          <w:tab w:val="num" w:pos="360"/>
        </w:tabs>
        <w:ind w:left="360" w:hanging="360"/>
      </w:pPr>
    </w:lvl>
  </w:abstractNum>
  <w:abstractNum w:abstractNumId="9">
    <w:nsid w:val="FFFFFF89"/>
    <w:multiLevelType w:val="singleLevel"/>
    <w:tmpl w:val="3C20E630"/>
    <w:lvl w:ilvl="0">
      <w:start w:val="1"/>
      <w:numFmt w:val="bullet"/>
      <w:lvlText w:val=""/>
      <w:lvlJc w:val="left"/>
      <w:pPr>
        <w:tabs>
          <w:tab w:val="num" w:pos="360"/>
        </w:tabs>
        <w:ind w:left="360" w:hanging="360"/>
      </w:pPr>
      <w:rPr>
        <w:rFonts w:ascii="Symbol" w:hAnsi="Symbol" w:hint="default"/>
      </w:rPr>
    </w:lvl>
  </w:abstractNum>
  <w:abstractNum w:abstractNumId="10">
    <w:nsid w:val="08D17D42"/>
    <w:multiLevelType w:val="hybridMultilevel"/>
    <w:tmpl w:val="57CCADA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12E6371A"/>
    <w:multiLevelType w:val="multilevel"/>
    <w:tmpl w:val="9D1E0E2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nsid w:val="1A6A08F7"/>
    <w:multiLevelType w:val="multilevel"/>
    <w:tmpl w:val="F2BEED4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lvlRestart w:val="1"/>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nsid w:val="26ED013E"/>
    <w:multiLevelType w:val="multilevel"/>
    <w:tmpl w:val="99747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32314BA9"/>
    <w:multiLevelType w:val="hybridMultilevel"/>
    <w:tmpl w:val="6A968ADE"/>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A6D38FE"/>
    <w:multiLevelType w:val="hybridMultilevel"/>
    <w:tmpl w:val="61BE26F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6">
    <w:nsid w:val="3AA15FF4"/>
    <w:multiLevelType w:val="hybridMultilevel"/>
    <w:tmpl w:val="A886B60C"/>
    <w:lvl w:ilvl="0">
      <w:start w:val="1"/>
      <w:numFmt w:val="bullet"/>
      <w:lvlText w:val=""/>
      <w:lvlJc w:val="left"/>
      <w:pPr>
        <w:ind w:left="720" w:hanging="360"/>
      </w:pPr>
      <w:rPr>
        <w:rFonts w:ascii="Symbol" w:eastAsia="Times New Roman" w:hAnsi="Symbol" w:cstheme="minorHAnsi"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43E2705C"/>
    <w:multiLevelType w:val="hybridMultilevel"/>
    <w:tmpl w:val="DA42BF7E"/>
    <w:lvl w:ilvl="0">
      <w:start w:val="1"/>
      <w:numFmt w:val="bullet"/>
      <w:lvlText w:val="o"/>
      <w:lvlJc w:val="left"/>
      <w:pPr>
        <w:ind w:left="1080" w:hanging="360"/>
      </w:pPr>
      <w:rPr>
        <w:rFonts w:ascii="Courier New" w:hAnsi="Courier New" w:cs="Courier New"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8">
    <w:nsid w:val="588D5773"/>
    <w:multiLevelType w:val="hybridMultilevel"/>
    <w:tmpl w:val="708E910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4A122E"/>
    <w:multiLevelType w:val="singleLevel"/>
    <w:tmpl w:val="0414000F"/>
    <w:lvl w:ilvl="0">
      <w:start w:val="1"/>
      <w:numFmt w:val="decimal"/>
      <w:lvlText w:val="%1."/>
      <w:lvlJc w:val="left"/>
      <w:pPr>
        <w:tabs>
          <w:tab w:val="num" w:pos="360"/>
        </w:tabs>
        <w:ind w:left="360" w:hanging="360"/>
      </w:pPr>
      <w:rPr>
        <w:rFonts w:hint="default"/>
      </w:rPr>
    </w:lvl>
  </w:abstractNum>
  <w:abstractNum w:abstractNumId="20">
    <w:nsid w:val="6B96381E"/>
    <w:multiLevelType w:val="hybridMultilevel"/>
    <w:tmpl w:val="E560237C"/>
    <w:lvl w:ilvl="0">
      <w:start w:val="1"/>
      <w:numFmt w:val="bullet"/>
      <w:lvlText w:val=""/>
      <w:lvlJc w:val="left"/>
      <w:pPr>
        <w:ind w:left="502" w:hanging="360"/>
      </w:pPr>
      <w:rPr>
        <w:rFonts w:ascii="Symbol" w:eastAsia="Times New Roman" w:hAnsi="Symbol" w:cstheme="minorHAns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70094A90"/>
    <w:multiLevelType w:val="multilevel"/>
    <w:tmpl w:val="8EBE96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03511355">
    <w:abstractNumId w:val="11"/>
  </w:num>
  <w:num w:numId="2" w16cid:durableId="955404192">
    <w:abstractNumId w:val="8"/>
  </w:num>
  <w:num w:numId="3" w16cid:durableId="1572735506">
    <w:abstractNumId w:val="3"/>
  </w:num>
  <w:num w:numId="4" w16cid:durableId="747457371">
    <w:abstractNumId w:val="2"/>
  </w:num>
  <w:num w:numId="5" w16cid:durableId="1857619230">
    <w:abstractNumId w:val="1"/>
  </w:num>
  <w:num w:numId="6" w16cid:durableId="696195272">
    <w:abstractNumId w:val="0"/>
  </w:num>
  <w:num w:numId="7" w16cid:durableId="1323583521">
    <w:abstractNumId w:val="9"/>
  </w:num>
  <w:num w:numId="8" w16cid:durableId="1731227303">
    <w:abstractNumId w:val="7"/>
  </w:num>
  <w:num w:numId="9" w16cid:durableId="520974326">
    <w:abstractNumId w:val="6"/>
  </w:num>
  <w:num w:numId="10" w16cid:durableId="2078240614">
    <w:abstractNumId w:val="5"/>
  </w:num>
  <w:num w:numId="11" w16cid:durableId="1971395199">
    <w:abstractNumId w:val="4"/>
  </w:num>
  <w:num w:numId="12" w16cid:durableId="1905723065">
    <w:abstractNumId w:val="12"/>
  </w:num>
  <w:num w:numId="13" w16cid:durableId="1265306671">
    <w:abstractNumId w:val="19"/>
  </w:num>
  <w:num w:numId="14" w16cid:durableId="297801197">
    <w:abstractNumId w:val="20"/>
  </w:num>
  <w:num w:numId="15" w16cid:durableId="1539587351">
    <w:abstractNumId w:val="16"/>
  </w:num>
  <w:num w:numId="16" w16cid:durableId="792946882">
    <w:abstractNumId w:val="10"/>
  </w:num>
  <w:num w:numId="17" w16cid:durableId="2110394761">
    <w:abstractNumId w:val="13"/>
  </w:num>
  <w:num w:numId="18" w16cid:durableId="163327140">
    <w:abstractNumId w:val="21"/>
  </w:num>
  <w:num w:numId="19" w16cid:durableId="339818190">
    <w:abstractNumId w:val="18"/>
  </w:num>
  <w:num w:numId="20" w16cid:durableId="1176577834">
    <w:abstractNumId w:val="14"/>
  </w:num>
  <w:num w:numId="21" w16cid:durableId="452334921">
    <w:abstractNumId w:val="15"/>
  </w:num>
  <w:num w:numId="22" w16cid:durableId="152288847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proofState w:spelling="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09"/>
  <w:hyphenationZone w:val="425"/>
  <w:doNotHyphenateCaps/>
  <w:displayHorizontalDrawingGridEvery w:val="0"/>
  <w:displayVerticalDrawingGridEvery w:val="0"/>
  <w:doNotUseMarginsForDrawingGridOrigin/>
  <w:doNotShadeFormData/>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A8A"/>
    <w:rsid w:val="00007BD0"/>
    <w:rsid w:val="000131BD"/>
    <w:rsid w:val="00020754"/>
    <w:rsid w:val="00027D01"/>
    <w:rsid w:val="000354A8"/>
    <w:rsid w:val="00042992"/>
    <w:rsid w:val="0005214E"/>
    <w:rsid w:val="00056D52"/>
    <w:rsid w:val="000659D2"/>
    <w:rsid w:val="00067C31"/>
    <w:rsid w:val="000748CE"/>
    <w:rsid w:val="00076677"/>
    <w:rsid w:val="00080827"/>
    <w:rsid w:val="00081F27"/>
    <w:rsid w:val="000825B8"/>
    <w:rsid w:val="00083284"/>
    <w:rsid w:val="00097072"/>
    <w:rsid w:val="000A1D6A"/>
    <w:rsid w:val="000A6B2D"/>
    <w:rsid w:val="000C6A9B"/>
    <w:rsid w:val="000C763E"/>
    <w:rsid w:val="000D3C29"/>
    <w:rsid w:val="000D5FFE"/>
    <w:rsid w:val="000D63E4"/>
    <w:rsid w:val="000E588F"/>
    <w:rsid w:val="000F074A"/>
    <w:rsid w:val="000F32C5"/>
    <w:rsid w:val="000F5FC0"/>
    <w:rsid w:val="00101002"/>
    <w:rsid w:val="00115094"/>
    <w:rsid w:val="00117E18"/>
    <w:rsid w:val="00121CEC"/>
    <w:rsid w:val="00126938"/>
    <w:rsid w:val="00140619"/>
    <w:rsid w:val="001443B8"/>
    <w:rsid w:val="00150F73"/>
    <w:rsid w:val="00151E16"/>
    <w:rsid w:val="00155765"/>
    <w:rsid w:val="00157C37"/>
    <w:rsid w:val="00161FD5"/>
    <w:rsid w:val="00176BA5"/>
    <w:rsid w:val="00187793"/>
    <w:rsid w:val="0019138B"/>
    <w:rsid w:val="0019290E"/>
    <w:rsid w:val="001A4CED"/>
    <w:rsid w:val="001B1D43"/>
    <w:rsid w:val="001B37A6"/>
    <w:rsid w:val="001B4585"/>
    <w:rsid w:val="001C094A"/>
    <w:rsid w:val="001E1DBA"/>
    <w:rsid w:val="001E212C"/>
    <w:rsid w:val="001E39FB"/>
    <w:rsid w:val="001F7E88"/>
    <w:rsid w:val="0020110C"/>
    <w:rsid w:val="00203F1E"/>
    <w:rsid w:val="00227AF8"/>
    <w:rsid w:val="00241F65"/>
    <w:rsid w:val="00255960"/>
    <w:rsid w:val="00267446"/>
    <w:rsid w:val="00281B8D"/>
    <w:rsid w:val="002822D3"/>
    <w:rsid w:val="00284EBB"/>
    <w:rsid w:val="002A4A07"/>
    <w:rsid w:val="002A791D"/>
    <w:rsid w:val="002B1F3C"/>
    <w:rsid w:val="002D0738"/>
    <w:rsid w:val="002F5A32"/>
    <w:rsid w:val="00304B15"/>
    <w:rsid w:val="00311019"/>
    <w:rsid w:val="0034489E"/>
    <w:rsid w:val="00362B96"/>
    <w:rsid w:val="00385AEC"/>
    <w:rsid w:val="00387597"/>
    <w:rsid w:val="00390056"/>
    <w:rsid w:val="00393223"/>
    <w:rsid w:val="00394C1C"/>
    <w:rsid w:val="003A669E"/>
    <w:rsid w:val="003A6B8A"/>
    <w:rsid w:val="003B214B"/>
    <w:rsid w:val="003C5594"/>
    <w:rsid w:val="003D3C2E"/>
    <w:rsid w:val="003E25C1"/>
    <w:rsid w:val="003E4741"/>
    <w:rsid w:val="00407B78"/>
    <w:rsid w:val="00411E8A"/>
    <w:rsid w:val="004252FB"/>
    <w:rsid w:val="00430F76"/>
    <w:rsid w:val="0043131A"/>
    <w:rsid w:val="00437DED"/>
    <w:rsid w:val="00437F2B"/>
    <w:rsid w:val="00440F15"/>
    <w:rsid w:val="00455820"/>
    <w:rsid w:val="004568C8"/>
    <w:rsid w:val="004611B5"/>
    <w:rsid w:val="004640AA"/>
    <w:rsid w:val="0047022F"/>
    <w:rsid w:val="004719A0"/>
    <w:rsid w:val="004825F8"/>
    <w:rsid w:val="00482CE0"/>
    <w:rsid w:val="00485214"/>
    <w:rsid w:val="004B1EF5"/>
    <w:rsid w:val="004C563C"/>
    <w:rsid w:val="004D0DCE"/>
    <w:rsid w:val="004D15E6"/>
    <w:rsid w:val="004E0461"/>
    <w:rsid w:val="004E763F"/>
    <w:rsid w:val="0050053D"/>
    <w:rsid w:val="00507D96"/>
    <w:rsid w:val="005103B6"/>
    <w:rsid w:val="00510BDF"/>
    <w:rsid w:val="00515489"/>
    <w:rsid w:val="00520D11"/>
    <w:rsid w:val="00524CF7"/>
    <w:rsid w:val="00532237"/>
    <w:rsid w:val="0053273E"/>
    <w:rsid w:val="005370F4"/>
    <w:rsid w:val="00541496"/>
    <w:rsid w:val="0054179A"/>
    <w:rsid w:val="0054461F"/>
    <w:rsid w:val="0054713E"/>
    <w:rsid w:val="00547EEF"/>
    <w:rsid w:val="005543DF"/>
    <w:rsid w:val="00556838"/>
    <w:rsid w:val="00557C81"/>
    <w:rsid w:val="00577FEE"/>
    <w:rsid w:val="005810F3"/>
    <w:rsid w:val="0058166E"/>
    <w:rsid w:val="0058663E"/>
    <w:rsid w:val="00590E1D"/>
    <w:rsid w:val="005A5E90"/>
    <w:rsid w:val="005B084B"/>
    <w:rsid w:val="005B0B7E"/>
    <w:rsid w:val="005B308D"/>
    <w:rsid w:val="005B4C45"/>
    <w:rsid w:val="005B6BC5"/>
    <w:rsid w:val="005F0E8F"/>
    <w:rsid w:val="005F6B0A"/>
    <w:rsid w:val="00606A4F"/>
    <w:rsid w:val="00611A93"/>
    <w:rsid w:val="00611B44"/>
    <w:rsid w:val="00617242"/>
    <w:rsid w:val="00624D2B"/>
    <w:rsid w:val="00645D22"/>
    <w:rsid w:val="006479E1"/>
    <w:rsid w:val="00650773"/>
    <w:rsid w:val="006720B2"/>
    <w:rsid w:val="00693B1B"/>
    <w:rsid w:val="00694231"/>
    <w:rsid w:val="00697362"/>
    <w:rsid w:val="006B1529"/>
    <w:rsid w:val="006B2158"/>
    <w:rsid w:val="006C00F1"/>
    <w:rsid w:val="006C17D9"/>
    <w:rsid w:val="006C735A"/>
    <w:rsid w:val="006D2D97"/>
    <w:rsid w:val="006D3A08"/>
    <w:rsid w:val="006D57BF"/>
    <w:rsid w:val="006D7B47"/>
    <w:rsid w:val="006E06DD"/>
    <w:rsid w:val="006E2A16"/>
    <w:rsid w:val="006E4AAC"/>
    <w:rsid w:val="006E5645"/>
    <w:rsid w:val="006F6255"/>
    <w:rsid w:val="00713D7C"/>
    <w:rsid w:val="00717826"/>
    <w:rsid w:val="00727E6C"/>
    <w:rsid w:val="007367F2"/>
    <w:rsid w:val="00737A9E"/>
    <w:rsid w:val="0078099F"/>
    <w:rsid w:val="0078621E"/>
    <w:rsid w:val="00793756"/>
    <w:rsid w:val="007C3E55"/>
    <w:rsid w:val="007E4125"/>
    <w:rsid w:val="0080313B"/>
    <w:rsid w:val="00806640"/>
    <w:rsid w:val="008078AB"/>
    <w:rsid w:val="0081209E"/>
    <w:rsid w:val="00820B61"/>
    <w:rsid w:val="0082321B"/>
    <w:rsid w:val="008361CD"/>
    <w:rsid w:val="00843ADC"/>
    <w:rsid w:val="00845551"/>
    <w:rsid w:val="008461D2"/>
    <w:rsid w:val="00850B9C"/>
    <w:rsid w:val="00851E45"/>
    <w:rsid w:val="008530BA"/>
    <w:rsid w:val="008533ED"/>
    <w:rsid w:val="00853B1D"/>
    <w:rsid w:val="00855382"/>
    <w:rsid w:val="008564CD"/>
    <w:rsid w:val="00863DAF"/>
    <w:rsid w:val="0088008E"/>
    <w:rsid w:val="008B41C0"/>
    <w:rsid w:val="008B7340"/>
    <w:rsid w:val="008C41EB"/>
    <w:rsid w:val="008C797A"/>
    <w:rsid w:val="008D33F1"/>
    <w:rsid w:val="008E4AD7"/>
    <w:rsid w:val="008E4C99"/>
    <w:rsid w:val="008F0F5B"/>
    <w:rsid w:val="008F30D5"/>
    <w:rsid w:val="008F5ECE"/>
    <w:rsid w:val="00903623"/>
    <w:rsid w:val="009039EB"/>
    <w:rsid w:val="00905B0B"/>
    <w:rsid w:val="00907122"/>
    <w:rsid w:val="00907ABE"/>
    <w:rsid w:val="0091692D"/>
    <w:rsid w:val="00917DC7"/>
    <w:rsid w:val="0093769E"/>
    <w:rsid w:val="00937993"/>
    <w:rsid w:val="009456D0"/>
    <w:rsid w:val="009506D3"/>
    <w:rsid w:val="00963180"/>
    <w:rsid w:val="00970B24"/>
    <w:rsid w:val="0097196D"/>
    <w:rsid w:val="00972596"/>
    <w:rsid w:val="00975D2D"/>
    <w:rsid w:val="009A2EB0"/>
    <w:rsid w:val="009B041D"/>
    <w:rsid w:val="009B19A9"/>
    <w:rsid w:val="009C6E05"/>
    <w:rsid w:val="009D072D"/>
    <w:rsid w:val="009D4154"/>
    <w:rsid w:val="009E0D59"/>
    <w:rsid w:val="009F42D6"/>
    <w:rsid w:val="009F7668"/>
    <w:rsid w:val="00A009F5"/>
    <w:rsid w:val="00A17D23"/>
    <w:rsid w:val="00A271A9"/>
    <w:rsid w:val="00A43AE5"/>
    <w:rsid w:val="00A577D4"/>
    <w:rsid w:val="00A75A8B"/>
    <w:rsid w:val="00A865FC"/>
    <w:rsid w:val="00A92163"/>
    <w:rsid w:val="00AA52C9"/>
    <w:rsid w:val="00AB08E0"/>
    <w:rsid w:val="00AC0D84"/>
    <w:rsid w:val="00AC2A0F"/>
    <w:rsid w:val="00AC35FB"/>
    <w:rsid w:val="00AD1E4B"/>
    <w:rsid w:val="00AD296B"/>
    <w:rsid w:val="00AD3BC6"/>
    <w:rsid w:val="00AD6B34"/>
    <w:rsid w:val="00AE6893"/>
    <w:rsid w:val="00AF5DDC"/>
    <w:rsid w:val="00B0162B"/>
    <w:rsid w:val="00B02D46"/>
    <w:rsid w:val="00B17B4B"/>
    <w:rsid w:val="00B21CB1"/>
    <w:rsid w:val="00B24A00"/>
    <w:rsid w:val="00B37116"/>
    <w:rsid w:val="00B46418"/>
    <w:rsid w:val="00B524FF"/>
    <w:rsid w:val="00B55A8A"/>
    <w:rsid w:val="00B57A47"/>
    <w:rsid w:val="00B648F2"/>
    <w:rsid w:val="00B7341E"/>
    <w:rsid w:val="00B75657"/>
    <w:rsid w:val="00B87808"/>
    <w:rsid w:val="00B900D2"/>
    <w:rsid w:val="00B95A15"/>
    <w:rsid w:val="00BB0360"/>
    <w:rsid w:val="00BC5853"/>
    <w:rsid w:val="00BD559F"/>
    <w:rsid w:val="00BD6D72"/>
    <w:rsid w:val="00BE48E2"/>
    <w:rsid w:val="00BF26E1"/>
    <w:rsid w:val="00BF435B"/>
    <w:rsid w:val="00BF6B78"/>
    <w:rsid w:val="00C071DF"/>
    <w:rsid w:val="00C33D9C"/>
    <w:rsid w:val="00C40A3A"/>
    <w:rsid w:val="00C4283A"/>
    <w:rsid w:val="00C4643E"/>
    <w:rsid w:val="00C47D6B"/>
    <w:rsid w:val="00C5222B"/>
    <w:rsid w:val="00C557E1"/>
    <w:rsid w:val="00C56405"/>
    <w:rsid w:val="00C72834"/>
    <w:rsid w:val="00C75E10"/>
    <w:rsid w:val="00C81FA3"/>
    <w:rsid w:val="00C82C5F"/>
    <w:rsid w:val="00C836EE"/>
    <w:rsid w:val="00C84942"/>
    <w:rsid w:val="00C967A9"/>
    <w:rsid w:val="00C97AFA"/>
    <w:rsid w:val="00CA0ECF"/>
    <w:rsid w:val="00CB3EB0"/>
    <w:rsid w:val="00CB523D"/>
    <w:rsid w:val="00CD6C43"/>
    <w:rsid w:val="00CE5024"/>
    <w:rsid w:val="00CF2E4A"/>
    <w:rsid w:val="00D013CC"/>
    <w:rsid w:val="00D03EED"/>
    <w:rsid w:val="00D173D3"/>
    <w:rsid w:val="00D320CC"/>
    <w:rsid w:val="00D36983"/>
    <w:rsid w:val="00D36A2D"/>
    <w:rsid w:val="00D40E94"/>
    <w:rsid w:val="00D4374F"/>
    <w:rsid w:val="00D53A2C"/>
    <w:rsid w:val="00D606FC"/>
    <w:rsid w:val="00D7283E"/>
    <w:rsid w:val="00D74DEA"/>
    <w:rsid w:val="00D8507D"/>
    <w:rsid w:val="00D948F4"/>
    <w:rsid w:val="00D95FB8"/>
    <w:rsid w:val="00DA0D76"/>
    <w:rsid w:val="00DA3D68"/>
    <w:rsid w:val="00DB2712"/>
    <w:rsid w:val="00DB372D"/>
    <w:rsid w:val="00DD1C72"/>
    <w:rsid w:val="00DD2FE1"/>
    <w:rsid w:val="00DD7CFF"/>
    <w:rsid w:val="00E01BC1"/>
    <w:rsid w:val="00E023CD"/>
    <w:rsid w:val="00E033C9"/>
    <w:rsid w:val="00E04941"/>
    <w:rsid w:val="00E268CB"/>
    <w:rsid w:val="00E270A4"/>
    <w:rsid w:val="00E30ACC"/>
    <w:rsid w:val="00E30F00"/>
    <w:rsid w:val="00E3168F"/>
    <w:rsid w:val="00E33977"/>
    <w:rsid w:val="00E35C67"/>
    <w:rsid w:val="00E36B5C"/>
    <w:rsid w:val="00E37FE2"/>
    <w:rsid w:val="00E40863"/>
    <w:rsid w:val="00E4664C"/>
    <w:rsid w:val="00E5442A"/>
    <w:rsid w:val="00E57CE9"/>
    <w:rsid w:val="00E66CED"/>
    <w:rsid w:val="00E67083"/>
    <w:rsid w:val="00E67C91"/>
    <w:rsid w:val="00E754D7"/>
    <w:rsid w:val="00E774C2"/>
    <w:rsid w:val="00E8039E"/>
    <w:rsid w:val="00E80759"/>
    <w:rsid w:val="00E8424E"/>
    <w:rsid w:val="00E86AE9"/>
    <w:rsid w:val="00E86FAE"/>
    <w:rsid w:val="00E8758E"/>
    <w:rsid w:val="00E90D68"/>
    <w:rsid w:val="00E94398"/>
    <w:rsid w:val="00E94A74"/>
    <w:rsid w:val="00E96F17"/>
    <w:rsid w:val="00EA5771"/>
    <w:rsid w:val="00EB3357"/>
    <w:rsid w:val="00EB79E9"/>
    <w:rsid w:val="00EC1A89"/>
    <w:rsid w:val="00EC4F99"/>
    <w:rsid w:val="00ED248C"/>
    <w:rsid w:val="00ED6033"/>
    <w:rsid w:val="00EE3653"/>
    <w:rsid w:val="00EE3B2D"/>
    <w:rsid w:val="00EF2116"/>
    <w:rsid w:val="00F12D7B"/>
    <w:rsid w:val="00F166F5"/>
    <w:rsid w:val="00F20434"/>
    <w:rsid w:val="00F24469"/>
    <w:rsid w:val="00F25EBD"/>
    <w:rsid w:val="00F43A32"/>
    <w:rsid w:val="00F46524"/>
    <w:rsid w:val="00F712A2"/>
    <w:rsid w:val="00F8392F"/>
    <w:rsid w:val="00F958D6"/>
    <w:rsid w:val="00FB090D"/>
    <w:rsid w:val="00FB2EC4"/>
    <w:rsid w:val="00FB3861"/>
    <w:rsid w:val="00FB4B9E"/>
    <w:rsid w:val="00FC505B"/>
    <w:rsid w:val="00FD0B94"/>
    <w:rsid w:val="00FD5284"/>
    <w:rsid w:val="00FD5993"/>
    <w:rsid w:val="00FD64C1"/>
    <w:rsid w:val="00FE4AC1"/>
    <w:rsid w:val="00FF5B51"/>
    <w:rsid w:val="00FF672A"/>
    <w:rsid w:val="00FF6C0E"/>
    <w:rsid w:val="00FF6D3F"/>
  </w:rsids>
  <w:docVars>
    <w:docVar w:name="beskyttet" w:val="nei"/>
    <w:docVar w:name="docver" w:val="2.20"/>
    <w:docVar w:name="ekr_dokeier" w:val=" "/>
    <w:docVar w:name="ekr_doktittel" w:val=" "/>
    <w:docVar w:name="ekr_doktype" w:val=" "/>
    <w:docVar w:name="ekr_dokumentid" w:val=" "/>
    <w:docVar w:name="ekr_endret" w:val=" "/>
    <w:docVar w:name="ekr_gradering" w:val=" "/>
    <w:docVar w:name="ekr_hørt" w:val=" "/>
    <w:docVar w:name="ekr_ibruk" w:val=" "/>
    <w:docVar w:name="ekr_opprettet" w:val=" "/>
    <w:docVar w:name="ekr_rapport" w:val=" "/>
    <w:docVar w:name="ekr_refnr" w:val=" "/>
    <w:docVar w:name="ekr_signatur" w:val=" "/>
    <w:docVar w:name="ekr_skrevetav" w:val=" "/>
    <w:docVar w:name="ekr_status" w:val=" "/>
    <w:docVar w:name="ekr_utext1" w:val=" "/>
    <w:docVar w:name="ekr_utext2" w:val=" "/>
    <w:docVar w:name="ekr_utext3" w:val=" "/>
    <w:docVar w:name="ekr_utext4" w:val=" "/>
    <w:docVar w:name="ekr_utgitt" w:val=" "/>
    <w:docVar w:name="ekr_verifisert" w:val=" "/>
    <w:docVar w:name="ek_ansvarlig" w:val="Olsen, Merete Susan"/>
    <w:docVar w:name="ek_dbfields" w:val="EK_Avdeling¤2#4¤2# ¤3#EK_Avsnitt¤2#4¤2# ¤3#EK_Bedriftsnavn¤2#1¤2#Helse Bergen¤3#EK_GjelderFra¤2#0¤2#06.09.2023¤3#EK_KlGjelderFra¤2#0¤2#¤3#EK_Opprettet¤2#0¤2#06.09.2023¤3#EK_Utgitt¤2#0¤2#06.09.2023¤3#EK_IBrukDato¤2#0¤2#07.09.2023¤3#EK_DokumentID¤2#0¤2#D76288¤3#EK_DokTittel¤2#0¤2#Lysbehandling av gulsot, Nyfødtintensiv¤3#EK_DokType¤2#0¤2#Prosedyre¤3#EK_DocLvlShort¤2#0¤2# ¤3#EK_DocLevel¤2#0¤2# ¤3#EK_EksRef¤2#2¤2# 0_x0009_¤3#EK_Erstatter¤2#0¤2# ¤3#EK_ErstatterD¤2#0¤2# ¤3#EK_Signatur¤2#0¤2#Anne-Siri Fonneland¤3#EK_Verifisert¤2#0¤2# ¤3#EK_Hørt¤2#0¤2# ¤3#EK_AuditReview¤2#2¤2# ¤3#EK_AuditApprove¤2#2¤2# ¤3#EK_Gradering¤2#0¤2#Åpen¤3#EK_Gradnr¤2#4¤2#0¤3#EK_Kapittel¤2#4¤2# ¤3#EK_Referanse¤2#2¤2# 2_x0009_02.5.6.4.1-65_x0009_Lysterapi BiliSoft LED - lang_x0009_25273_x0009_dok25273.docx_x0009_¤1#02.5.6.4.1-67_x0009_Lysterapi Neo Blue - lang_x0009_11773_x0009_dok11773.docx_x0009_¤1#¤3#EK_RefNr¤2#0¤2#02.5.3.9.7-36¤3#EK_Revisjon¤2#0¤2#1.00¤3#EK_Ansvarlig¤2#0¤2#Olsen, Merete Susan¤3#EK_SkrevetAv¤2#0¤2#Merete Susan Olsen¤3#EK_UText1¤2#0¤2#Merete Susan Olsen¤3#EK_UText2¤2#0¤2# ¤3#EK_UText3¤2#0¤2# ¤3#EK_UText4¤2#0¤2# ¤3#EK_Status¤2#0¤2#I bruk¤3#EK_Stikkord¤2#0¤2#¤3#EK_SuperStikkord¤2#0¤2#¤3#EK_Rapport¤2#3¤2#¤3#EK_EKPrintMerke¤2#0¤2#Uoffisiell utskrift er kun gyldig på utskriftsdato¤3#EK_Watermark¤2#0¤2#¤3#EK_Utgave¤2#0¤2#1.00¤3#EK_Merknad¤2#7¤2#¤3#EK_VerLogg¤2#2¤2#Ver. 1.00 - 07.09.2023|¤3#EK_RF1¤2#4¤2# ¤3#EK_RF2¤2#4¤2# ¤3#EK_RF3¤2#4¤2# ¤3#EK_RF4¤2#4¤2# ¤3#EK_RF5¤2#4¤2# ¤3#EK_RF6¤2#4¤2# ¤3#EK_RF7¤2#4¤2# ¤3#EK_RF8¤2#4¤2# ¤3#EK_RF9¤2#4¤2# ¤3#EK_Mappe1¤2#4¤2# ¤3#EK_Mappe2¤2#4¤2# ¤3#EK_Mappe3¤2#4¤2# ¤3#EK_Mappe4¤2#4¤2# ¤3#EK_Mappe5¤2#4¤2# ¤3#EK_Mappe6¤2#4¤2# ¤3#EK_Mappe7¤2#4¤2# ¤3#EK_Mappe8¤2#4¤2# ¤3#EK_Mappe9¤2#4¤2# ¤3#EK_DL¤2#0¤2#36¤3#EK_GjelderTil¤2#0¤2#06.09.2025¤3#EK_Vedlegg¤2#2¤2# 0_x0009_¤3#EK_AvdelingOver¤2#4¤2# ¤3#EK_HRefNr¤2#0¤2# ¤3#EK_HbNavn¤2#0¤2# ¤3#EK_DokRefnr¤2#4¤2#00010205030907¤3#EK_Dokendrdato¤2#4¤2#06.09.2023 11:45:14¤3#EK_HbType¤2#4¤2# ¤3#EK_Offisiell¤2#4¤2# ¤3#EK_VedleggRef¤2#4¤2#02.5.3.9.7-36¤3#EK_Strukt00¤2#5¤2#¤5#¤5#HVRHF¤5#1¤5#-1¤4#¤5#02¤5#Helse Bergen HF¤5#1¤5#0¤4#.¤5#5¤5#Barne- og ungdomsklinikken¤5#1¤5#0¤4#.¤5#3¤5#Pasientbehandling¤5#0¤5#0¤4#.¤5#9¤5#Nyfødt intensiv¤5#1¤5#0¤4#.¤5#7¤5#Prosedyrer¤5#0¤5#0¤4# - ¤3#EK_Strukt01¤2#5¤2#¤5#¤5#Kategorier HB (ikke dokumenter på dette nivået trykk dere videre ned +)¤5#0¤5#0¤4#¤5#¤5#Pasientbehandling¤5#3¤5#0¤4#¤5#¤5#Fagprosedyrer¤5#3¤5#0¤4# - ¤3#EK_Pub¤2#6¤2#;15;¤3#EKR_DokType¤2#0¤2# ¤3#EKR_Doktittel¤2#0¤2# ¤3#EKR_DokumentID¤2#0¤2# ¤3#EKR_RefNr¤2#0¤2# ¤3#EKR_Gradering¤2#0¤2# ¤3#EKR_Signatur¤2#0¤2# ¤3#EKR_Verifisert¤2#0¤2# ¤3#EKR_Hørt¤2#0¤2# ¤3#EKR_AuditReview¤2#2¤2# ¤3#EKR_AuditApprove¤2#2¤2# ¤3#EKR_AuditFinal¤2#2¤2# ¤3#EKR_Dokeier¤2#0¤2# ¤3#EKR_Status¤2#0¤2# ¤3#EKR_Opprettet¤2#0¤2# ¤3#EKR_Endret¤2#0¤2# ¤3#EKR_Ibruk¤2#0¤2# ¤3#EKR_Rapport¤2#3¤2# ¤3#EKR_Utgitt¤2#0¤2# ¤3#EKR_SkrevetAv¤2#0¤2# ¤3#EKR_UText1¤2#0¤2# ¤3#EKR_UText2¤2#0¤2# ¤3#EKR_UText3¤2#0¤2# ¤3#EKR_UText4¤2#0¤2# ¤3#EKR_DokRefnr¤2#4¤2# ¤3#EKR_Gradnr¤2#4¤2# ¤3#EKR_Strukt00¤2#5¤2#¤5#¤5#HVRHF¤5#1¤5#-1¤4#¤5#02¤5#Helse Bergen HF¤5#1¤5#0¤4#.¤5#5¤5#Barne- og ungdomsklinikken¤5#1¤5#0¤4#.¤5#3¤5#Pasientbehandling¤5#0¤5#0¤4#.¤5#9¤5#Nyfødt intensiv¤5#1¤5#0¤4#.¤5#7¤5#Prosedyrer¤5#0¤5#0¤4# - ¤3#"/>
    <w:docVar w:name="ek_dl" w:val="36"/>
    <w:docVar w:name="ek_doclevel" w:val=" "/>
    <w:docVar w:name="ek_doclvlshort" w:val=" "/>
    <w:docVar w:name="ek_dok.ansvarlig" w:val="[Dok.ansvarlig]"/>
    <w:docVar w:name="ek_doktittel" w:val="HBHF Felles faglige prosedyrer"/>
    <w:docVar w:name="ek_dokumentid" w:val="[ID]"/>
    <w:docVar w:name="ek_eksref" w:val="[EK_EksRef]"/>
    <w:docVar w:name="ek_erstatter" w:val=" "/>
    <w:docVar w:name="ek_erstatterd" w:val=" "/>
    <w:docVar w:name="ek_format" w:val="-10"/>
    <w:docVar w:name="ek_gjelderfra" w:val="[GjelderFra]"/>
    <w:docVar w:name="ek_gjeldertil" w:val="[GyldigTil]"/>
    <w:docVar w:name="ek_gradering" w:val="Åpen"/>
    <w:docVar w:name="ek_hbnavn" w:val=" "/>
    <w:docVar w:name="ek_hrefnr" w:val=" "/>
    <w:docVar w:name="ek_hørt" w:val=" "/>
    <w:docVar w:name="ek_ibrukdato" w:val="07.09.2023"/>
    <w:docVar w:name="ek_klgjelderfra" w:val="[]"/>
    <w:docVar w:name="ek_merknad" w:val="[]"/>
    <w:docVar w:name="ek_opprettet" w:val="06.09.2023"/>
    <w:docVar w:name="ek_protection" w:val="0"/>
    <w:docVar w:name="ek_rapport" w:val="[]"/>
    <w:docVar w:name="ek_referanse" w:val="[EK_Referanse]"/>
    <w:docVar w:name="ek_refnr" w:val="02.5.3.9.7-36"/>
    <w:docVar w:name="ek_revisjon" w:val="1.00"/>
    <w:docVar w:name="ek_s00mt1" w:val="HVRHF - Helse Bergen HF - Barne- og ungdomsklinikken - Nyfødt intensiv"/>
    <w:docVar w:name="ek_s01mt3" w:val="Pasientbehandling - Fagprosedyrer"/>
    <w:docVar w:name="ek_signatur" w:val="Anne-Siri Fonneland"/>
    <w:docVar w:name="ek_skrevetav" w:val="Merete Susan Olsen"/>
    <w:docVar w:name="ek_status" w:val="I bruk"/>
    <w:docVar w:name="ek_stikkord" w:val="[]"/>
    <w:docVar w:name="ek_superstikkord" w:val="[]"/>
    <w:docVar w:name="ek_type" w:val="DOK"/>
    <w:docVar w:name="ek_utext2" w:val=" "/>
    <w:docVar w:name="ek_utext3" w:val=" "/>
    <w:docVar w:name="ek_utext4" w:val=" "/>
    <w:docVar w:name="ek_utgitt" w:val="06.09.2023"/>
    <w:docVar w:name="ek_vedlegg" w:val="[EK_Vedlegg]"/>
    <w:docVar w:name="ek_verifisert" w:val=" "/>
    <w:docVar w:name="ek_watermark" w:val=" "/>
    <w:docVar w:name="idek_referanse" w:val=";25273;11773;"/>
    <w:docVar w:name="idxd" w:val=";25273;11773;"/>
    <w:docVar w:name="khb" w:val="UB"/>
    <w:docVar w:name="skitten" w:val="0"/>
    <w:docVar w:name="tidek_referanse" w:val=";25273;11773;"/>
    <w:docVar w:name="xdf11773" w:val="dok11773.docx"/>
    <w:docVar w:name="xdf25273" w:val="dok25273.docx"/>
  </w:docVars>
  <m:mathPr>
    <m:mathFont m:val="Cambria Math"/>
  </m:mathPr>
  <w:themeFontLang w:val="nb-NO"/>
  <w:clrSchemeMapping w:bg1="light1" w:t1="dark1" w:bg2="light2" w:t2="dark2" w:accent1="accent1" w:accent2="accent2" w:accent3="accent3" w:accent4="accent4" w:accent5="accent5" w:accent6="accent6" w:hyperlink="hyperlink" w:followedHyperlink="followedHyperlink"/>
  <w:doNotIncludeSubdocsInStats/>
  <w14:docId w14:val="1E2DFB71"/>
  <w15:docId w15:val="{465AB6DA-C683-4FC7-BA6A-E41C6088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1"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5F0E8F"/>
    <w:rPr>
      <w:rFonts w:asciiTheme="minorHAnsi" w:hAnsiTheme="minorHAnsi"/>
      <w:sz w:val="24"/>
    </w:rPr>
  </w:style>
  <w:style w:type="paragraph" w:styleId="Heading1">
    <w:name w:val="heading 1"/>
    <w:basedOn w:val="Normal"/>
    <w:next w:val="Normal"/>
    <w:autoRedefine/>
    <w:qFormat/>
    <w:rsid w:val="00126938"/>
    <w:pPr>
      <w:numPr>
        <w:numId w:val="12"/>
      </w:numPr>
      <w:spacing w:before="240"/>
      <w:ind w:left="431" w:hanging="431"/>
      <w:outlineLvl w:val="0"/>
    </w:pPr>
    <w:rPr>
      <w:b/>
      <w:sz w:val="28"/>
    </w:rPr>
  </w:style>
  <w:style w:type="paragraph" w:styleId="Heading2">
    <w:name w:val="heading 2"/>
    <w:basedOn w:val="Normal"/>
    <w:next w:val="Normal"/>
    <w:qFormat/>
    <w:rsid w:val="00126938"/>
    <w:pPr>
      <w:numPr>
        <w:ilvl w:val="1"/>
        <w:numId w:val="12"/>
      </w:numPr>
      <w:ind w:left="578" w:hanging="578"/>
      <w:outlineLvl w:val="1"/>
    </w:pPr>
  </w:style>
  <w:style w:type="paragraph" w:styleId="Heading3">
    <w:name w:val="heading 3"/>
    <w:basedOn w:val="Normal"/>
    <w:next w:val="Normal"/>
    <w:qFormat/>
    <w:rsid w:val="00126938"/>
    <w:pPr>
      <w:numPr>
        <w:ilvl w:val="2"/>
        <w:numId w:val="12"/>
      </w:numPr>
      <w:outlineLvl w:val="2"/>
    </w:pPr>
    <w:rPr>
      <w:i/>
    </w:rPr>
  </w:style>
  <w:style w:type="paragraph" w:styleId="Heading4">
    <w:name w:val="heading 4"/>
    <w:basedOn w:val="Heading3"/>
    <w:next w:val="Normal"/>
    <w:qFormat/>
    <w:rsid w:val="005B6BC5"/>
    <w:pPr>
      <w:numPr>
        <w:ilvl w:val="3"/>
      </w:numPr>
      <w:ind w:left="720" w:hanging="720"/>
      <w:outlineLvl w:val="3"/>
    </w:pPr>
  </w:style>
  <w:style w:type="paragraph" w:styleId="Heading5">
    <w:name w:val="heading 5"/>
    <w:basedOn w:val="Normal"/>
    <w:next w:val="Normal"/>
    <w:link w:val="Overskrift5Tegn"/>
    <w:semiHidden/>
    <w:unhideWhenUsed/>
    <w:qFormat/>
    <w:rsid w:val="00E270A4"/>
    <w:pPr>
      <w:keepNext/>
      <w:keepLines/>
      <w:numPr>
        <w:ilvl w:val="4"/>
        <w:numId w:val="12"/>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qFormat/>
    <w:rsid w:val="00532237"/>
    <w:pPr>
      <w:numPr>
        <w:ilvl w:val="5"/>
        <w:numId w:val="12"/>
      </w:numPr>
      <w:spacing w:line="360" w:lineRule="auto"/>
      <w:outlineLvl w:val="5"/>
    </w:pPr>
    <w:rPr>
      <w:b/>
    </w:rPr>
  </w:style>
  <w:style w:type="paragraph" w:styleId="Heading7">
    <w:name w:val="heading 7"/>
    <w:basedOn w:val="Normal"/>
    <w:next w:val="Normal"/>
    <w:link w:val="Overskrift7Tegn"/>
    <w:semiHidden/>
    <w:unhideWhenUsed/>
    <w:qFormat/>
    <w:rsid w:val="00E270A4"/>
    <w:pPr>
      <w:keepNext/>
      <w:keepLines/>
      <w:numPr>
        <w:ilvl w:val="6"/>
        <w:numId w:val="12"/>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Overskrift8Tegn"/>
    <w:semiHidden/>
    <w:unhideWhenUsed/>
    <w:qFormat/>
    <w:rsid w:val="00E270A4"/>
    <w:pPr>
      <w:keepNext/>
      <w:keepLines/>
      <w:numPr>
        <w:ilvl w:val="7"/>
        <w:numId w:val="12"/>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Overskrift9Tegn"/>
    <w:semiHidden/>
    <w:unhideWhenUsed/>
    <w:qFormat/>
    <w:rsid w:val="00E270A4"/>
    <w:pPr>
      <w:keepNext/>
      <w:keepLines/>
      <w:numPr>
        <w:ilvl w:val="8"/>
        <w:numId w:val="1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819"/>
        <w:tab w:val="right" w:pos="9071"/>
      </w:tabs>
    </w:pPr>
  </w:style>
  <w:style w:type="paragraph" w:styleId="Header">
    <w:name w:val="header"/>
    <w:basedOn w:val="Normal"/>
    <w:next w:val="Normal"/>
    <w:pPr>
      <w:jc w:val="right"/>
    </w:pPr>
    <w:rPr>
      <w:sz w:val="20"/>
    </w:rPr>
  </w:style>
  <w:style w:type="paragraph" w:styleId="NormalIndent">
    <w:name w:val="Normal Indent"/>
    <w:basedOn w:val="Normal"/>
    <w:pPr>
      <w:ind w:left="708"/>
    </w:pPr>
  </w:style>
  <w:style w:type="paragraph" w:customStyle="1" w:styleId="StorOverskrift">
    <w:name w:val="StorOverskrift"/>
    <w:basedOn w:val="Normal"/>
    <w:rPr>
      <w:sz w:val="40"/>
    </w:rPr>
  </w:style>
  <w:style w:type="paragraph" w:customStyle="1" w:styleId="Uthev2">
    <w:name w:val="Uthev2"/>
    <w:basedOn w:val="Normal"/>
    <w:rPr>
      <w:b/>
    </w:rPr>
  </w:style>
  <w:style w:type="paragraph" w:customStyle="1" w:styleId="bunntekststil">
    <w:name w:val="bunntekst_stil"/>
    <w:basedOn w:val="Normal"/>
    <w:next w:val="Normal"/>
    <w:pPr>
      <w:pBdr>
        <w:top w:val="single" w:sz="6" w:space="1" w:color="auto"/>
      </w:pBdr>
      <w:jc w:val="right"/>
    </w:pPr>
  </w:style>
  <w:style w:type="paragraph" w:customStyle="1" w:styleId="Punktheading">
    <w:name w:val="Punkt_heading"/>
    <w:basedOn w:val="Normal"/>
    <w:next w:val="Normal"/>
    <w:rPr>
      <w:b/>
    </w:rPr>
  </w:style>
  <w:style w:type="paragraph" w:customStyle="1" w:styleId="topptekststil">
    <w:name w:val="topptekst_stil"/>
    <w:basedOn w:val="Header"/>
    <w:next w:val="Normal"/>
  </w:style>
  <w:style w:type="paragraph" w:customStyle="1" w:styleId="Ramme">
    <w:name w:val="Ramme"/>
    <w:basedOn w:val="Normal"/>
    <w:next w:val="Normal"/>
    <w:pPr>
      <w:framePr w:w="5352" w:hSpace="141" w:wrap="auto" w:vAnchor="text" w:hAnchor="page" w:x="2635" w:y="-997"/>
      <w:pBdr>
        <w:top w:val="single" w:sz="6" w:space="1" w:color="auto" w:shadow="1"/>
        <w:left w:val="single" w:sz="6" w:space="1" w:color="auto" w:shadow="1"/>
        <w:bottom w:val="single" w:sz="6" w:space="1" w:color="auto" w:shadow="1"/>
        <w:right w:val="single" w:sz="6" w:space="1" w:color="auto" w:shadow="1"/>
      </w:pBdr>
      <w:jc w:val="center"/>
    </w:pPr>
  </w:style>
  <w:style w:type="paragraph" w:customStyle="1" w:styleId="Xref">
    <w:name w:val="Xref"/>
    <w:basedOn w:val="Normal"/>
    <w:rPr>
      <w:sz w:val="20"/>
    </w:rPr>
  </w:style>
  <w:style w:type="paragraph" w:customStyle="1" w:styleId="DBFelt">
    <w:name w:val="DBFelt"/>
    <w:basedOn w:val="Normal"/>
    <w:rPr>
      <w:color w:val="808080"/>
    </w:rPr>
  </w:style>
  <w:style w:type="character" w:styleId="PageNumber">
    <w:name w:val="page number"/>
    <w:basedOn w:val="DefaultParagraphFont"/>
  </w:style>
  <w:style w:type="character" w:styleId="Hyperlink">
    <w:name w:val="Hyperlink"/>
    <w:uiPriority w:val="99"/>
    <w:rsid w:val="003B214B"/>
    <w:rPr>
      <w:rFonts w:asciiTheme="minorHAnsi" w:hAnsiTheme="minorHAnsi"/>
      <w:color w:val="auto"/>
      <w:sz w:val="24"/>
      <w:u w:val="single"/>
    </w:rPr>
  </w:style>
  <w:style w:type="character" w:styleId="FollowedHyperlink">
    <w:name w:val="FollowedHyperlink"/>
    <w:rPr>
      <w:rFonts w:ascii="Verdana" w:hAnsi="Verdana"/>
      <w:color w:val="800080"/>
      <w:sz w:val="14"/>
      <w:u w:val="single"/>
    </w:r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rPr>
      <w:rFonts w:ascii="Times New Roman" w:hAnsi="Times New Roman"/>
    </w:rPr>
  </w:style>
  <w:style w:type="character" w:styleId="PlaceholderText">
    <w:name w:val="Placeholder Text"/>
    <w:basedOn w:val="DefaultParagraphFont"/>
    <w:uiPriority w:val="99"/>
    <w:semiHidden/>
    <w:rsid w:val="005F0E8F"/>
    <w:rPr>
      <w:color w:val="808080"/>
    </w:rPr>
  </w:style>
  <w:style w:type="paragraph" w:styleId="ListParagraph">
    <w:name w:val="List Paragraph"/>
    <w:basedOn w:val="Normal"/>
    <w:uiPriority w:val="34"/>
    <w:qFormat/>
    <w:rsid w:val="00510BDF"/>
    <w:pPr>
      <w:ind w:left="720"/>
      <w:contextualSpacing/>
    </w:pPr>
  </w:style>
  <w:style w:type="paragraph" w:customStyle="1" w:styleId="Caution">
    <w:name w:val="Caution"/>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before="60" w:after="60"/>
      <w:ind w:left="1418" w:right="454" w:hanging="1021"/>
      <w:contextualSpacing/>
    </w:pPr>
    <w:rPr>
      <w:rFonts w:ascii="Calibri" w:hAnsi="Calibri"/>
      <w:i/>
      <w:sz w:val="26"/>
      <w:szCs w:val="26"/>
    </w:rPr>
  </w:style>
  <w:style w:type="paragraph" w:customStyle="1" w:styleId="Note">
    <w:name w:val="Note"/>
    <w:link w:val="NoteChar"/>
    <w:uiPriority w:val="9"/>
    <w:qFormat/>
    <w:rsid w:val="00FD5284"/>
    <w:pPr>
      <w:keepLines/>
      <w:pBdr>
        <w:top w:val="single" w:sz="2" w:space="1" w:color="DEEAF6"/>
        <w:left w:val="single" w:sz="2" w:space="4" w:color="DEEAF6"/>
        <w:bottom w:val="single" w:sz="2" w:space="1" w:color="DEEAF6"/>
        <w:right w:val="single" w:sz="2" w:space="4" w:color="DEEAF6"/>
      </w:pBdr>
      <w:shd w:val="clear" w:color="auto" w:fill="DEEAF6"/>
      <w:tabs>
        <w:tab w:val="left" w:pos="1134"/>
      </w:tabs>
      <w:spacing w:before="60" w:after="60"/>
      <w:ind w:left="1106" w:right="454" w:hanging="737"/>
      <w:contextualSpacing/>
    </w:pPr>
    <w:rPr>
      <w:rFonts w:ascii="Calibri" w:hAnsi="Calibri"/>
      <w:sz w:val="24"/>
      <w:szCs w:val="24"/>
    </w:rPr>
  </w:style>
  <w:style w:type="character" w:customStyle="1" w:styleId="NoteChar">
    <w:name w:val="Note Char"/>
    <w:link w:val="Note"/>
    <w:uiPriority w:val="9"/>
    <w:rsid w:val="00FD5284"/>
    <w:rPr>
      <w:rFonts w:ascii="Calibri" w:hAnsi="Calibri"/>
      <w:sz w:val="24"/>
      <w:szCs w:val="24"/>
      <w:shd w:val="clear" w:color="auto" w:fill="DEEAF6"/>
    </w:rPr>
  </w:style>
  <w:style w:type="character" w:styleId="Strong">
    <w:name w:val="Strong"/>
    <w:aliases w:val="Bold"/>
    <w:uiPriority w:val="1"/>
    <w:qFormat/>
    <w:rsid w:val="00FD5284"/>
    <w:rPr>
      <w:b/>
      <w:bCs/>
      <w:lang w:val="nb-NO"/>
    </w:rPr>
  </w:style>
  <w:style w:type="paragraph" w:customStyle="1" w:styleId="WarningBody">
    <w:name w:val="Warning Body"/>
    <w:basedOn w:val="Normal"/>
    <w:qFormat/>
    <w:rsid w:val="00FD5284"/>
    <w:pPr>
      <w:keepLines/>
      <w:pBdr>
        <w:top w:val="single" w:sz="8" w:space="1" w:color="FF0000"/>
        <w:left w:val="single" w:sz="8" w:space="4" w:color="FF0000"/>
        <w:bottom w:val="single" w:sz="8" w:space="1" w:color="FF0000"/>
        <w:right w:val="single" w:sz="8" w:space="4" w:color="FF0000"/>
      </w:pBdr>
      <w:shd w:val="pct50" w:color="FDC82F" w:fill="auto"/>
      <w:spacing w:after="60"/>
      <w:ind w:left="425" w:right="454" w:hanging="28"/>
      <w:contextualSpacing/>
    </w:pPr>
    <w:rPr>
      <w:rFonts w:ascii="Calibri" w:hAnsi="Calibri"/>
      <w:i/>
      <w:sz w:val="26"/>
      <w:szCs w:val="26"/>
      <w:lang w:eastAsia="en-US"/>
    </w:rPr>
  </w:style>
  <w:style w:type="paragraph" w:customStyle="1" w:styleId="WarningHeading">
    <w:name w:val="Warning Heading"/>
    <w:basedOn w:val="Normal"/>
    <w:next w:val="WarningBody"/>
    <w:qFormat/>
    <w:rsid w:val="00FD5284"/>
    <w:pPr>
      <w:pBdr>
        <w:top w:val="single" w:sz="8" w:space="1" w:color="FF0000"/>
        <w:left w:val="single" w:sz="8" w:space="4" w:color="FF0000"/>
        <w:bottom w:val="single" w:sz="8" w:space="1" w:color="FF0000"/>
        <w:right w:val="single" w:sz="8" w:space="4" w:color="FF0000"/>
      </w:pBdr>
      <w:shd w:val="clear" w:color="auto" w:fill="FF0000"/>
      <w:spacing w:before="60"/>
      <w:ind w:left="397" w:right="454"/>
    </w:pPr>
    <w:rPr>
      <w:rFonts w:ascii="Calibri" w:hAnsi="Calibri"/>
      <w:b/>
      <w:bCs/>
      <w:i/>
      <w:iCs/>
      <w:color w:val="FFFFFF"/>
      <w:sz w:val="26"/>
      <w:lang w:eastAsia="en-US"/>
    </w:rPr>
  </w:style>
  <w:style w:type="paragraph" w:styleId="TOCHeading">
    <w:name w:val="TOC Heading"/>
    <w:basedOn w:val="Heading1"/>
    <w:next w:val="Normal"/>
    <w:uiPriority w:val="39"/>
    <w:unhideWhenUsed/>
    <w:qFormat/>
    <w:rsid w:val="00541496"/>
    <w:pPr>
      <w:keepNext/>
      <w:keepLines/>
      <w:numPr>
        <w:numId w:val="0"/>
      </w:numPr>
      <w:spacing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126938"/>
    <w:pPr>
      <w:tabs>
        <w:tab w:val="left" w:pos="480"/>
        <w:tab w:val="right" w:leader="dot" w:pos="9061"/>
      </w:tabs>
      <w:spacing w:after="100"/>
    </w:pPr>
  </w:style>
  <w:style w:type="character" w:customStyle="1" w:styleId="Overskrift5Tegn">
    <w:name w:val="Overskrift 5 Tegn"/>
    <w:basedOn w:val="DefaultParagraphFont"/>
    <w:link w:val="Heading5"/>
    <w:semiHidden/>
    <w:rsid w:val="00E270A4"/>
    <w:rPr>
      <w:rFonts w:asciiTheme="majorHAnsi" w:eastAsiaTheme="majorEastAsia" w:hAnsiTheme="majorHAnsi" w:cstheme="majorBidi"/>
      <w:color w:val="365F91" w:themeColor="accent1" w:themeShade="BF"/>
      <w:sz w:val="24"/>
    </w:rPr>
  </w:style>
  <w:style w:type="character" w:customStyle="1" w:styleId="Overskrift7Tegn">
    <w:name w:val="Overskrift 7 Tegn"/>
    <w:basedOn w:val="DefaultParagraphFont"/>
    <w:link w:val="Heading7"/>
    <w:semiHidden/>
    <w:rsid w:val="00E270A4"/>
    <w:rPr>
      <w:rFonts w:asciiTheme="majorHAnsi" w:eastAsiaTheme="majorEastAsia" w:hAnsiTheme="majorHAnsi" w:cstheme="majorBidi"/>
      <w:i/>
      <w:iCs/>
      <w:color w:val="243F60" w:themeColor="accent1" w:themeShade="7F"/>
      <w:sz w:val="24"/>
    </w:rPr>
  </w:style>
  <w:style w:type="character" w:customStyle="1" w:styleId="Overskrift8Tegn">
    <w:name w:val="Overskrift 8 Tegn"/>
    <w:basedOn w:val="DefaultParagraphFont"/>
    <w:link w:val="Heading8"/>
    <w:semiHidden/>
    <w:rsid w:val="00E270A4"/>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DefaultParagraphFont"/>
    <w:link w:val="Heading9"/>
    <w:semiHidden/>
    <w:rsid w:val="00E270A4"/>
    <w:rPr>
      <w:rFonts w:asciiTheme="majorHAnsi" w:eastAsiaTheme="majorEastAsia" w:hAnsiTheme="majorHAnsi" w:cstheme="majorBidi"/>
      <w:i/>
      <w:iCs/>
      <w:color w:val="272727" w:themeColor="text1" w:themeTint="D8"/>
      <w:sz w:val="21"/>
      <w:szCs w:val="21"/>
    </w:rPr>
  </w:style>
  <w:style w:type="paragraph" w:styleId="TOC3">
    <w:name w:val="toc 3"/>
    <w:basedOn w:val="Normal"/>
    <w:next w:val="Normal"/>
    <w:autoRedefine/>
    <w:uiPriority w:val="39"/>
    <w:unhideWhenUsed/>
    <w:rsid w:val="003B214B"/>
    <w:pPr>
      <w:spacing w:after="100"/>
      <w:ind w:left="480"/>
    </w:pPr>
  </w:style>
  <w:style w:type="paragraph" w:styleId="NormalWeb">
    <w:name w:val="Normal (Web)"/>
    <w:basedOn w:val="Normal"/>
    <w:uiPriority w:val="99"/>
    <w:unhideWhenUsed/>
    <w:rsid w:val="00B7341E"/>
    <w:pPr>
      <w:spacing w:after="150"/>
    </w:pPr>
    <w:rPr>
      <w:rFonts w:ascii="Times New Roman" w:hAnsi="Times New Roman"/>
      <w:szCs w:val="24"/>
    </w:rPr>
  </w:style>
  <w:style w:type="character" w:customStyle="1" w:styleId="Ulstomtale1">
    <w:name w:val="Uløst omtale1"/>
    <w:basedOn w:val="DefaultParagraphFont"/>
    <w:uiPriority w:val="99"/>
    <w:semiHidden/>
    <w:unhideWhenUsed/>
    <w:rsid w:val="00D173D3"/>
    <w:rPr>
      <w:color w:val="605E5C"/>
      <w:shd w:val="clear" w:color="auto" w:fill="E1DFDD"/>
    </w:rPr>
  </w:style>
  <w:style w:type="paragraph" w:styleId="TOC2">
    <w:name w:val="toc 2"/>
    <w:basedOn w:val="Normal"/>
    <w:next w:val="Normal"/>
    <w:autoRedefine/>
    <w:uiPriority w:val="39"/>
    <w:unhideWhenUsed/>
    <w:rsid w:val="00E86AE9"/>
    <w:pPr>
      <w:spacing w:after="100"/>
      <w:ind w:left="240"/>
    </w:pPr>
  </w:style>
  <w:style w:type="character" w:customStyle="1" w:styleId="Ulstomtale2">
    <w:name w:val="Uløst omtale2"/>
    <w:basedOn w:val="DefaultParagraphFont"/>
    <w:rsid w:val="008F0F5B"/>
    <w:rPr>
      <w:color w:val="605E5C"/>
      <w:shd w:val="clear" w:color="auto" w:fill="E1DFDD"/>
    </w:rPr>
  </w:style>
  <w:style w:type="character" w:styleId="UnresolvedMention">
    <w:name w:val="Unresolved Mention"/>
    <w:basedOn w:val="DefaultParagraphFont"/>
    <w:rsid w:val="00430F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kvalitet.helse-bergen.no/docs/pub/DOK78117.htm" TargetMode="External" /><Relationship Id="rId11" Type="http://schemas.openxmlformats.org/officeDocument/2006/relationships/hyperlink" Target="https://handbok.helse-bergen.no/DocumentManagement/Document/PreviewFile/?id=63989&amp;workVersion=false&amp;idFormat=15" TargetMode="External" /><Relationship Id="rId12" Type="http://schemas.openxmlformats.org/officeDocument/2006/relationships/hyperlink" Target="https://handbok.helse-bergen.no/DocumentManagement/Document/PreviewFile/?id=63771&amp;workVersion=false&amp;idFormat=15" TargetMode="External" /><Relationship Id="rId13" Type="http://schemas.openxmlformats.org/officeDocument/2006/relationships/hyperlink" Target="https://kvalitet.helse-bergen.no/docs/pub/DOK11804.htm" TargetMode="External" /><Relationship Id="rId14" Type="http://schemas.openxmlformats.org/officeDocument/2006/relationships/hyperlink" Target="https://www.helsebiblioteket.no/innhold/retningslinjer/pediatri/nyfodtmedisin-veiledende-prosedyrer-fra-norsk-barnelegeforening/8-gulsott-og-hemolytisk-sykdom/8.4-prolongert-ikterus-mistenkt-kolestase-1014-dagers-alder" TargetMode="External" /><Relationship Id="rId15" Type="http://schemas.openxmlformats.org/officeDocument/2006/relationships/hyperlink" Target="https://kvalitet.helse-bergen.no/docs/pub/DOK63989.htm" TargetMode="External" /><Relationship Id="rId16" Type="http://schemas.openxmlformats.org/officeDocument/2006/relationships/hyperlink" Target="https://kvalitet.helse-bergen.no/docs/pub/DOK63771.htm" TargetMode="External" /><Relationship Id="rId17" Type="http://schemas.openxmlformats.org/officeDocument/2006/relationships/hyperlink" Target="https://kvalitet.helse-bergen.no/docs/pub/DOK42394.htm" TargetMode="External" /><Relationship Id="rId18" Type="http://schemas.openxmlformats.org/officeDocument/2006/relationships/hyperlink" Target="https://kvalitet.helse-bergen.no/docs/pub/DOK84125.htm" TargetMode="External" /><Relationship Id="rId19" Type="http://schemas.openxmlformats.org/officeDocument/2006/relationships/header" Target="header1.xml" /><Relationship Id="rId2" Type="http://schemas.openxmlformats.org/officeDocument/2006/relationships/webSettings" Target="webSettings.xml" /><Relationship Id="rId20" Type="http://schemas.openxmlformats.org/officeDocument/2006/relationships/header" Target="header2.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header" Target="header3.xml" /><Relationship Id="rId24" Type="http://schemas.openxmlformats.org/officeDocument/2006/relationships/footer" Target="footer3.xml" /><Relationship Id="rId25" Type="http://schemas.openxmlformats.org/officeDocument/2006/relationships/theme" Target="theme/theme1.xml" /><Relationship Id="rId26" Type="http://schemas.openxmlformats.org/officeDocument/2006/relationships/numbering" Target="numbering.xml" /><Relationship Id="rId27"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helsebiblioteket.no/innhold/retningslinjer/pediatri/nyfodtmedisin-veiledende-prosedyrer-fra-norsk-barnelegeforening/8-gulsott-og-hemolytisk-sykdom/8.1-tidlig-ikterus-forste-710-dager" TargetMode="External" /><Relationship Id="rId6" Type="http://schemas.openxmlformats.org/officeDocument/2006/relationships/hyperlink" Target="https://kvalitet.helse-bergen.no/docs/pub/DOK82995.pdf" TargetMode="External" /><Relationship Id="rId7" Type="http://schemas.openxmlformats.org/officeDocument/2006/relationships/hyperlink" Target="https://kvalitet.helse-bergen.no/docs/pub/DOK11773.htm" TargetMode="External" /><Relationship Id="rId8" Type="http://schemas.openxmlformats.org/officeDocument/2006/relationships/hyperlink" Target="https://kvalitet.helse-bergen.no/docs/pub/DOK79501.htm" TargetMode="External" /><Relationship Id="rId9" Type="http://schemas.openxmlformats.org/officeDocument/2006/relationships/hyperlink" Target="https://kvalitet.helse-bergen.no/docs/pub/DOK79320.htm" TargetMode="Externa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oleObject" Target="embeddings/oleObject1.bin"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ANFD\APPDATA\ROAMING\MICROSOFT\MALER\OPERATIV.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Relationships xmlns="http://schemas.openxmlformats.org/package/2006/relationships"><Relationship Id="rId1" Type="http://schemas.microsoft.com/office/2011/relationships/webextension" Target="webextension1.xml" /></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FA0FFA-4B79-408F-B70E-CFC5CBA17755}">
  <we:reference id="1fc441d0-c012-4ded-878a-44e68ea26eb9" version="3.5.0.1" store="EXCatalog" storeType="excatalog"/>
  <we:alternateReferences>
    <we:reference id="WA200003024" version="3.5.0.1" store="nb-NO" storeType="omex"/>
  </we:alternateReferences>
  <we:properties/>
  <we:bindings/>
  <we:snapshot xmlns:r="http://schemas.openxmlformats.org/officeDocument/2006/relationships"/>
</we:webextension>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31E740-AD62-4CE0-BB51-B57BE710F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OPERATIV_EK3TEMPDISABLED</Template>
  <TotalTime>264</TotalTime>
  <Pages>5</Pages>
  <Words>1526</Words>
  <Characters>13632</Characters>
  <Application>Microsoft Office Word</Application>
  <DocSecurity>0</DocSecurity>
  <Lines>113</Lines>
  <Paragraphs>30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Hyperbilirubinemi - prosedyrer og Lysbehandling ved gulsott, Nyfødtintensiv</vt:lpstr>
      <vt:lpstr>HBHF-mal - stående</vt:lpstr>
    </vt:vector>
  </TitlesOfParts>
  <Company>Datakvalitet</Company>
  <LinksUpToDate>false</LinksUpToDate>
  <CharactersWithSpaces>15128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Hyperbilirubinemi - prosedyrer og lysbehandling ved gulsott, Nyfødtintensiv</dc:title>
  <dc:subject>00010205030907|02.5.3.9.7-36|</dc:subject>
  <dc:creator>Handbok</dc:creator>
  <cp:lastModifiedBy>Olsen, Merete Susan</cp:lastModifiedBy>
  <cp:revision>17</cp:revision>
  <cp:lastPrinted>2006-09-07T08:52:00Z</cp:lastPrinted>
  <dcterms:created xsi:type="dcterms:W3CDTF">2023-09-07T15:26:00Z</dcterms:created>
  <dcterms:modified xsi:type="dcterms:W3CDTF">2026-03-26T11:30:00Z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FontProps">
    <vt:lpwstr>#000000,10,Calibri</vt:lpwstr>
  </property>
  <property fmtid="{D5CDD505-2E9C-101B-9397-08002B2CF9AE}" pid="3" name="ClassificationContentMarkingFooterShapeIds">
    <vt:lpwstr>632dba40,38920ae8,63ac553c</vt:lpwstr>
  </property>
  <property fmtid="{D5CDD505-2E9C-101B-9397-08002B2CF9AE}" pid="4" name="ClassificationContentMarkingFooterText">
    <vt:lpwstr>Følsomhet Intern (gul)</vt:lpwstr>
  </property>
  <property fmtid="{D5CDD505-2E9C-101B-9397-08002B2CF9AE}" pid="5" name="EK_Bedriftsnavn">
    <vt:lpwstr>Helse Bergen</vt:lpwstr>
  </property>
  <property fmtid="{D5CDD505-2E9C-101B-9397-08002B2CF9AE}" pid="6" name="EK_DokTittel">
    <vt:lpwstr>Hyperbilirubinemi - prosedyrer og lysbehandling ved gulsott, Nyfødtintensiv</vt:lpwstr>
  </property>
  <property fmtid="{D5CDD505-2E9C-101B-9397-08002B2CF9AE}" pid="7" name="EK_DokType">
    <vt:lpwstr>Prosedyre</vt:lpwstr>
  </property>
  <property fmtid="{D5CDD505-2E9C-101B-9397-08002B2CF9AE}" pid="8" name="EK_DokumentID">
    <vt:lpwstr>D76288</vt:lpwstr>
  </property>
  <property fmtid="{D5CDD505-2E9C-101B-9397-08002B2CF9AE}" pid="9" name="EK_EKPrintMerke">
    <vt:lpwstr>Uoffisiell utskrift er kun gyldig på utskriftsdato</vt:lpwstr>
  </property>
  <property fmtid="{D5CDD505-2E9C-101B-9397-08002B2CF9AE}" pid="10" name="EK_GjelderFra">
    <vt:lpwstr>27.03.2026</vt:lpwstr>
  </property>
  <property fmtid="{D5CDD505-2E9C-101B-9397-08002B2CF9AE}" pid="11" name="EK_GjelderTil">
    <vt:lpwstr>27.03.2029</vt:lpwstr>
  </property>
  <property fmtid="{D5CDD505-2E9C-101B-9397-08002B2CF9AE}" pid="12" name="EK_RefNr">
    <vt:lpwstr>5.3.10-19</vt:lpwstr>
  </property>
  <property fmtid="{D5CDD505-2E9C-101B-9397-08002B2CF9AE}" pid="13" name="EK_S00MT1">
    <vt:lpwstr>Helse Bergen HF/Barne- og ungdomsklinikken/Nyføddintensiv</vt:lpwstr>
  </property>
  <property fmtid="{D5CDD505-2E9C-101B-9397-08002B2CF9AE}" pid="14" name="EK_S01MT3">
    <vt:lpwstr>Pasientbehandling/Fagprosedyrer</vt:lpwstr>
  </property>
  <property fmtid="{D5CDD505-2E9C-101B-9397-08002B2CF9AE}" pid="15" name="EK_Signatur">
    <vt:lpwstr>Anne-Siri Fonneland</vt:lpwstr>
  </property>
  <property fmtid="{D5CDD505-2E9C-101B-9397-08002B2CF9AE}" pid="16" name="EK_UText1">
    <vt:lpwstr>Merete Susan Olsen</vt:lpwstr>
  </property>
  <property fmtid="{D5CDD505-2E9C-101B-9397-08002B2CF9AE}" pid="17" name="EK_Utgave">
    <vt:lpwstr>3.00</vt:lpwstr>
  </property>
  <property fmtid="{D5CDD505-2E9C-101B-9397-08002B2CF9AE}" pid="18" name="EK_Watermark">
    <vt:lpwstr> </vt:lpwstr>
  </property>
  <property fmtid="{D5CDD505-2E9C-101B-9397-08002B2CF9AE}" pid="19" name="MSIP_Label_0c3ffc1c-ef00-4620-9c2f-7d9c1597774b_ActionId">
    <vt:lpwstr>8ddac901-9570-4f1f-9645-c2c14d305ce5</vt:lpwstr>
  </property>
  <property fmtid="{D5CDD505-2E9C-101B-9397-08002B2CF9AE}" pid="20" name="MSIP_Label_0c3ffc1c-ef00-4620-9c2f-7d9c1597774b_ContentBits">
    <vt:lpwstr>2</vt:lpwstr>
  </property>
  <property fmtid="{D5CDD505-2E9C-101B-9397-08002B2CF9AE}" pid="21" name="MSIP_Label_0c3ffc1c-ef00-4620-9c2f-7d9c1597774b_Enabled">
    <vt:lpwstr>true</vt:lpwstr>
  </property>
  <property fmtid="{D5CDD505-2E9C-101B-9397-08002B2CF9AE}" pid="22" name="MSIP_Label_0c3ffc1c-ef00-4620-9c2f-7d9c1597774b_Method">
    <vt:lpwstr>Standard</vt:lpwstr>
  </property>
  <property fmtid="{D5CDD505-2E9C-101B-9397-08002B2CF9AE}" pid="23" name="MSIP_Label_0c3ffc1c-ef00-4620-9c2f-7d9c1597774b_Name">
    <vt:lpwstr>Intern</vt:lpwstr>
  </property>
  <property fmtid="{D5CDD505-2E9C-101B-9397-08002B2CF9AE}" pid="24" name="MSIP_Label_0c3ffc1c-ef00-4620-9c2f-7d9c1597774b_SetDate">
    <vt:lpwstr>2026-02-09T13:58:42Z</vt:lpwstr>
  </property>
  <property fmtid="{D5CDD505-2E9C-101B-9397-08002B2CF9AE}" pid="25" name="MSIP_Label_0c3ffc1c-ef00-4620-9c2f-7d9c1597774b_SiteId">
    <vt:lpwstr>bdcbe535-f3cf-49f5-8a6a-fb6d98dc7837</vt:lpwstr>
  </property>
  <property fmtid="{D5CDD505-2E9C-101B-9397-08002B2CF9AE}" pid="26" name="MSIP_Label_0c3ffc1c-ef00-4620-9c2f-7d9c1597774b_Tag">
    <vt:lpwstr>10, 3, 0, 1</vt:lpwstr>
  </property>
  <property fmtid="{D5CDD505-2E9C-101B-9397-08002B2CF9AE}" pid="27" name="XD11773">
    <vt:lpwstr>5.6.3.1-61</vt:lpwstr>
  </property>
  <property fmtid="{D5CDD505-2E9C-101B-9397-08002B2CF9AE}" pid="28" name="XD11804">
    <vt:lpwstr>5.3.10.2-12</vt:lpwstr>
  </property>
  <property fmtid="{D5CDD505-2E9C-101B-9397-08002B2CF9AE}" pid="29" name="XD25273">
    <vt:lpwstr>5.6.4.1-65</vt:lpwstr>
  </property>
  <property fmtid="{D5CDD505-2E9C-101B-9397-08002B2CF9AE}" pid="30" name="XD42394">
    <vt:lpwstr>5.3.10.3-15</vt:lpwstr>
  </property>
  <property fmtid="{D5CDD505-2E9C-101B-9397-08002B2CF9AE}" pid="31" name="XD63771">
    <vt:lpwstr>5.3.7.6.2.2-01</vt:lpwstr>
  </property>
  <property fmtid="{D5CDD505-2E9C-101B-9397-08002B2CF9AE}" pid="32" name="XD63989">
    <vt:lpwstr>5.3.7.6.1.2-01</vt:lpwstr>
  </property>
  <property fmtid="{D5CDD505-2E9C-101B-9397-08002B2CF9AE}" pid="33" name="XD78117">
    <vt:lpwstr>5.6.3.1-59</vt:lpwstr>
  </property>
  <property fmtid="{D5CDD505-2E9C-101B-9397-08002B2CF9AE}" pid="34" name="XD79320">
    <vt:lpwstr>1.7.5.1.17.7-07</vt:lpwstr>
  </property>
  <property fmtid="{D5CDD505-2E9C-101B-9397-08002B2CF9AE}" pid="35" name="XD79501">
    <vt:lpwstr>5.6.3.1-58</vt:lpwstr>
  </property>
  <property fmtid="{D5CDD505-2E9C-101B-9397-08002B2CF9AE}" pid="36" name="XD82995">
    <vt:lpwstr>5.3.10-55</vt:lpwstr>
  </property>
  <property fmtid="{D5CDD505-2E9C-101B-9397-08002B2CF9AE}" pid="37" name="XD83987">
    <vt:lpwstr>5.6.3.2-108</vt:lpwstr>
  </property>
  <property fmtid="{D5CDD505-2E9C-101B-9397-08002B2CF9AE}" pid="38" name="XD84125">
    <vt:lpwstr>5.6.3.1-133</vt:lpwstr>
  </property>
  <property fmtid="{D5CDD505-2E9C-101B-9397-08002B2CF9AE}" pid="39" name="XDF11773">
    <vt:lpwstr>Lysterapi Neo Blue - lang</vt:lpwstr>
  </property>
  <property fmtid="{D5CDD505-2E9C-101B-9397-08002B2CF9AE}" pid="40" name="XDF11804">
    <vt:lpwstr>Bilirubin poliklinikk, Nyfødtintensiv</vt:lpwstr>
  </property>
  <property fmtid="{D5CDD505-2E9C-101B-9397-08002B2CF9AE}" pid="41" name="XDF25273">
    <vt:lpwstr>Lysterapi BiliSoft LED - lang</vt:lpwstr>
  </property>
  <property fmtid="{D5CDD505-2E9C-101B-9397-08002B2CF9AE}" pid="42" name="XDF42394">
    <vt:lpwstr>Smertebehandling av nyfødte barn</vt:lpwstr>
  </property>
  <property fmtid="{D5CDD505-2E9C-101B-9397-08002B2CF9AE}" pid="43" name="XDF63771">
    <vt:lpwstr>Lysbehandling i hjemmet, Avansert Heimesjukehus</vt:lpwstr>
  </property>
  <property fmtid="{D5CDD505-2E9C-101B-9397-08002B2CF9AE}" pid="44" name="XDF63989">
    <vt:lpwstr>Henvisning av pasienter til Avansert heimesjukehus, Barne- og ungdomsklinikken</vt:lpwstr>
  </property>
  <property fmtid="{D5CDD505-2E9C-101B-9397-08002B2CF9AE}" pid="45" name="XDF78117">
    <vt:lpwstr>Lysmatte Bilisoft 2.0</vt:lpwstr>
  </property>
  <property fmtid="{D5CDD505-2E9C-101B-9397-08002B2CF9AE}" pid="46" name="XDF79320">
    <vt:lpwstr>Lysbehandling Comen BL70</vt:lpwstr>
  </property>
  <property fmtid="{D5CDD505-2E9C-101B-9397-08002B2CF9AE}" pid="47" name="XDF79501">
    <vt:lpwstr>lyskasse Comen BL70</vt:lpwstr>
  </property>
  <property fmtid="{D5CDD505-2E9C-101B-9397-08002B2CF9AE}" pid="48" name="XDF82995">
    <vt:lpwstr>Blodprøvetaking av nyfødte</vt:lpwstr>
  </property>
  <property fmtid="{D5CDD505-2E9C-101B-9397-08002B2CF9AE}" pid="49" name="XDF83987">
    <vt:lpwstr>Bilirubinmåler Draeger JM-105</vt:lpwstr>
  </property>
  <property fmtid="{D5CDD505-2E9C-101B-9397-08002B2CF9AE}" pid="50" name="XDF84125">
    <vt:lpwstr>Transkutan bilirubinmåler Drager JM105</vt:lpwstr>
  </property>
  <property fmtid="{D5CDD505-2E9C-101B-9397-08002B2CF9AE}" pid="51" name="XDL11773">
    <vt:lpwstr>5.6.3.1-61 Lysterapi Neo Blue - lang</vt:lpwstr>
  </property>
  <property fmtid="{D5CDD505-2E9C-101B-9397-08002B2CF9AE}" pid="52" name="XDL11804">
    <vt:lpwstr>5.3.10.2-12 Bilirubin poliklinikk, Nyfødtintensiv</vt:lpwstr>
  </property>
  <property fmtid="{D5CDD505-2E9C-101B-9397-08002B2CF9AE}" pid="53" name="XDL25273">
    <vt:lpwstr>5.6.4.1-65 Lysterapi BiliSoft LED - lang</vt:lpwstr>
  </property>
  <property fmtid="{D5CDD505-2E9C-101B-9397-08002B2CF9AE}" pid="54" name="XDL42394">
    <vt:lpwstr>5.3.10.3-15 Smertebehandling av nyfødte barn</vt:lpwstr>
  </property>
  <property fmtid="{D5CDD505-2E9C-101B-9397-08002B2CF9AE}" pid="55" name="XDL63771">
    <vt:lpwstr>5.3.7.6.2.2-01 Lysbehandling i hjemmet, Avansert Heimesjukehus</vt:lpwstr>
  </property>
  <property fmtid="{D5CDD505-2E9C-101B-9397-08002B2CF9AE}" pid="56" name="XDL63989">
    <vt:lpwstr>5.3.7.6.1.2-01 Henvisning av pasienter til Avansert heimesjukehus, Barne- og ungdomsklinikken</vt:lpwstr>
  </property>
  <property fmtid="{D5CDD505-2E9C-101B-9397-08002B2CF9AE}" pid="57" name="XDL78117">
    <vt:lpwstr>5.6.3.1-59 Lysmatte Bilisoft 2.0</vt:lpwstr>
  </property>
  <property fmtid="{D5CDD505-2E9C-101B-9397-08002B2CF9AE}" pid="58" name="XDL79320">
    <vt:lpwstr>1.7.5.1.17.7-07 Lysbehandling Comen BL70</vt:lpwstr>
  </property>
  <property fmtid="{D5CDD505-2E9C-101B-9397-08002B2CF9AE}" pid="59" name="XDL79501">
    <vt:lpwstr>5.6.3.1-58 lyskasse Comen BL70</vt:lpwstr>
  </property>
  <property fmtid="{D5CDD505-2E9C-101B-9397-08002B2CF9AE}" pid="60" name="XDL82995">
    <vt:lpwstr>5.3.10-55 Blodprøvetaking av nyfødte</vt:lpwstr>
  </property>
  <property fmtid="{D5CDD505-2E9C-101B-9397-08002B2CF9AE}" pid="61" name="XDL83987">
    <vt:lpwstr>5.6.3.2-108 Bilirubinmåler Draeger JM-105</vt:lpwstr>
  </property>
  <property fmtid="{D5CDD505-2E9C-101B-9397-08002B2CF9AE}" pid="62" name="XDL84125">
    <vt:lpwstr>5.6.3.1-133 Transkutan bilirubinmåler Drager JM105</vt:lpwstr>
  </property>
  <property fmtid="{D5CDD505-2E9C-101B-9397-08002B2CF9AE}" pid="63" name="XDT11773">
    <vt:lpwstr>Lysterapi Neo Blue - lang</vt:lpwstr>
  </property>
  <property fmtid="{D5CDD505-2E9C-101B-9397-08002B2CF9AE}" pid="64" name="XDT11804">
    <vt:lpwstr>Bilirubin poliklinikk, Nyfødtintensiv</vt:lpwstr>
  </property>
  <property fmtid="{D5CDD505-2E9C-101B-9397-08002B2CF9AE}" pid="65" name="XDT25273">
    <vt:lpwstr>Lysterapi BiliSoft LED - lang</vt:lpwstr>
  </property>
  <property fmtid="{D5CDD505-2E9C-101B-9397-08002B2CF9AE}" pid="66" name="XDT42394">
    <vt:lpwstr>Smertebehandling av nyfødte barn</vt:lpwstr>
  </property>
  <property fmtid="{D5CDD505-2E9C-101B-9397-08002B2CF9AE}" pid="67" name="XDT63771">
    <vt:lpwstr>Lysbehandling i hjemmet, Avansert Heimesjukehus</vt:lpwstr>
  </property>
  <property fmtid="{D5CDD505-2E9C-101B-9397-08002B2CF9AE}" pid="68" name="XDT63989">
    <vt:lpwstr>Henvisning av pasienter til Avansert heimesjukehus, Barne- og ungdomsklinikken</vt:lpwstr>
  </property>
  <property fmtid="{D5CDD505-2E9C-101B-9397-08002B2CF9AE}" pid="69" name="XDT78117">
    <vt:lpwstr>Lysmatte Bilisoft 2.0</vt:lpwstr>
  </property>
  <property fmtid="{D5CDD505-2E9C-101B-9397-08002B2CF9AE}" pid="70" name="XDT79320">
    <vt:lpwstr>Lysbehandling Comen BL70</vt:lpwstr>
  </property>
  <property fmtid="{D5CDD505-2E9C-101B-9397-08002B2CF9AE}" pid="71" name="XDT79501">
    <vt:lpwstr>lyskasse Comen BL70</vt:lpwstr>
  </property>
  <property fmtid="{D5CDD505-2E9C-101B-9397-08002B2CF9AE}" pid="72" name="XDT82995">
    <vt:lpwstr>Blodprøvetaking av nyfødte</vt:lpwstr>
  </property>
  <property fmtid="{D5CDD505-2E9C-101B-9397-08002B2CF9AE}" pid="73" name="XDT83987">
    <vt:lpwstr>Bilirubinmåler Draeger JM-105</vt:lpwstr>
  </property>
  <property fmtid="{D5CDD505-2E9C-101B-9397-08002B2CF9AE}" pid="74" name="XDT84125">
    <vt:lpwstr>Transkutan bilirubinmåler Drager JM105</vt:lpwstr>
  </property>
</Properties>
</file>