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F5D17" w:rsidP="004F1E5A" w14:paraId="08B49CA0" w14:textId="77777777">
      <w:r>
        <w:t>Formål;</w:t>
      </w:r>
    </w:p>
    <w:p w:rsidR="001B03D1" w:rsidP="001B03D1" w14:paraId="13E96BD0" w14:textId="77777777">
      <w:pPr>
        <w:pStyle w:val="ListParagraph"/>
        <w:numPr>
          <w:ilvl w:val="0"/>
          <w:numId w:val="19"/>
        </w:numPr>
      </w:pPr>
      <w:r>
        <w:t>Hjelpe barnehagen å se barnets situasjon og få klarlagt familiær status</w:t>
      </w:r>
    </w:p>
    <w:p w:rsidR="001B03D1" w:rsidP="001B03D1" w14:paraId="7CD9BB30" w14:textId="77777777">
      <w:pPr>
        <w:pStyle w:val="ListParagraph"/>
        <w:numPr>
          <w:ilvl w:val="0"/>
          <w:numId w:val="19"/>
        </w:numPr>
      </w:pPr>
      <w:r>
        <w:t>Klargjøre samværsordninger for å vite hvor barnet bor til enhver tid, og hvordan samværsordningen skal praktiseres</w:t>
      </w:r>
    </w:p>
    <w:p w:rsidR="001B03D1" w:rsidP="001B03D1" w14:paraId="47EF1C38" w14:textId="77777777">
      <w:pPr>
        <w:pStyle w:val="ListParagraph"/>
        <w:numPr>
          <w:ilvl w:val="0"/>
          <w:numId w:val="19"/>
        </w:numPr>
      </w:pPr>
      <w:r>
        <w:t>Få på plass rutiner for gjensidig informasjon, og avklare hvem som skal vite hva</w:t>
      </w:r>
    </w:p>
    <w:p w:rsidR="001B03D1" w:rsidP="001B03D1" w14:paraId="3B1A6CE1" w14:textId="77777777">
      <w:pPr>
        <w:pStyle w:val="ListParagraph"/>
        <w:numPr>
          <w:ilvl w:val="0"/>
          <w:numId w:val="19"/>
        </w:numPr>
      </w:pPr>
      <w:r>
        <w:t>Få</w:t>
      </w:r>
      <w:r>
        <w:t xml:space="preserve"> til samarbeid til barnets beste</w:t>
      </w:r>
    </w:p>
    <w:p w:rsidR="001B03D1" w:rsidP="001B03D1" w14:paraId="7FCFDA16" w14:textId="77777777">
      <w:pPr>
        <w:pStyle w:val="ListParagraph"/>
        <w:numPr>
          <w:ilvl w:val="0"/>
          <w:numId w:val="19"/>
        </w:numPr>
      </w:pPr>
      <w:r>
        <w:t>Avklare foresattes oppfølging ved aktiviteter i barnehagen</w:t>
      </w:r>
    </w:p>
    <w:p w:rsidR="001B03D1" w:rsidP="001B03D1" w14:paraId="63EE82D7" w14:textId="77777777">
      <w:pPr>
        <w:pStyle w:val="ListParagraph"/>
        <w:numPr>
          <w:ilvl w:val="0"/>
          <w:numId w:val="19"/>
        </w:numPr>
      </w:pPr>
      <w:r>
        <w:t>Avklare informasjon til ansatte</w:t>
      </w:r>
    </w:p>
    <w:p w:rsidR="001B03D1" w:rsidP="001B03D1" w14:paraId="501E4DE4" w14:textId="77777777">
      <w:pPr>
        <w:pStyle w:val="ListParagraph"/>
        <w:numPr>
          <w:ilvl w:val="0"/>
          <w:numId w:val="19"/>
        </w:numPr>
      </w:pPr>
      <w:r>
        <w:t>Hindre at barnehagen bidrar til å opprettholde en konflikt</w:t>
      </w:r>
    </w:p>
    <w:p w:rsidR="001B03D1" w:rsidP="001B03D1" w14:paraId="359F1139" w14:textId="77777777"/>
    <w:p w:rsidR="001B03D1" w:rsidP="001B03D1" w14:paraId="3264990A" w14:textId="77777777">
      <w:r>
        <w:t>Akuttfase;</w:t>
      </w:r>
    </w:p>
    <w:p w:rsidR="001B03D1" w:rsidP="001B03D1" w14:paraId="584FEC99" w14:textId="77777777"/>
    <w:tbl>
      <w:tblPr>
        <w:tblStyle w:val="TableGrid"/>
        <w:tblW w:w="0" w:type="auto"/>
        <w:tblLook w:val="04A0"/>
      </w:tblPr>
      <w:tblGrid>
        <w:gridCol w:w="2265"/>
        <w:gridCol w:w="2265"/>
        <w:gridCol w:w="2265"/>
        <w:gridCol w:w="2266"/>
      </w:tblGrid>
      <w:tr w14:paraId="0FBE0E5E" w14:textId="77777777" w:rsidTr="001B03D1">
        <w:tblPrEx>
          <w:tblW w:w="0" w:type="auto"/>
          <w:tblLook w:val="04A0"/>
        </w:tblPrEx>
        <w:tc>
          <w:tcPr>
            <w:tcW w:w="2265" w:type="dxa"/>
          </w:tcPr>
          <w:p w:rsidR="001B03D1" w:rsidP="001B03D1" w14:paraId="0D348CDE" w14:textId="77777777">
            <w:r>
              <w:t>Tiltak</w:t>
            </w:r>
          </w:p>
        </w:tc>
        <w:tc>
          <w:tcPr>
            <w:tcW w:w="2265" w:type="dxa"/>
          </w:tcPr>
          <w:p w:rsidR="001B03D1" w:rsidP="001B03D1" w14:paraId="340CC79D" w14:textId="77777777">
            <w:r>
              <w:t>Ansvarlig</w:t>
            </w:r>
          </w:p>
        </w:tc>
        <w:tc>
          <w:tcPr>
            <w:tcW w:w="2265" w:type="dxa"/>
          </w:tcPr>
          <w:p w:rsidR="001B03D1" w:rsidP="001B03D1" w14:paraId="695296E4" w14:textId="77777777">
            <w:r>
              <w:t>Støtte</w:t>
            </w:r>
          </w:p>
        </w:tc>
        <w:tc>
          <w:tcPr>
            <w:tcW w:w="2266" w:type="dxa"/>
          </w:tcPr>
          <w:p w:rsidR="001B03D1" w:rsidP="001B03D1" w14:paraId="2073A643" w14:textId="77777777">
            <w:r>
              <w:t>Gjøremål</w:t>
            </w:r>
          </w:p>
        </w:tc>
      </w:tr>
      <w:tr w14:paraId="379D4450" w14:textId="77777777" w:rsidTr="001B03D1">
        <w:tblPrEx>
          <w:tblW w:w="0" w:type="auto"/>
          <w:tblLook w:val="04A0"/>
        </w:tblPrEx>
        <w:tc>
          <w:tcPr>
            <w:tcW w:w="2265" w:type="dxa"/>
          </w:tcPr>
          <w:p w:rsidR="001B03D1" w:rsidP="001B03D1" w14:paraId="0939DE34" w14:textId="77777777">
            <w:r>
              <w:t>Motta informasjon om samlivsbrudd</w:t>
            </w:r>
          </w:p>
        </w:tc>
        <w:tc>
          <w:tcPr>
            <w:tcW w:w="2265" w:type="dxa"/>
          </w:tcPr>
          <w:p w:rsidR="001B03D1" w:rsidP="001B03D1" w14:paraId="0C0E3142" w14:textId="77777777">
            <w:r>
              <w:t>Den som mottar meldingen</w:t>
            </w:r>
          </w:p>
        </w:tc>
        <w:tc>
          <w:tcPr>
            <w:tcW w:w="2265" w:type="dxa"/>
          </w:tcPr>
          <w:p w:rsidR="001B03D1" w:rsidP="001B03D1" w14:paraId="17846594" w14:textId="77777777">
            <w:r>
              <w:t>Ped.leder</w:t>
            </w:r>
            <w:r>
              <w:t>/styrer</w:t>
            </w:r>
          </w:p>
        </w:tc>
        <w:tc>
          <w:tcPr>
            <w:tcW w:w="2266" w:type="dxa"/>
          </w:tcPr>
          <w:p w:rsidR="001B03D1" w:rsidP="001B03D1" w14:paraId="4D39A5DF" w14:textId="77777777">
            <w:r>
              <w:t>Motta informasjon, invitere til samtale med foresatte</w:t>
            </w:r>
          </w:p>
        </w:tc>
      </w:tr>
      <w:tr w14:paraId="56B758C4" w14:textId="77777777" w:rsidTr="001B03D1">
        <w:tblPrEx>
          <w:tblW w:w="0" w:type="auto"/>
          <w:tblLook w:val="04A0"/>
        </w:tblPrEx>
        <w:tc>
          <w:tcPr>
            <w:tcW w:w="2265" w:type="dxa"/>
          </w:tcPr>
          <w:p w:rsidR="001B03D1" w:rsidP="001B03D1" w14:paraId="275284E9" w14:textId="77777777">
            <w:r>
              <w:t>Avklare samværsordning</w:t>
            </w:r>
          </w:p>
        </w:tc>
        <w:tc>
          <w:tcPr>
            <w:tcW w:w="2265" w:type="dxa"/>
          </w:tcPr>
          <w:p w:rsidR="001B03D1" w:rsidP="001B03D1" w14:paraId="23C19BF0" w14:textId="77777777">
            <w:r>
              <w:t>Ped.leder</w:t>
            </w:r>
          </w:p>
        </w:tc>
        <w:tc>
          <w:tcPr>
            <w:tcW w:w="2265" w:type="dxa"/>
          </w:tcPr>
          <w:p w:rsidR="001B03D1" w:rsidP="001B03D1" w14:paraId="55880FFE" w14:textId="77777777">
            <w:r>
              <w:t>Styrer</w:t>
            </w:r>
          </w:p>
        </w:tc>
        <w:tc>
          <w:tcPr>
            <w:tcW w:w="2266" w:type="dxa"/>
          </w:tcPr>
          <w:p w:rsidR="001B03D1" w:rsidP="001B03D1" w14:paraId="5FDA59E4" w14:textId="77777777">
            <w:r>
              <w:t>Samtale med foresatte, avklare</w:t>
            </w:r>
            <w:r w:rsidR="006C2827">
              <w:t xml:space="preserve"> levere/hente situasjoner</w:t>
            </w:r>
          </w:p>
        </w:tc>
      </w:tr>
      <w:tr w14:paraId="43626970" w14:textId="77777777" w:rsidTr="001B03D1">
        <w:tblPrEx>
          <w:tblW w:w="0" w:type="auto"/>
          <w:tblLook w:val="04A0"/>
        </w:tblPrEx>
        <w:tc>
          <w:tcPr>
            <w:tcW w:w="2265" w:type="dxa"/>
          </w:tcPr>
          <w:p w:rsidR="001B03D1" w:rsidP="001B03D1" w14:paraId="52D54858" w14:textId="77777777">
            <w:r>
              <w:t>Avklare samarbeidsrutiner</w:t>
            </w:r>
          </w:p>
        </w:tc>
        <w:tc>
          <w:tcPr>
            <w:tcW w:w="2265" w:type="dxa"/>
          </w:tcPr>
          <w:p w:rsidR="001B03D1" w:rsidP="001B03D1" w14:paraId="5B453C72" w14:textId="77777777">
            <w:r>
              <w:t>Ped.leder</w:t>
            </w:r>
          </w:p>
        </w:tc>
        <w:tc>
          <w:tcPr>
            <w:tcW w:w="2265" w:type="dxa"/>
          </w:tcPr>
          <w:p w:rsidR="001B03D1" w:rsidP="001B03D1" w14:paraId="0A2CD183" w14:textId="77777777">
            <w:r>
              <w:t>Styrer</w:t>
            </w:r>
          </w:p>
        </w:tc>
        <w:tc>
          <w:tcPr>
            <w:tcW w:w="2266" w:type="dxa"/>
          </w:tcPr>
          <w:p w:rsidR="001B03D1" w:rsidP="001B03D1" w14:paraId="746E37DF" w14:textId="77777777">
            <w:r>
              <w:t>Samtale med foresatte, avklare samarbeidsrutiner</w:t>
            </w:r>
          </w:p>
        </w:tc>
      </w:tr>
      <w:tr w14:paraId="2955E5A4" w14:textId="77777777" w:rsidTr="001B03D1">
        <w:tblPrEx>
          <w:tblW w:w="0" w:type="auto"/>
          <w:tblLook w:val="04A0"/>
        </w:tblPrEx>
        <w:tc>
          <w:tcPr>
            <w:tcW w:w="2265" w:type="dxa"/>
          </w:tcPr>
          <w:p w:rsidR="001B03D1" w:rsidP="001B03D1" w14:paraId="3173B83E" w14:textId="77777777">
            <w:r>
              <w:t>Avklare andre samarbeidsforhold</w:t>
            </w:r>
          </w:p>
        </w:tc>
        <w:tc>
          <w:tcPr>
            <w:tcW w:w="2265" w:type="dxa"/>
          </w:tcPr>
          <w:p w:rsidR="001B03D1" w:rsidP="001B03D1" w14:paraId="3F6FF219" w14:textId="77777777">
            <w:r>
              <w:t>Ped.leder</w:t>
            </w:r>
          </w:p>
        </w:tc>
        <w:tc>
          <w:tcPr>
            <w:tcW w:w="2265" w:type="dxa"/>
          </w:tcPr>
          <w:p w:rsidR="001B03D1" w:rsidP="001B03D1" w14:paraId="44A77F2D" w14:textId="77777777">
            <w:r>
              <w:t>Styrer</w:t>
            </w:r>
          </w:p>
        </w:tc>
        <w:tc>
          <w:tcPr>
            <w:tcW w:w="2266" w:type="dxa"/>
          </w:tcPr>
          <w:p w:rsidR="006C2827" w:rsidP="001B03D1" w14:paraId="68C6AFDF" w14:textId="77777777">
            <w:r>
              <w:t>Samtale med foresatte om andre familiemedlemmers rettigheter, nye partneres rettigheter, medbestemmelse om barnehageplass, taushetsplikt</w:t>
            </w:r>
          </w:p>
        </w:tc>
      </w:tr>
      <w:tr w14:paraId="4604F89C" w14:textId="77777777" w:rsidTr="001B03D1">
        <w:tblPrEx>
          <w:tblW w:w="0" w:type="auto"/>
          <w:tblLook w:val="04A0"/>
        </w:tblPrEx>
        <w:tc>
          <w:tcPr>
            <w:tcW w:w="2265" w:type="dxa"/>
          </w:tcPr>
          <w:p w:rsidR="001B03D1" w:rsidP="001B03D1" w14:paraId="5F578012" w14:textId="77777777">
            <w:r>
              <w:t xml:space="preserve">Avklare tilgang i </w:t>
            </w:r>
            <w:r>
              <w:t>Vigilo</w:t>
            </w:r>
          </w:p>
        </w:tc>
        <w:tc>
          <w:tcPr>
            <w:tcW w:w="2265" w:type="dxa"/>
          </w:tcPr>
          <w:p w:rsidR="001B03D1" w:rsidP="001B03D1" w14:paraId="3AD914EC" w14:textId="77777777">
            <w:r>
              <w:t>Ped.leder</w:t>
            </w:r>
          </w:p>
        </w:tc>
        <w:tc>
          <w:tcPr>
            <w:tcW w:w="2265" w:type="dxa"/>
          </w:tcPr>
          <w:p w:rsidR="001B03D1" w:rsidP="001B03D1" w14:paraId="3504682B" w14:textId="77777777">
            <w:r>
              <w:t>Styrer</w:t>
            </w:r>
          </w:p>
        </w:tc>
        <w:tc>
          <w:tcPr>
            <w:tcW w:w="2266" w:type="dxa"/>
          </w:tcPr>
          <w:p w:rsidR="001B03D1" w:rsidP="001B03D1" w14:paraId="051D0993" w14:textId="77777777">
            <w:r>
              <w:t xml:space="preserve">Dersom en av foresatte ikke skal ha tilgang til </w:t>
            </w:r>
            <w:r>
              <w:t>Vigilo</w:t>
            </w:r>
            <w:r>
              <w:t>, deaktiveres den foresatte umiddelbart.</w:t>
            </w:r>
          </w:p>
        </w:tc>
      </w:tr>
      <w:tr w14:paraId="7914BA61" w14:textId="77777777" w:rsidTr="001B03D1">
        <w:tblPrEx>
          <w:tblW w:w="0" w:type="auto"/>
          <w:tblLook w:val="04A0"/>
        </w:tblPrEx>
        <w:tc>
          <w:tcPr>
            <w:tcW w:w="2265" w:type="dxa"/>
          </w:tcPr>
          <w:p w:rsidR="001B03D1" w:rsidP="001B03D1" w14:paraId="47C258F4" w14:textId="77777777">
            <w:r>
              <w:t>Følge opp barnet</w:t>
            </w:r>
          </w:p>
        </w:tc>
        <w:tc>
          <w:tcPr>
            <w:tcW w:w="2265" w:type="dxa"/>
          </w:tcPr>
          <w:p w:rsidR="001B03D1" w:rsidP="001B03D1" w14:paraId="05DB7225" w14:textId="77777777">
            <w:r>
              <w:t>Ped.leder</w:t>
            </w:r>
          </w:p>
        </w:tc>
        <w:tc>
          <w:tcPr>
            <w:tcW w:w="2265" w:type="dxa"/>
          </w:tcPr>
          <w:p w:rsidR="001B03D1" w:rsidP="001B03D1" w14:paraId="4EB69F53" w14:textId="77777777">
            <w:r>
              <w:t>Styrer</w:t>
            </w:r>
          </w:p>
        </w:tc>
        <w:tc>
          <w:tcPr>
            <w:tcW w:w="2266" w:type="dxa"/>
          </w:tcPr>
          <w:p w:rsidR="001B03D1" w:rsidP="001B03D1" w14:paraId="4F0B2199" w14:textId="77777777">
            <w:r>
              <w:t>Oppfølging av barnet etter samlivsbrudd</w:t>
            </w:r>
          </w:p>
        </w:tc>
      </w:tr>
    </w:tbl>
    <w:p w:rsidR="009F5D17" w:rsidP="004F1E5A" w14:paraId="2B3F063D" w14:textId="77777777">
      <w:bookmarkStart w:id="0" w:name="_GoBack"/>
      <w:bookmarkEnd w:id="0"/>
    </w:p>
    <w:p w:rsidR="009F5D17" w:rsidP="004F1E5A" w14:paraId="2BDF1453" w14:textId="77777777"/>
    <w:p w:rsidR="009F5D17" w:rsidP="004F1E5A" w14:paraId="281B768A" w14:textId="77777777"/>
    <w:p w:rsidR="009F5D17" w:rsidP="004F1E5A" w14:paraId="409F636D" w14:textId="77777777"/>
    <w:p w:rsidR="009F5D17" w:rsidP="004F1E5A" w14:paraId="3DB61787" w14:textId="77777777"/>
    <w:p w:rsidR="009F5D17" w:rsidP="004F1E5A" w14:paraId="0DB16219" w14:textId="77777777"/>
    <w:p w:rsidR="009F5D17" w:rsidP="004F1E5A" w14:paraId="690D1A91" w14:textId="77777777"/>
    <w:p w:rsidR="009F5D17" w:rsidP="004F1E5A" w14:paraId="36C12370" w14:textId="77777777"/>
    <w:p w:rsidR="009F5D17" w:rsidP="004F1E5A" w14:paraId="2A7955B5" w14:textId="77777777"/>
    <w:p w:rsidR="009F5D17" w:rsidP="004F1E5A" w14:paraId="0BD9C850" w14:textId="77777777"/>
    <w:p w:rsidR="009F5D17" w:rsidP="004F1E5A" w14:paraId="3CE66A72" w14:textId="77777777"/>
    <w:p w:rsidR="009F5D17" w:rsidP="004F1E5A" w14:paraId="6E8E78E5" w14:textId="77777777"/>
    <w:p w:rsidR="009F5D17" w:rsidP="004F1E5A" w14:paraId="6AC0CF17" w14:textId="77777777"/>
    <w:p w:rsidR="009F5D17" w:rsidP="004F1E5A" w14:paraId="01D5A6C3" w14:textId="77777777"/>
    <w:p w:rsidR="009D023B" w:rsidP="004F1E5A" w14:paraId="7C6B2E8C" w14:textId="77777777">
      <w:bookmarkStart w:id="1" w:name="tempHer"/>
      <w:bookmarkEnd w:id="1"/>
      <w:r>
        <w:t>Referanser</w:t>
      </w:r>
    </w:p>
    <w:p w:rsidR="009F5D17" w:rsidP="004F1E5A" w14:paraId="36E5BB68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 w14:paraId="0D4F93EF" w14:textId="77777777">
      <w:bookmarkEnd w:id="2"/>
    </w:p>
    <w:p w:rsidR="009F5D17" w:rsidP="009F5D17" w14:paraId="40EAF830" w14:textId="77777777"/>
    <w:p w:rsidR="009F5D17" w:rsidP="009F5D17" w14:paraId="11402467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60FB1707" w14:textId="77777777">
      <w:bookmarkEnd w:id="3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3A53746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167FE5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D95B74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6.8.2-11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446446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163446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5609048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D73155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48BC96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1BB98C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4E0713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844414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24F0CA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CA2FB1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38720F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2091A9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DA4E956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F971B2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5DCF5B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FBC3B7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Endret livssituasjon for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3430693" w14:textId="77777777">
          <w:pPr>
            <w:pStyle w:val="Header"/>
            <w:jc w:val="left"/>
            <w:rPr>
              <w:sz w:val="12"/>
            </w:rPr>
          </w:pPr>
        </w:p>
        <w:p w:rsidR="00485214" w14:paraId="2D5FF8E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18CC07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667782A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52DB46B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7pt;height:16.8pt" o:oleicon="f" o:ole="">
                <v:imagedata r:id="rId1" o:title=""/>
              </v:shape>
              <o:OLEObject Type="Embed" ProgID="PBrush" ShapeID="_x0000_i2049" DrawAspect="Content" ObjectID="_1727177408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156F360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Endret livssituasjon for barn</w:t>
          </w:r>
          <w:r>
            <w:rPr>
              <w:sz w:val="28"/>
            </w:rPr>
            <w:fldChar w:fldCharType="end"/>
          </w:r>
        </w:p>
      </w:tc>
    </w:tr>
    <w:tr w14:paraId="6144A7FF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11DB322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211FEFF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02.10.2024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02.10.2025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13B827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21EDCB5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3A9F6D9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37BB851E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33099FF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134ACD8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B14E94A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2FEE97E8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6F46681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D73155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C46A41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F45D7"/>
    <w:multiLevelType w:val="hybridMultilevel"/>
    <w:tmpl w:val="A8C2C77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4EB8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03D1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2827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5B2E9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1B0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5BD6-DC07-441B-B3DE-5D95F0D8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51</TotalTime>
  <Pages>2</Pages>
  <Words>169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Endret livssituasjon for barn</vt:lpstr>
      <vt:lpstr>HBHF-mal - stående</vt:lpstr>
    </vt:vector>
  </TitlesOfParts>
  <Company>Datakvalitet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Endret livssituasjon for barn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3</cp:revision>
  <cp:lastPrinted>2006-09-07T08:52:00Z</cp:lastPrinted>
  <dcterms:created xsi:type="dcterms:W3CDTF">2021-06-03T12:13:00Z</dcterms:created>
  <dcterms:modified xsi:type="dcterms:W3CDTF">2022-10-13T12:44:00Z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Endret livssituasjon for barn</vt:lpwstr>
  </property>
  <property fmtid="{D5CDD505-2E9C-101B-9397-08002B2CF9AE}" pid="4" name="EK_DokType">
    <vt:lpwstr>Prosedyre</vt:lpwstr>
  </property>
  <property fmtid="{D5CDD505-2E9C-101B-9397-08002B2CF9AE}" pid="5" name="EK_DokumentID">
    <vt:lpwstr>D73155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02.10.2024</vt:lpwstr>
  </property>
  <property fmtid="{D5CDD505-2E9C-101B-9397-08002B2CF9AE}" pid="8" name="EK_GjelderTil">
    <vt:lpwstr>02.10.2025</vt:lpwstr>
  </property>
  <property fmtid="{D5CDD505-2E9C-101B-9397-08002B2CF9AE}" pid="9" name="EK_RefNr">
    <vt:lpwstr>6.8.2-11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Beredskap</vt:lpwstr>
  </property>
  <property fmtid="{D5CDD505-2E9C-101B-9397-08002B2CF9AE}" pid="12" name="EK_Signatur">
    <vt:lpwstr>Bakken, Gerd</vt:lpwstr>
  </property>
  <property fmtid="{D5CDD505-2E9C-101B-9397-08002B2CF9AE}" pid="13" name="EK_UText1">
    <vt:lpwstr>Hilde M Ersvær</vt:lpwstr>
  </property>
  <property fmtid="{D5CDD505-2E9C-101B-9397-08002B2CF9AE}" pid="14" name="EK_Utgave">
    <vt:lpwstr>1.02</vt:lpwstr>
  </property>
  <property fmtid="{D5CDD505-2E9C-101B-9397-08002B2CF9AE}" pid="15" name="EK_Watermark">
    <vt:lpwstr>Vannmerke</vt:lpwstr>
  </property>
</Properties>
</file>