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652AB9" w:rsidRPr="00D42F44" w:rsidP="00ED20FD" w14:paraId="65066E31" w14:textId="77777777">
      <w:pPr>
        <w:pStyle w:val="Heading2"/>
        <w:rPr>
          <w:rFonts w:cstheme="minorHAnsi"/>
          <w:szCs w:val="24"/>
        </w:rPr>
      </w:pPr>
      <w:bookmarkStart w:id="0" w:name="tempHer"/>
      <w:bookmarkStart w:id="1" w:name="_Toc256000000"/>
      <w:bookmarkEnd w:id="0"/>
      <w:r w:rsidRPr="00D42F44">
        <w:rPr>
          <w:rFonts w:cstheme="minorHAnsi"/>
          <w:szCs w:val="24"/>
        </w:rPr>
        <w:t>Infusjonssett, ulike typer:</w:t>
      </w:r>
      <w:bookmarkEnd w:id="1"/>
    </w:p>
    <w:p w:rsidR="00652AB9" w:rsidRPr="00D42F44" w:rsidP="00652AB9" w14:paraId="65066E32" w14:textId="7777777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426" w:hanging="284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>Til infusjonsposer brukes infusjonssett 15 μm filter uten lufting</w:t>
      </w:r>
    </w:p>
    <w:p w:rsidR="00652AB9" w:rsidRPr="00D42F44" w:rsidP="00652AB9" w14:paraId="65066E33" w14:textId="7777777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426" w:hanging="284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>Til glassflasker brukes infusjonssett med 15 μm filter og lufting</w:t>
      </w:r>
    </w:p>
    <w:p w:rsidR="00652AB9" w:rsidRPr="00D42F44" w:rsidP="00652AB9" w14:paraId="65066E34" w14:textId="7777777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426" w:hanging="284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Til infusjonspumper (volumpumper) brukes egne sett med 15 μm filter  </w:t>
      </w:r>
    </w:p>
    <w:p w:rsidR="00652AB9" w:rsidRPr="00D42F44" w:rsidP="00652AB9" w14:paraId="65066E35" w14:textId="7777777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426" w:hanging="284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Til sprøytepumper brukes egne infusjonsslanger, evt. med inline-trykkmåling </w:t>
      </w:r>
    </w:p>
    <w:p w:rsidR="00652AB9" w:rsidRPr="00D42F44" w:rsidP="00652AB9" w14:paraId="65066E36" w14:textId="77777777">
      <w:pPr>
        <w:pStyle w:val="ListParagraph"/>
        <w:numPr>
          <w:ilvl w:val="0"/>
          <w:numId w:val="19"/>
        </w:numPr>
        <w:autoSpaceDE w:val="0"/>
        <w:autoSpaceDN w:val="0"/>
        <w:adjustRightInd w:val="0"/>
        <w:ind w:left="426" w:hanging="284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>Spesial-infusjonssett til infusjons- og sprøytepumper:</w:t>
      </w:r>
    </w:p>
    <w:p w:rsidR="00652AB9" w:rsidRPr="00D42F44" w:rsidP="00DB004B" w14:paraId="65066E37" w14:textId="77777777">
      <w:pPr>
        <w:pStyle w:val="Heading3"/>
        <w:numPr>
          <w:ilvl w:val="0"/>
          <w:numId w:val="25"/>
        </w:numPr>
        <w:autoSpaceDE w:val="0"/>
        <w:autoSpaceDN w:val="0"/>
        <w:adjustRightInd w:val="0"/>
        <w:ind w:left="709"/>
        <w:rPr>
          <w:rFonts w:cstheme="minorHAnsi"/>
          <w:b w:val="0"/>
          <w:szCs w:val="24"/>
        </w:rPr>
      </w:pPr>
      <w:bookmarkStart w:id="2" w:name="_Toc256000001"/>
      <w:r w:rsidRPr="00D42F44">
        <w:rPr>
          <w:rFonts w:cstheme="minorHAnsi"/>
          <w:szCs w:val="24"/>
        </w:rPr>
        <w:t xml:space="preserve">Lav-absorberende sett: </w:t>
      </w:r>
      <w:r w:rsidRPr="00D42F44">
        <w:rPr>
          <w:rFonts w:cstheme="minorHAnsi"/>
          <w:b w:val="0"/>
          <w:szCs w:val="24"/>
        </w:rPr>
        <w:t xml:space="preserve">Innsiden av slangen er foret med polyethylen (PE) for å hindre opptak av legemiddel i plasten og for </w:t>
      </w:r>
      <w:r w:rsidRPr="00D42F44">
        <w:rPr>
          <w:rFonts w:cstheme="minorHAnsi"/>
          <w:b w:val="0"/>
          <w:szCs w:val="24"/>
        </w:rPr>
        <w:t>å hindre at stoffer fra plasten går ut i væsken</w:t>
      </w:r>
      <w:bookmarkEnd w:id="2"/>
    </w:p>
    <w:p w:rsidR="00652AB9" w:rsidRPr="00D42F44" w:rsidP="00652AB9" w14:paraId="65066E38" w14:textId="77777777">
      <w:pPr>
        <w:pStyle w:val="Note"/>
        <w:rPr>
          <w:rFonts w:asciiTheme="minorHAnsi" w:hAnsiTheme="minorHAnsi" w:cstheme="minorHAnsi"/>
        </w:rPr>
      </w:pPr>
      <w:r w:rsidRPr="00D42F44">
        <w:rPr>
          <w:rFonts w:asciiTheme="minorHAnsi" w:hAnsiTheme="minorHAnsi" w:cstheme="minorHAnsi"/>
        </w:rPr>
        <w:t>Til infusjonspumpen Alaris GP: Inf.sett 60953</w:t>
      </w:r>
      <w:r w:rsidRPr="00D42F44" w:rsidR="00E361E1">
        <w:rPr>
          <w:rFonts w:asciiTheme="minorHAnsi" w:hAnsiTheme="minorHAnsi" w:cstheme="minorHAnsi"/>
        </w:rPr>
        <w:t>V</w:t>
      </w:r>
      <w:r w:rsidRPr="00D42F44">
        <w:rPr>
          <w:rFonts w:asciiTheme="minorHAnsi" w:hAnsiTheme="minorHAnsi" w:cstheme="minorHAnsi"/>
        </w:rPr>
        <w:t xml:space="preserve"> (BD Norge AS)</w:t>
      </w:r>
    </w:p>
    <w:p w:rsidR="00652AB9" w:rsidRPr="00D42F44" w:rsidP="00652AB9" w14:paraId="65066E39" w14:textId="77777777">
      <w:pPr>
        <w:pStyle w:val="Note"/>
        <w:rPr>
          <w:rFonts w:asciiTheme="minorHAnsi" w:hAnsiTheme="minorHAnsi" w:cstheme="minorHAnsi"/>
        </w:rPr>
      </w:pPr>
      <w:r w:rsidRPr="00D42F44">
        <w:rPr>
          <w:rFonts w:asciiTheme="minorHAnsi" w:hAnsiTheme="minorHAnsi" w:cstheme="minorHAnsi"/>
        </w:rPr>
        <w:t>Til sprøytepumpen Alaris CC: Inf.sett G30302</w:t>
      </w:r>
      <w:r w:rsidRPr="00D42F44" w:rsidR="00E361E1">
        <w:rPr>
          <w:rFonts w:asciiTheme="minorHAnsi" w:hAnsiTheme="minorHAnsi" w:cstheme="minorHAnsi"/>
        </w:rPr>
        <w:t>V</w:t>
      </w:r>
      <w:r w:rsidRPr="00D42F44">
        <w:rPr>
          <w:rFonts w:asciiTheme="minorHAnsi" w:hAnsiTheme="minorHAnsi" w:cstheme="minorHAnsi"/>
        </w:rPr>
        <w:t xml:space="preserve"> (BD Norge AS)</w:t>
      </w:r>
    </w:p>
    <w:p w:rsidR="00652AB9" w:rsidRPr="00D42F44" w:rsidP="00355D1A" w14:paraId="65066E3A" w14:textId="77777777">
      <w:pPr>
        <w:pStyle w:val="Heading3"/>
        <w:numPr>
          <w:ilvl w:val="0"/>
          <w:numId w:val="26"/>
        </w:numPr>
        <w:autoSpaceDE w:val="0"/>
        <w:autoSpaceDN w:val="0"/>
        <w:adjustRightInd w:val="0"/>
        <w:ind w:left="709"/>
        <w:rPr>
          <w:rFonts w:cstheme="minorHAnsi"/>
          <w:b w:val="0"/>
          <w:szCs w:val="24"/>
        </w:rPr>
      </w:pPr>
      <w:bookmarkStart w:id="3" w:name="_Toc256000002"/>
      <w:r w:rsidRPr="00D42F44">
        <w:rPr>
          <w:rFonts w:cstheme="minorHAnsi"/>
          <w:szCs w:val="24"/>
        </w:rPr>
        <w:t xml:space="preserve">Lysresistent sett: </w:t>
      </w:r>
      <w:r w:rsidRPr="00D42F44">
        <w:rPr>
          <w:rFonts w:cstheme="minorHAnsi"/>
          <w:b w:val="0"/>
          <w:szCs w:val="24"/>
        </w:rPr>
        <w:t>Slangen er gul/orange for å beskytte legemiddel mot lys</w:t>
      </w:r>
      <w:bookmarkEnd w:id="3"/>
    </w:p>
    <w:p w:rsidR="00652AB9" w:rsidRPr="00D42F44" w:rsidP="00652AB9" w14:paraId="65066E3B" w14:textId="77777777">
      <w:pPr>
        <w:pStyle w:val="Note"/>
        <w:rPr>
          <w:rFonts w:asciiTheme="minorHAnsi" w:hAnsiTheme="minorHAnsi" w:cstheme="minorHAnsi"/>
        </w:rPr>
      </w:pPr>
      <w:r w:rsidRPr="00D42F44">
        <w:rPr>
          <w:rFonts w:asciiTheme="minorHAnsi" w:hAnsiTheme="minorHAnsi" w:cstheme="minorHAnsi"/>
        </w:rPr>
        <w:t>Til infusjon</w:t>
      </w:r>
      <w:r w:rsidRPr="00D42F44">
        <w:rPr>
          <w:rFonts w:asciiTheme="minorHAnsi" w:hAnsiTheme="minorHAnsi" w:cstheme="minorHAnsi"/>
        </w:rPr>
        <w:t>spumpen Alaris GP: Inf.sett 60643 (BD Norge AS)</w:t>
      </w:r>
    </w:p>
    <w:p w:rsidR="00652AB9" w:rsidRPr="00D42F44" w:rsidP="00921961" w14:paraId="65066E3C" w14:textId="77777777">
      <w:pPr>
        <w:pStyle w:val="Note"/>
        <w:ind w:left="426" w:hanging="57"/>
        <w:rPr>
          <w:rFonts w:asciiTheme="minorHAnsi" w:hAnsiTheme="minorHAnsi" w:cstheme="minorHAnsi"/>
        </w:rPr>
      </w:pPr>
      <w:r w:rsidRPr="00D42F44">
        <w:rPr>
          <w:rFonts w:asciiTheme="minorHAnsi" w:hAnsiTheme="minorHAnsi" w:cstheme="minorHAnsi"/>
        </w:rPr>
        <w:t>Til sprøytepumpen Alaris CC: Inf.sett MFX 2294 (BD Norge AS)</w:t>
      </w:r>
      <w:r w:rsidR="00921961">
        <w:rPr>
          <w:rFonts w:asciiTheme="minorHAnsi" w:hAnsiTheme="minorHAnsi" w:cstheme="minorHAnsi"/>
        </w:rPr>
        <w:t xml:space="preserve">. Dette settet </w:t>
      </w:r>
      <w:r w:rsidRPr="00D42F44">
        <w:rPr>
          <w:rFonts w:asciiTheme="minorHAnsi" w:hAnsiTheme="minorHAnsi" w:cstheme="minorHAnsi"/>
        </w:rPr>
        <w:t>er i tillegg foret med</w:t>
      </w:r>
      <w:r w:rsidR="00921961">
        <w:rPr>
          <w:rFonts w:asciiTheme="minorHAnsi" w:hAnsiTheme="minorHAnsi" w:cstheme="minorHAnsi"/>
        </w:rPr>
        <w:t xml:space="preserve"> </w:t>
      </w:r>
      <w:r w:rsidRPr="00D42F44">
        <w:rPr>
          <w:rFonts w:asciiTheme="minorHAnsi" w:hAnsiTheme="minorHAnsi" w:cstheme="minorHAnsi"/>
        </w:rPr>
        <w:t>polyethylen (PE), slik at det er lav-absorberende</w:t>
      </w:r>
    </w:p>
    <w:p w:rsidR="004456D7" w:rsidRPr="00467D98" w:rsidP="00652AB9" w14:paraId="65066E3D" w14:textId="77777777">
      <w:pPr>
        <w:rPr>
          <w:rFonts w:cstheme="minorHAnsi"/>
          <w:sz w:val="20"/>
        </w:rPr>
      </w:pPr>
    </w:p>
    <w:p w:rsidR="00652AB9" w:rsidRPr="00D42F44" w:rsidP="00D42F44" w14:paraId="65066E3E" w14:textId="77777777">
      <w:pPr>
        <w:pStyle w:val="Heading2"/>
        <w:rPr>
          <w:rFonts w:cstheme="minorHAnsi"/>
          <w:szCs w:val="24"/>
        </w:rPr>
      </w:pPr>
      <w:bookmarkStart w:id="4" w:name="_Toc256000003"/>
      <w:r w:rsidRPr="00D42F44">
        <w:rPr>
          <w:rFonts w:cstheme="minorHAnsi"/>
          <w:szCs w:val="24"/>
        </w:rPr>
        <w:t>Skiftefrekvens infusjonssett</w:t>
      </w:r>
      <w:bookmarkEnd w:id="4"/>
      <w:r w:rsidR="00B97D0E">
        <w:rPr>
          <w:rFonts w:cstheme="minorHAnsi"/>
          <w:szCs w:val="24"/>
        </w:rPr>
        <w:t>:</w:t>
      </w:r>
    </w:p>
    <w:p w:rsidR="00652AB9" w:rsidRPr="00D42F44" w:rsidP="00D42F44" w14:paraId="65066E3F" w14:textId="77777777">
      <w:pPr>
        <w:pStyle w:val="Default"/>
        <w:numPr>
          <w:ilvl w:val="0"/>
          <w:numId w:val="29"/>
        </w:numPr>
        <w:spacing w:after="17"/>
        <w:ind w:left="426" w:hanging="284"/>
        <w:rPr>
          <w:rFonts w:asciiTheme="minorHAnsi" w:hAnsiTheme="minorHAnsi" w:cstheme="minorHAnsi"/>
        </w:rPr>
      </w:pPr>
      <w:r w:rsidRPr="00D42F44">
        <w:rPr>
          <w:rFonts w:asciiTheme="minorHAnsi" w:hAnsiTheme="minorHAnsi" w:cstheme="minorHAnsi"/>
        </w:rPr>
        <w:t xml:space="preserve">Infusjonssett i kontinuerlig bruk som kun brukes til blanke væsker skiftes </w:t>
      </w:r>
      <w:r w:rsidRPr="00D42F44">
        <w:rPr>
          <w:rFonts w:asciiTheme="minorHAnsi" w:hAnsiTheme="minorHAnsi" w:cstheme="minorHAnsi"/>
          <w:b/>
        </w:rPr>
        <w:t>hvert 4. døgn</w:t>
      </w:r>
      <w:r>
        <w:rPr>
          <w:rStyle w:val="FootnoteReference"/>
          <w:rFonts w:asciiTheme="minorHAnsi" w:hAnsiTheme="minorHAnsi" w:cstheme="minorHAnsi"/>
          <w:b/>
        </w:rPr>
        <w:footnoteReference w:id="2"/>
      </w:r>
      <w:r w:rsidRPr="00D42F44">
        <w:rPr>
          <w:rFonts w:asciiTheme="minorHAnsi" w:hAnsiTheme="minorHAnsi" w:cstheme="minorHAnsi"/>
        </w:rPr>
        <w:t>. Gjeldende også ved blanke væsker med ikke-fettholdige tilsetninger. Eksempel på vandige tilsetninger: Bricanyl, Kalium, Dopamin</w:t>
      </w:r>
    </w:p>
    <w:p w:rsidR="00652AB9" w:rsidRPr="00D42F44" w:rsidP="00652AB9" w14:paraId="65066E40" w14:textId="77777777">
      <w:pPr>
        <w:pStyle w:val="Caution"/>
        <w:rPr>
          <w:rFonts w:asciiTheme="minorHAnsi" w:hAnsiTheme="minorHAnsi" w:cstheme="minorHAnsi"/>
          <w:i w:val="0"/>
          <w:sz w:val="24"/>
          <w:szCs w:val="24"/>
        </w:rPr>
      </w:pPr>
      <w:r w:rsidRPr="00D42F44">
        <w:rPr>
          <w:rFonts w:asciiTheme="minorHAnsi" w:hAnsiTheme="minorHAnsi" w:cstheme="minorHAnsi"/>
          <w:i w:val="0"/>
          <w:sz w:val="24"/>
          <w:szCs w:val="24"/>
        </w:rPr>
        <w:t xml:space="preserve">Unntak: Infusjonssett til epidural </w:t>
      </w:r>
      <w:r w:rsidRPr="00D42F44">
        <w:rPr>
          <w:rFonts w:asciiTheme="minorHAnsi" w:hAnsiTheme="minorHAnsi" w:cstheme="minorHAnsi"/>
          <w:i w:val="0"/>
          <w:sz w:val="24"/>
          <w:szCs w:val="24"/>
        </w:rPr>
        <w:t>infusjon av Standard EDA, se avsnitt under</w:t>
      </w:r>
    </w:p>
    <w:p w:rsidR="00D42F44" w:rsidRPr="00467D98" w:rsidP="00652AB9" w14:paraId="65066E41" w14:textId="77777777">
      <w:pPr>
        <w:rPr>
          <w:rFonts w:cstheme="minorHAnsi"/>
          <w:sz w:val="20"/>
        </w:rPr>
      </w:pPr>
    </w:p>
    <w:p w:rsidR="00652AB9" w:rsidRPr="00D42F44" w:rsidP="00D42F44" w14:paraId="65066E42" w14:textId="77777777">
      <w:pPr>
        <w:pStyle w:val="ListParagraph"/>
        <w:numPr>
          <w:ilvl w:val="0"/>
          <w:numId w:val="30"/>
        </w:numPr>
        <w:ind w:left="426" w:hanging="284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>S</w:t>
      </w:r>
      <w:r w:rsidRPr="00D42F44" w:rsidR="00E24A80">
        <w:rPr>
          <w:rFonts w:cstheme="minorHAnsi"/>
          <w:b/>
          <w:szCs w:val="24"/>
        </w:rPr>
        <w:t>ett til antibiotika:</w:t>
      </w:r>
      <w:r w:rsidRPr="00D42F44" w:rsidR="00E24A80">
        <w:rPr>
          <w:rFonts w:cstheme="minorHAnsi"/>
          <w:iCs/>
          <w:szCs w:val="24"/>
        </w:rPr>
        <w:t xml:space="preserve"> Kan håndteres på samme måte som for blanke væsker. Samme infusjonssett kan brukes til flere antibiotika. Forutsetter at de aktuelle legemidlene er kompatible med væsken (eks. ciprofloxacin skal gis i sett som det ikke er gitt legemidler i tidligere i pga fare for utfelling). </w:t>
      </w:r>
      <w:r w:rsidRPr="00D42F44" w:rsidR="00E24A80">
        <w:rPr>
          <w:rFonts w:cstheme="minorHAnsi"/>
          <w:szCs w:val="24"/>
        </w:rPr>
        <w:t>Når antibiotikavæsken er infundert, og kammeret på settet er tømt, må det umiddelbart henges opp en minibag med NaCl 9 mg/ml og infunderes</w:t>
      </w:r>
      <w:bookmarkStart w:id="5" w:name="_GoBack"/>
      <w:bookmarkEnd w:id="5"/>
      <w:r w:rsidRPr="00D42F44" w:rsidR="00E24A80">
        <w:rPr>
          <w:rFonts w:cstheme="minorHAnsi"/>
          <w:szCs w:val="24"/>
        </w:rPr>
        <w:t xml:space="preserve"> 20-25 ml – med samme infusjonstakt.</w:t>
      </w:r>
    </w:p>
    <w:p w:rsidR="00652AB9" w:rsidRPr="009A704D" w:rsidP="00D42F44" w14:paraId="65066E43" w14:textId="77777777">
      <w:pPr>
        <w:pStyle w:val="Caution"/>
        <w:ind w:left="284" w:firstLine="0"/>
        <w:rPr>
          <w:rFonts w:asciiTheme="minorHAnsi" w:hAnsiTheme="minorHAnsi" w:cstheme="minorHAnsi"/>
          <w:i w:val="0"/>
          <w:sz w:val="24"/>
          <w:szCs w:val="24"/>
        </w:rPr>
      </w:pPr>
      <w:r w:rsidRPr="009A704D">
        <w:rPr>
          <w:rFonts w:asciiTheme="minorHAnsi" w:hAnsiTheme="minorHAnsi" w:cstheme="minorHAnsi"/>
          <w:i w:val="0"/>
          <w:sz w:val="24"/>
          <w:szCs w:val="24"/>
        </w:rPr>
        <w:t>Unntak: For legemidler som ikke er forlikelige med NaCl. Det skylles da først med Glukose 50 mg/ml, deretter med NaCl 9 mg/ml (eks. ved amiodarone, amfotericin B).</w:t>
      </w:r>
    </w:p>
    <w:p w:rsidR="00652AB9" w:rsidRPr="00921961" w:rsidP="00652AB9" w14:paraId="65066E44" w14:textId="77777777">
      <w:pPr>
        <w:rPr>
          <w:rFonts w:cstheme="minorHAnsi"/>
          <w:b/>
          <w:sz w:val="20"/>
        </w:rPr>
      </w:pPr>
    </w:p>
    <w:p w:rsidR="00652AB9" w:rsidRPr="00D42F44" w:rsidP="00D42F44" w14:paraId="65066E45" w14:textId="77777777">
      <w:pPr>
        <w:pStyle w:val="ListParagraph"/>
        <w:numPr>
          <w:ilvl w:val="0"/>
          <w:numId w:val="31"/>
        </w:numPr>
        <w:ind w:left="426" w:hanging="284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>Sett til infusjon av:</w:t>
      </w:r>
      <w:r w:rsidRPr="00D42F44">
        <w:rPr>
          <w:rFonts w:cstheme="minorHAnsi"/>
          <w:szCs w:val="24"/>
        </w:rPr>
        <w:t xml:space="preserve"> </w:t>
      </w:r>
    </w:p>
    <w:p w:rsidR="00652AB9" w:rsidRPr="00D42F44" w:rsidP="00D42F44" w14:paraId="65066E46" w14:textId="77777777">
      <w:pPr>
        <w:pStyle w:val="ListParagraph"/>
        <w:numPr>
          <w:ilvl w:val="0"/>
          <w:numId w:val="32"/>
        </w:numPr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>Fettemulsjon/lipidholdige ernæringsløsninger skal skiftes innen</w:t>
      </w:r>
      <w:r w:rsidRPr="00D42F44">
        <w:rPr>
          <w:rFonts w:cstheme="minorHAnsi"/>
          <w:szCs w:val="24"/>
        </w:rPr>
        <w:t xml:space="preserve"> </w:t>
      </w:r>
      <w:r w:rsidRPr="00D42F44">
        <w:rPr>
          <w:rFonts w:cstheme="minorHAnsi"/>
          <w:b/>
          <w:szCs w:val="24"/>
        </w:rPr>
        <w:t>24 timer</w:t>
      </w:r>
      <w:r w:rsidRPr="00D42F44">
        <w:rPr>
          <w:rFonts w:cstheme="minorHAnsi"/>
          <w:szCs w:val="24"/>
        </w:rPr>
        <w:t xml:space="preserve"> </w:t>
      </w:r>
    </w:p>
    <w:p w:rsidR="00652AB9" w:rsidRPr="00D42F44" w:rsidP="00D42F44" w14:paraId="65066E47" w14:textId="77777777">
      <w:pPr>
        <w:pStyle w:val="ListParagraph"/>
        <w:numPr>
          <w:ilvl w:val="0"/>
          <w:numId w:val="32"/>
        </w:numPr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Propofol skal skiftes innen </w:t>
      </w:r>
      <w:r w:rsidRPr="00D42F44">
        <w:rPr>
          <w:rFonts w:cstheme="minorHAnsi"/>
          <w:b/>
          <w:szCs w:val="24"/>
        </w:rPr>
        <w:t>12 timer</w:t>
      </w:r>
      <w:r w:rsidRPr="00D42F44">
        <w:rPr>
          <w:rFonts w:cstheme="minorHAnsi"/>
          <w:szCs w:val="24"/>
        </w:rPr>
        <w:t xml:space="preserve"> </w:t>
      </w:r>
    </w:p>
    <w:p w:rsidR="00652AB9" w:rsidRPr="00D42F44" w:rsidP="00D42F44" w14:paraId="65066E48" w14:textId="77777777">
      <w:pPr>
        <w:pStyle w:val="ListParagraph"/>
        <w:numPr>
          <w:ilvl w:val="0"/>
          <w:numId w:val="32"/>
        </w:numPr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Albumin skal skiftes innen </w:t>
      </w:r>
      <w:r w:rsidRPr="00D42F44">
        <w:rPr>
          <w:rFonts w:cstheme="minorHAnsi"/>
          <w:b/>
          <w:szCs w:val="24"/>
        </w:rPr>
        <w:t>24 timer</w:t>
      </w:r>
    </w:p>
    <w:p w:rsidR="00652AB9" w:rsidRPr="00467D98" w:rsidP="00652AB9" w14:paraId="65066E49" w14:textId="77777777">
      <w:pPr>
        <w:autoSpaceDE w:val="0"/>
        <w:autoSpaceDN w:val="0"/>
        <w:adjustRightInd w:val="0"/>
        <w:rPr>
          <w:rFonts w:cstheme="minorHAnsi"/>
          <w:b/>
          <w:sz w:val="20"/>
        </w:rPr>
      </w:pPr>
    </w:p>
    <w:p w:rsidR="00152323" w:rsidP="00BB5F4B" w14:paraId="1B6B3F44" w14:textId="77777777">
      <w:pPr>
        <w:pStyle w:val="ListParagraph"/>
        <w:numPr>
          <w:ilvl w:val="0"/>
          <w:numId w:val="33"/>
        </w:numPr>
        <w:autoSpaceDE w:val="0"/>
        <w:autoSpaceDN w:val="0"/>
        <w:adjustRightInd w:val="0"/>
        <w:ind w:left="426" w:hanging="284"/>
        <w:rPr>
          <w:rFonts w:cstheme="minorHAnsi"/>
          <w:b/>
          <w:szCs w:val="24"/>
        </w:rPr>
      </w:pPr>
      <w:r w:rsidRPr="00467D98">
        <w:rPr>
          <w:rFonts w:cstheme="minorHAnsi"/>
          <w:b/>
          <w:szCs w:val="24"/>
        </w:rPr>
        <w:t>Intermitterende infusjoner, dvs</w:t>
      </w:r>
      <w:r>
        <w:rPr>
          <w:rFonts w:cstheme="minorHAnsi"/>
          <w:b/>
          <w:szCs w:val="24"/>
        </w:rPr>
        <w:t>. pause mellom infusjonsposene:</w:t>
      </w:r>
    </w:p>
    <w:p w:rsidR="00467D98" w:rsidRPr="00467D98" w:rsidP="00152323" w14:paraId="65066E4A" w14:textId="3DB9C945">
      <w:pPr>
        <w:pStyle w:val="ListParagraph"/>
        <w:autoSpaceDE w:val="0"/>
        <w:autoSpaceDN w:val="0"/>
        <w:adjustRightInd w:val="0"/>
        <w:ind w:left="426"/>
        <w:rPr>
          <w:rFonts w:cstheme="minorHAnsi"/>
          <w:b/>
          <w:szCs w:val="24"/>
        </w:rPr>
      </w:pPr>
      <w:r w:rsidRPr="00467D98">
        <w:rPr>
          <w:rFonts w:cstheme="minorHAnsi"/>
          <w:szCs w:val="24"/>
        </w:rPr>
        <w:t>I</w:t>
      </w:r>
      <w:r w:rsidRPr="00467D98" w:rsidR="00152323">
        <w:rPr>
          <w:rFonts w:cstheme="minorHAnsi"/>
          <w:szCs w:val="24"/>
        </w:rPr>
        <w:t>nfusjonssett brukt til intermitterende infusjoner</w:t>
      </w:r>
      <w:r w:rsidRPr="00467D98" w:rsidR="00152323">
        <w:rPr>
          <w:rFonts w:cstheme="minorHAnsi"/>
          <w:b/>
          <w:szCs w:val="24"/>
        </w:rPr>
        <w:t xml:space="preserve"> uten frakobling</w:t>
      </w:r>
      <w:r w:rsidRPr="00467D98" w:rsidR="00152323">
        <w:rPr>
          <w:rFonts w:cstheme="minorHAnsi"/>
          <w:szCs w:val="24"/>
        </w:rPr>
        <w:t xml:space="preserve"> fra den </w:t>
      </w:r>
      <w:r w:rsidRPr="00467D98">
        <w:rPr>
          <w:rFonts w:cstheme="minorHAnsi"/>
          <w:szCs w:val="24"/>
        </w:rPr>
        <w:t>intravenøs</w:t>
      </w:r>
      <w:r w:rsidR="00152323">
        <w:rPr>
          <w:rFonts w:cstheme="minorHAnsi"/>
          <w:szCs w:val="24"/>
        </w:rPr>
        <w:t xml:space="preserve">e inngangen skiftes innen den vanlige skiftefrekvensen, dvs. det er infusjonsvæsken som </w:t>
      </w:r>
    </w:p>
    <w:p w:rsidR="00652AB9" w:rsidRPr="00467D98" w:rsidP="00E24A80" w14:paraId="65066E4B" w14:textId="77777777">
      <w:pPr>
        <w:autoSpaceDE w:val="0"/>
        <w:autoSpaceDN w:val="0"/>
        <w:adjustRightInd w:val="0"/>
        <w:ind w:firstLine="426"/>
        <w:rPr>
          <w:rFonts w:cstheme="minorHAnsi"/>
          <w:b/>
          <w:szCs w:val="24"/>
        </w:rPr>
      </w:pPr>
      <w:r w:rsidRPr="00467D98">
        <w:rPr>
          <w:rFonts w:cstheme="minorHAnsi"/>
          <w:szCs w:val="24"/>
        </w:rPr>
        <w:t xml:space="preserve">avgjør settes brukstid (f.eks. fett). </w:t>
      </w:r>
    </w:p>
    <w:p w:rsidR="00652AB9" w:rsidRPr="00D42F44" w:rsidP="00B97D0E" w14:paraId="65066E4C" w14:textId="77777777">
      <w:pPr>
        <w:pStyle w:val="Default"/>
        <w:spacing w:after="17"/>
        <w:ind w:left="426"/>
        <w:rPr>
          <w:rFonts w:asciiTheme="minorHAnsi" w:hAnsiTheme="minorHAnsi" w:cstheme="minorHAnsi"/>
        </w:rPr>
      </w:pPr>
      <w:r w:rsidRPr="00D42F44">
        <w:rPr>
          <w:rFonts w:asciiTheme="minorHAnsi" w:hAnsiTheme="minorHAnsi" w:cstheme="minorHAnsi"/>
        </w:rPr>
        <w:t>Gjelder også sett med 150 ml doseringskammer.</w:t>
      </w:r>
    </w:p>
    <w:p w:rsidR="00652AB9" w:rsidRPr="00467D98" w:rsidP="00B97D0E" w14:paraId="65066E4D" w14:textId="77777777">
      <w:pPr>
        <w:autoSpaceDE w:val="0"/>
        <w:autoSpaceDN w:val="0"/>
        <w:adjustRightInd w:val="0"/>
        <w:ind w:hanging="578"/>
        <w:rPr>
          <w:rFonts w:cstheme="minorHAnsi"/>
          <w:b/>
          <w:sz w:val="20"/>
        </w:rPr>
      </w:pPr>
    </w:p>
    <w:p w:rsidR="00652AB9" w:rsidRPr="00B97D0E" w:rsidP="00B97D0E" w14:paraId="65066E4E" w14:textId="77777777">
      <w:pPr>
        <w:pStyle w:val="ListParagraph"/>
        <w:numPr>
          <w:ilvl w:val="0"/>
          <w:numId w:val="34"/>
        </w:numPr>
        <w:autoSpaceDE w:val="0"/>
        <w:autoSpaceDN w:val="0"/>
        <w:adjustRightInd w:val="0"/>
        <w:ind w:left="426" w:hanging="284"/>
        <w:rPr>
          <w:rFonts w:cstheme="minorHAnsi"/>
          <w:b/>
          <w:szCs w:val="24"/>
        </w:rPr>
      </w:pPr>
      <w:r w:rsidRPr="00B97D0E">
        <w:rPr>
          <w:rFonts w:cstheme="minorHAnsi"/>
          <w:b/>
          <w:szCs w:val="24"/>
        </w:rPr>
        <w:t>Frakobling av infusjonssett:</w:t>
      </w:r>
    </w:p>
    <w:p w:rsidR="00652AB9" w:rsidRPr="00B97D0E" w:rsidP="00B97D0E" w14:paraId="65066E4F" w14:textId="77777777">
      <w:pPr>
        <w:pStyle w:val="ListParagraph"/>
        <w:autoSpaceDE w:val="0"/>
        <w:autoSpaceDN w:val="0"/>
        <w:adjustRightInd w:val="0"/>
        <w:ind w:left="426"/>
        <w:rPr>
          <w:rFonts w:cstheme="minorHAnsi"/>
          <w:szCs w:val="24"/>
        </w:rPr>
      </w:pPr>
      <w:r w:rsidRPr="00B97D0E">
        <w:rPr>
          <w:rFonts w:cstheme="minorHAnsi"/>
          <w:szCs w:val="24"/>
        </w:rPr>
        <w:t>Ved midlertidig frakobling fra</w:t>
      </w:r>
      <w:r w:rsidRPr="00B97D0E">
        <w:rPr>
          <w:rFonts w:cstheme="minorHAnsi"/>
          <w:b/>
          <w:szCs w:val="24"/>
        </w:rPr>
        <w:t xml:space="preserve"> </w:t>
      </w:r>
      <w:r w:rsidRPr="00B97D0E">
        <w:rPr>
          <w:rFonts w:cstheme="minorHAnsi"/>
          <w:szCs w:val="24"/>
        </w:rPr>
        <w:t xml:space="preserve">den </w:t>
      </w:r>
      <w:r w:rsidRPr="00B97D0E">
        <w:rPr>
          <w:rFonts w:cstheme="minorHAnsi"/>
          <w:szCs w:val="24"/>
        </w:rPr>
        <w:t>intravenøse inngangen p</w:t>
      </w:r>
      <w:r w:rsidR="00B97D0E">
        <w:rPr>
          <w:rFonts w:cstheme="minorHAnsi"/>
          <w:szCs w:val="24"/>
        </w:rPr>
        <w:t xml:space="preserve">ga. transport til røntgen e.l., </w:t>
      </w:r>
      <w:r w:rsidRPr="00B97D0E">
        <w:rPr>
          <w:rFonts w:cstheme="minorHAnsi"/>
          <w:szCs w:val="24"/>
        </w:rPr>
        <w:t xml:space="preserve">kan settet kobles til igjen og benyttes videre - ref. vanlig skiftefrekvens </w:t>
      </w:r>
    </w:p>
    <w:p w:rsidR="00652AB9" w:rsidRPr="00B97D0E" w:rsidP="00652AB9" w14:paraId="65066E50" w14:textId="77777777">
      <w:pPr>
        <w:autoSpaceDE w:val="0"/>
        <w:autoSpaceDN w:val="0"/>
        <w:adjustRightInd w:val="0"/>
        <w:rPr>
          <w:rFonts w:cstheme="minorHAnsi"/>
          <w:sz w:val="8"/>
          <w:szCs w:val="8"/>
        </w:rPr>
      </w:pPr>
    </w:p>
    <w:p w:rsidR="00652AB9" w:rsidRPr="009A704D" w:rsidP="00652AB9" w14:paraId="65066E51" w14:textId="77777777">
      <w:pPr>
        <w:pStyle w:val="Caution"/>
        <w:ind w:left="0" w:right="0" w:firstLine="0"/>
        <w:rPr>
          <w:rFonts w:asciiTheme="minorHAnsi" w:hAnsiTheme="minorHAnsi" w:cstheme="minorHAnsi"/>
          <w:i w:val="0"/>
          <w:sz w:val="24"/>
          <w:szCs w:val="24"/>
        </w:rPr>
      </w:pPr>
      <w:r w:rsidRPr="009A704D">
        <w:rPr>
          <w:rFonts w:asciiTheme="minorHAnsi" w:hAnsiTheme="minorHAnsi" w:cstheme="minorHAnsi"/>
          <w:i w:val="0"/>
          <w:sz w:val="24"/>
          <w:szCs w:val="24"/>
        </w:rPr>
        <w:t>Merknad: Gjelder kun ved korrekt utført desinfeksjonsrutine med Klorhexidinsprit 5 mg/ml, både ved fra- og tilkoblingen, sa</w:t>
      </w:r>
      <w:r w:rsidRPr="009A704D">
        <w:rPr>
          <w:rFonts w:asciiTheme="minorHAnsi" w:hAnsiTheme="minorHAnsi" w:cstheme="minorHAnsi"/>
          <w:i w:val="0"/>
          <w:sz w:val="24"/>
          <w:szCs w:val="24"/>
        </w:rPr>
        <w:t>mt bruk av steril propp på både infusjonssettet og i.v. inngangen</w:t>
      </w:r>
    </w:p>
    <w:p w:rsidR="00652AB9" w:rsidRPr="00467D98" w:rsidP="00652AB9" w14:paraId="65066E52" w14:textId="77777777">
      <w:pPr>
        <w:autoSpaceDE w:val="0"/>
        <w:autoSpaceDN w:val="0"/>
        <w:adjustRightInd w:val="0"/>
        <w:rPr>
          <w:rFonts w:cstheme="minorHAnsi"/>
          <w:b/>
          <w:sz w:val="20"/>
        </w:rPr>
      </w:pPr>
    </w:p>
    <w:p w:rsidR="00652AB9" w:rsidRPr="00D42F44" w:rsidP="00ED20FD" w14:paraId="65066E53" w14:textId="77777777">
      <w:pPr>
        <w:pStyle w:val="Heading2"/>
        <w:rPr>
          <w:rFonts w:cstheme="minorHAnsi"/>
          <w:szCs w:val="24"/>
        </w:rPr>
      </w:pPr>
      <w:bookmarkStart w:id="6" w:name="_Toc256000004"/>
      <w:r>
        <w:rPr>
          <w:rFonts w:cstheme="minorHAnsi"/>
          <w:szCs w:val="24"/>
        </w:rPr>
        <w:t>S</w:t>
      </w:r>
      <w:r w:rsidR="00E24E6E">
        <w:rPr>
          <w:rFonts w:cstheme="minorHAnsi"/>
          <w:szCs w:val="24"/>
        </w:rPr>
        <w:t>kiftefrek</w:t>
      </w:r>
      <w:r>
        <w:rPr>
          <w:rFonts w:cstheme="minorHAnsi"/>
          <w:szCs w:val="24"/>
        </w:rPr>
        <w:t xml:space="preserve">vens </w:t>
      </w:r>
      <w:r w:rsidR="00E24E6E">
        <w:rPr>
          <w:rFonts w:cstheme="minorHAnsi"/>
          <w:szCs w:val="24"/>
        </w:rPr>
        <w:t>3-</w:t>
      </w:r>
      <w:r w:rsidRPr="00D42F44" w:rsidR="00E24A80">
        <w:rPr>
          <w:rFonts w:cstheme="minorHAnsi"/>
          <w:szCs w:val="24"/>
        </w:rPr>
        <w:t>veiskraner m/ 10 cm forlengelse:</w:t>
      </w:r>
      <w:bookmarkEnd w:id="6"/>
    </w:p>
    <w:p w:rsidR="00652AB9" w:rsidRPr="00D42F44" w:rsidP="00652AB9" w14:paraId="65066E54" w14:textId="77777777">
      <w:pPr>
        <w:pStyle w:val="ListParagraph"/>
        <w:numPr>
          <w:ilvl w:val="0"/>
          <w:numId w:val="22"/>
        </w:numPr>
        <w:ind w:left="426" w:hanging="284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>Skiftefrekvens ved bruk til SVK:</w:t>
      </w:r>
      <w:r w:rsidRPr="00D42F44">
        <w:rPr>
          <w:rFonts w:cstheme="minorHAnsi"/>
          <w:szCs w:val="24"/>
        </w:rPr>
        <w:t xml:space="preserve"> (sentralvenøst kateter)</w:t>
      </w:r>
    </w:p>
    <w:p w:rsidR="00652AB9" w:rsidRPr="00D42F44" w:rsidP="00E24E6E" w14:paraId="65066E55" w14:textId="77777777">
      <w:pPr>
        <w:pStyle w:val="ListParagraph"/>
        <w:numPr>
          <w:ilvl w:val="1"/>
          <w:numId w:val="22"/>
        </w:numPr>
        <w:ind w:left="1134" w:hanging="425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>Enten</w:t>
      </w:r>
      <w:r w:rsidRPr="00D42F44">
        <w:rPr>
          <w:rFonts w:cstheme="minorHAnsi"/>
          <w:szCs w:val="24"/>
        </w:rPr>
        <w:t xml:space="preserve"> hver 4. dag, samtidig med skifte av infusjonssett</w:t>
      </w:r>
    </w:p>
    <w:p w:rsidR="00652AB9" w:rsidRPr="00D42F44" w:rsidP="00E24E6E" w14:paraId="65066E56" w14:textId="77777777">
      <w:pPr>
        <w:pStyle w:val="ListParagraph"/>
        <w:numPr>
          <w:ilvl w:val="1"/>
          <w:numId w:val="22"/>
        </w:numPr>
        <w:ind w:left="1134" w:hanging="425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 xml:space="preserve">Eller </w:t>
      </w:r>
      <w:r w:rsidRPr="00D42F44">
        <w:rPr>
          <w:rFonts w:cstheme="minorHAnsi"/>
          <w:szCs w:val="24"/>
        </w:rPr>
        <w:t>senest hver 7.</w:t>
      </w:r>
      <w:r w:rsidR="00E24E6E">
        <w:rPr>
          <w:rFonts w:cstheme="minorHAnsi"/>
          <w:szCs w:val="24"/>
        </w:rPr>
        <w:t xml:space="preserve"> </w:t>
      </w:r>
      <w:r w:rsidRPr="00D42F44">
        <w:rPr>
          <w:rFonts w:cstheme="minorHAnsi"/>
          <w:szCs w:val="24"/>
        </w:rPr>
        <w:t xml:space="preserve">dag, </w:t>
      </w:r>
      <w:r w:rsidRPr="00D42F44">
        <w:rPr>
          <w:rFonts w:cstheme="minorHAnsi"/>
          <w:szCs w:val="24"/>
        </w:rPr>
        <w:t>samtidig med skifte av transparent bandasje på innstikkssted</w:t>
      </w:r>
    </w:p>
    <w:p w:rsidR="00652AB9" w:rsidRPr="00D42F44" w:rsidP="00652AB9" w14:paraId="65066E57" w14:textId="77777777">
      <w:pPr>
        <w:pStyle w:val="ListParagraph"/>
        <w:numPr>
          <w:ilvl w:val="0"/>
          <w:numId w:val="23"/>
        </w:numPr>
        <w:ind w:left="426" w:hanging="284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>Skiftefrekvens ved bruk til PVK:</w:t>
      </w:r>
      <w:r w:rsidRPr="00D42F44">
        <w:rPr>
          <w:rFonts w:cstheme="minorHAnsi"/>
          <w:szCs w:val="24"/>
        </w:rPr>
        <w:t xml:space="preserve"> (perifer venekanyle)</w:t>
      </w:r>
    </w:p>
    <w:p w:rsidR="00652AB9" w:rsidRPr="00D42F44" w:rsidP="00E24E6E" w14:paraId="65066E58" w14:textId="77777777">
      <w:pPr>
        <w:pStyle w:val="ListParagraph"/>
        <w:numPr>
          <w:ilvl w:val="1"/>
          <w:numId w:val="23"/>
        </w:numPr>
        <w:ind w:left="1134" w:hanging="425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 xml:space="preserve">Enten </w:t>
      </w:r>
      <w:r w:rsidRPr="00D42F44">
        <w:rPr>
          <w:rFonts w:cstheme="minorHAnsi"/>
          <w:szCs w:val="24"/>
        </w:rPr>
        <w:t>hver 4.</w:t>
      </w:r>
      <w:r w:rsidR="00E24E6E">
        <w:rPr>
          <w:rFonts w:cstheme="minorHAnsi"/>
          <w:szCs w:val="24"/>
        </w:rPr>
        <w:t xml:space="preserve"> </w:t>
      </w:r>
      <w:r w:rsidRPr="00D42F44">
        <w:rPr>
          <w:rFonts w:cstheme="minorHAnsi"/>
          <w:szCs w:val="24"/>
        </w:rPr>
        <w:t>dag, samtidig med skifte av infusjonssett</w:t>
      </w:r>
    </w:p>
    <w:p w:rsidR="00652AB9" w:rsidRPr="00D42F44" w:rsidP="00E24E6E" w14:paraId="65066E59" w14:textId="77777777">
      <w:pPr>
        <w:pStyle w:val="ListParagraph"/>
        <w:numPr>
          <w:ilvl w:val="1"/>
          <w:numId w:val="23"/>
        </w:numPr>
        <w:ind w:left="1134" w:hanging="425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>Eller</w:t>
      </w:r>
      <w:r w:rsidRPr="00D42F44">
        <w:rPr>
          <w:rFonts w:cstheme="minorHAnsi"/>
          <w:szCs w:val="24"/>
        </w:rPr>
        <w:t xml:space="preserve"> senest hver 7.</w:t>
      </w:r>
      <w:r w:rsidR="00E24E6E">
        <w:rPr>
          <w:rFonts w:cstheme="minorHAnsi"/>
          <w:szCs w:val="24"/>
        </w:rPr>
        <w:t xml:space="preserve"> </w:t>
      </w:r>
      <w:r w:rsidRPr="00D42F44">
        <w:rPr>
          <w:rFonts w:cstheme="minorHAnsi"/>
          <w:szCs w:val="24"/>
        </w:rPr>
        <w:t>dag</w:t>
      </w:r>
    </w:p>
    <w:p w:rsidR="00652AB9" w:rsidRPr="00D42F44" w:rsidP="00652AB9" w14:paraId="65066E5A" w14:textId="77777777">
      <w:pPr>
        <w:pStyle w:val="ListParagraph"/>
        <w:rPr>
          <w:rFonts w:cstheme="minorHAnsi"/>
          <w:szCs w:val="24"/>
        </w:rPr>
      </w:pPr>
    </w:p>
    <w:p w:rsidR="00652AB9" w:rsidRPr="00D42F44" w:rsidP="00ED20FD" w14:paraId="65066E5B" w14:textId="77777777">
      <w:pPr>
        <w:pStyle w:val="Heading2"/>
        <w:rPr>
          <w:rFonts w:cstheme="minorHAnsi"/>
          <w:szCs w:val="24"/>
        </w:rPr>
      </w:pPr>
      <w:bookmarkStart w:id="7" w:name="_Toc256000005"/>
      <w:r>
        <w:rPr>
          <w:rFonts w:cstheme="minorHAnsi"/>
          <w:szCs w:val="24"/>
        </w:rPr>
        <w:t>Skiftefrekvens</w:t>
      </w:r>
      <w:r w:rsidRPr="00D42F44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i</w:t>
      </w:r>
      <w:r w:rsidRPr="00D42F44" w:rsidR="00E24A80">
        <w:rPr>
          <w:rFonts w:cstheme="minorHAnsi"/>
          <w:szCs w:val="24"/>
        </w:rPr>
        <w:t>nfusjonssett til epidural infusjon av «Standard EDA»:</w:t>
      </w:r>
      <w:bookmarkEnd w:id="7"/>
    </w:p>
    <w:p w:rsidR="00652AB9" w:rsidRPr="00D42F44" w:rsidP="00652AB9" w14:paraId="65066E5C" w14:textId="77777777">
      <w:pPr>
        <w:autoSpaceDE w:val="0"/>
        <w:autoSpaceDN w:val="0"/>
        <w:adjustRightInd w:val="0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«Standard EDA», «Ropivacain 2 mg/ml» eller andre poser/kassetter til epidural infusjon kan brukes i inntil 3 døgn under følgende forutsetninger: </w:t>
      </w:r>
    </w:p>
    <w:p w:rsidR="00652AB9" w:rsidP="00652AB9" w14:paraId="65066E5D" w14:textId="77777777">
      <w:pPr>
        <w:pStyle w:val="ListParagraph"/>
        <w:numPr>
          <w:ilvl w:val="0"/>
          <w:numId w:val="23"/>
        </w:numPr>
        <w:autoSpaceDE w:val="0"/>
        <w:autoSpaceDN w:val="0"/>
        <w:adjustRightInd w:val="0"/>
        <w:ind w:left="426" w:hanging="284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>Preparatet skal være fremstilt av industri eller i apotek og være holdbart i 3 døgn</w:t>
      </w:r>
    </w:p>
    <w:p w:rsidR="004456D7" w:rsidRPr="004456D7" w:rsidP="004456D7" w14:paraId="65066E5E" w14:textId="77777777">
      <w:pPr>
        <w:pStyle w:val="ListParagraph"/>
        <w:autoSpaceDE w:val="0"/>
        <w:autoSpaceDN w:val="0"/>
        <w:adjustRightInd w:val="0"/>
        <w:ind w:left="426"/>
        <w:rPr>
          <w:rFonts w:cstheme="minorHAnsi"/>
          <w:sz w:val="8"/>
          <w:szCs w:val="8"/>
        </w:rPr>
      </w:pPr>
    </w:p>
    <w:p w:rsidR="00652AB9" w:rsidRPr="009A704D" w:rsidP="00652AB9" w14:paraId="65066E5F" w14:textId="77777777">
      <w:pPr>
        <w:pStyle w:val="Caution"/>
        <w:ind w:left="0" w:right="141" w:firstLine="0"/>
        <w:rPr>
          <w:rFonts w:asciiTheme="minorHAnsi" w:hAnsiTheme="minorHAnsi" w:cstheme="minorHAnsi"/>
          <w:b/>
          <w:i w:val="0"/>
          <w:sz w:val="24"/>
          <w:szCs w:val="24"/>
        </w:rPr>
      </w:pPr>
      <w:r w:rsidRPr="009A704D">
        <w:rPr>
          <w:rFonts w:asciiTheme="minorHAnsi" w:hAnsiTheme="minorHAnsi" w:cstheme="minorHAnsi"/>
          <w:i w:val="0"/>
          <w:sz w:val="24"/>
          <w:szCs w:val="24"/>
        </w:rPr>
        <w:t xml:space="preserve">Merknad: </w:t>
      </w:r>
      <w:r w:rsidRPr="009A704D">
        <w:rPr>
          <w:rFonts w:asciiTheme="minorHAnsi" w:hAnsiTheme="minorHAnsi" w:cstheme="minorHAnsi"/>
          <w:i w:val="0"/>
          <w:sz w:val="24"/>
          <w:szCs w:val="24"/>
        </w:rPr>
        <w:t xml:space="preserve">Etter tilkopling av infusjonssett og filter, skal det lukkete systemet ikke åpnes. Dersom det likevel må åpnes, synker maksimal brukstid til 24 timer, tilsvarende </w:t>
      </w:r>
      <w:hyperlink r:id="rId6" w:tooltip="XDF34826 - dok34826.docx" w:history="1">
        <w:r w:rsidRPr="009A704D">
          <w:rPr>
            <w:rStyle w:val="Hyperlink"/>
            <w:rFonts w:cstheme="minorHAnsi"/>
            <w:i w:val="0"/>
            <w:szCs w:val="24"/>
          </w:rPr>
          <w:fldChar w:fldCharType="begin" w:fldLock="1"/>
        </w:r>
        <w:r w:rsidRPr="009A704D">
          <w:rPr>
            <w:rStyle w:val="Hyperlink"/>
            <w:rFonts w:cstheme="minorHAnsi"/>
            <w:i w:val="0"/>
            <w:szCs w:val="24"/>
          </w:rPr>
          <w:instrText xml:space="preserve"> DOCPROPERTY XDT34826 \*charformat \* MERGEFORMAT </w:instrText>
        </w:r>
        <w:r w:rsidRPr="009A704D">
          <w:rPr>
            <w:rStyle w:val="Hyperlink"/>
            <w:rFonts w:cstheme="minorHAnsi"/>
            <w:i w:val="0"/>
            <w:szCs w:val="24"/>
          </w:rPr>
          <w:fldChar w:fldCharType="separate"/>
        </w:r>
        <w:r w:rsidRPr="009A704D">
          <w:rPr>
            <w:rStyle w:val="Hyperlink"/>
            <w:rFonts w:cstheme="minorHAnsi"/>
            <w:i w:val="0"/>
            <w:szCs w:val="24"/>
          </w:rPr>
          <w:t>Sterile legemidler - veiledende brukstid og oppbevaring etter anbrudd</w:t>
        </w:r>
        <w:r w:rsidRPr="009A704D">
          <w:rPr>
            <w:rStyle w:val="Hyperlink"/>
            <w:rFonts w:cstheme="minorHAnsi"/>
            <w:i w:val="0"/>
            <w:szCs w:val="24"/>
          </w:rPr>
          <w:fldChar w:fldCharType="end"/>
        </w:r>
      </w:hyperlink>
    </w:p>
    <w:p w:rsidR="004456D7" w:rsidRPr="004456D7" w:rsidP="00652AB9" w14:paraId="65066E60" w14:textId="77777777">
      <w:pPr>
        <w:autoSpaceDE w:val="0"/>
        <w:autoSpaceDN w:val="0"/>
        <w:adjustRightInd w:val="0"/>
        <w:rPr>
          <w:rFonts w:cstheme="minorHAnsi"/>
          <w:sz w:val="8"/>
          <w:szCs w:val="8"/>
        </w:rPr>
      </w:pPr>
    </w:p>
    <w:p w:rsidR="00652AB9" w:rsidRPr="00D42F44" w:rsidP="00652AB9" w14:paraId="65066E61" w14:textId="77777777">
      <w:pPr>
        <w:autoSpaceDE w:val="0"/>
        <w:autoSpaceDN w:val="0"/>
        <w:adjustRightInd w:val="0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Dvs. at infusjonssettet her skiftes samtidig med posen etter 3 døgn. </w:t>
      </w:r>
    </w:p>
    <w:p w:rsidR="00652AB9" w:rsidRPr="00D42F44" w:rsidP="00652AB9" w14:paraId="65066E62" w14:textId="77777777">
      <w:pPr>
        <w:autoSpaceDE w:val="0"/>
        <w:autoSpaceDN w:val="0"/>
        <w:adjustRightInd w:val="0"/>
        <w:rPr>
          <w:rFonts w:cstheme="minorHAnsi"/>
          <w:b/>
          <w:szCs w:val="24"/>
        </w:rPr>
      </w:pPr>
      <w:r w:rsidRPr="00D42F44">
        <w:rPr>
          <w:rFonts w:cstheme="minorHAnsi"/>
          <w:b/>
          <w:szCs w:val="24"/>
        </w:rPr>
        <w:t xml:space="preserve">Må posen skiftes før 3 døgn, skiftes også </w:t>
      </w:r>
      <w:r w:rsidRPr="00D42F44">
        <w:rPr>
          <w:rFonts w:cstheme="minorHAnsi"/>
          <w:b/>
          <w:szCs w:val="24"/>
        </w:rPr>
        <w:t>infusjonssettet.</w:t>
      </w:r>
    </w:p>
    <w:p w:rsidR="00652AB9" w:rsidRPr="00467D98" w:rsidP="00652AB9" w14:paraId="65066E63" w14:textId="77777777">
      <w:pPr>
        <w:autoSpaceDE w:val="0"/>
        <w:autoSpaceDN w:val="0"/>
        <w:adjustRightInd w:val="0"/>
        <w:rPr>
          <w:rFonts w:cstheme="minorHAnsi"/>
          <w:b/>
          <w:sz w:val="20"/>
        </w:rPr>
      </w:pPr>
    </w:p>
    <w:p w:rsidR="00652AB9" w:rsidRPr="00D42F44" w:rsidP="00ED20FD" w14:paraId="65066E64" w14:textId="77777777">
      <w:pPr>
        <w:pStyle w:val="Heading2"/>
        <w:rPr>
          <w:rFonts w:cstheme="minorHAnsi"/>
          <w:szCs w:val="24"/>
        </w:rPr>
      </w:pPr>
      <w:bookmarkStart w:id="8" w:name="_Toc256000006"/>
      <w:r>
        <w:rPr>
          <w:rFonts w:cstheme="minorHAnsi"/>
          <w:szCs w:val="24"/>
        </w:rPr>
        <w:t>T</w:t>
      </w:r>
      <w:r w:rsidRPr="00D42F44" w:rsidR="00E24A80">
        <w:rPr>
          <w:rFonts w:cstheme="minorHAnsi"/>
          <w:szCs w:val="24"/>
        </w:rPr>
        <w:t>ransfusjonssett:</w:t>
      </w:r>
      <w:bookmarkEnd w:id="8"/>
      <w:r w:rsidRPr="00D42F44" w:rsidR="00E24A80">
        <w:rPr>
          <w:rFonts w:cstheme="minorHAnsi"/>
          <w:szCs w:val="24"/>
        </w:rPr>
        <w:t xml:space="preserve"> </w:t>
      </w:r>
    </w:p>
    <w:p w:rsidR="00652AB9" w:rsidRPr="00D42F44" w:rsidP="00652AB9" w14:paraId="65066E65" w14:textId="77777777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cstheme="minorHAnsi"/>
          <w:color w:val="000000"/>
          <w:szCs w:val="24"/>
        </w:rPr>
      </w:pPr>
      <w:r w:rsidRPr="00D42F44">
        <w:rPr>
          <w:rFonts w:cstheme="minorHAnsi"/>
          <w:color w:val="000000"/>
          <w:szCs w:val="24"/>
        </w:rPr>
        <w:t xml:space="preserve">Erytrocyttkonsentrat, trombocyttkonsentrat og plasma (Octaplasma®/ Lyoplas) </w:t>
      </w:r>
      <w:r w:rsidR="009A704D">
        <w:rPr>
          <w:rFonts w:cstheme="minorHAnsi"/>
          <w:color w:val="000000"/>
          <w:szCs w:val="24"/>
        </w:rPr>
        <w:t xml:space="preserve">skal </w:t>
      </w:r>
      <w:r w:rsidRPr="00D42F44">
        <w:rPr>
          <w:rFonts w:cstheme="minorHAnsi"/>
          <w:color w:val="000000"/>
          <w:szCs w:val="24"/>
        </w:rPr>
        <w:t>transfunderes gjennom transfusjonssett med standard blodfilter. Veiledende porestørrelse er 150-250 μm.</w:t>
      </w:r>
    </w:p>
    <w:p w:rsidR="00652AB9" w:rsidRPr="00D42F44" w:rsidP="00652AB9" w14:paraId="65066E66" w14:textId="77777777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cstheme="minorHAnsi"/>
          <w:color w:val="000000"/>
          <w:szCs w:val="24"/>
        </w:rPr>
      </w:pPr>
      <w:r w:rsidRPr="00D42F44">
        <w:rPr>
          <w:rFonts w:cstheme="minorHAnsi"/>
          <w:color w:val="000000"/>
          <w:szCs w:val="24"/>
        </w:rPr>
        <w:t>Sørg for at filterkammeret er helt</w:t>
      </w:r>
      <w:r w:rsidRPr="00D42F44">
        <w:rPr>
          <w:rFonts w:cstheme="minorHAnsi"/>
          <w:color w:val="000000"/>
          <w:szCs w:val="24"/>
        </w:rPr>
        <w:t xml:space="preserve"> fylt og dråpekammeret 1/3 fylt.</w:t>
      </w:r>
    </w:p>
    <w:p w:rsidR="00652AB9" w:rsidRPr="00D42F44" w:rsidP="00652AB9" w14:paraId="65066E67" w14:textId="77777777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cstheme="minorHAnsi"/>
          <w:color w:val="000000"/>
          <w:szCs w:val="24"/>
        </w:rPr>
      </w:pPr>
      <w:r w:rsidRPr="00D42F44">
        <w:rPr>
          <w:rFonts w:cstheme="minorHAnsi"/>
          <w:color w:val="000000"/>
          <w:szCs w:val="24"/>
        </w:rPr>
        <w:t>Til ery</w:t>
      </w:r>
      <w:r w:rsidR="009A704D">
        <w:rPr>
          <w:rFonts w:cstheme="minorHAnsi"/>
          <w:color w:val="000000"/>
          <w:szCs w:val="24"/>
        </w:rPr>
        <w:t>trocyttkonsentrat og plasma</w:t>
      </w:r>
      <w:r w:rsidRPr="00D42F44">
        <w:rPr>
          <w:rFonts w:cstheme="minorHAnsi"/>
          <w:color w:val="000000"/>
          <w:szCs w:val="24"/>
        </w:rPr>
        <w:t xml:space="preserve"> kan det brukes transfusjonssett som er brukt til andre blodkomponenter, men brukstiden må ikke overstige 6 timer. </w:t>
      </w:r>
    </w:p>
    <w:p w:rsidR="00652AB9" w:rsidRPr="00D42F44" w:rsidP="00652AB9" w14:paraId="65066E68" w14:textId="77777777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cstheme="minorHAnsi"/>
          <w:color w:val="000000"/>
          <w:szCs w:val="24"/>
        </w:rPr>
      </w:pPr>
      <w:r w:rsidRPr="00D42F44">
        <w:rPr>
          <w:rFonts w:cstheme="minorHAnsi"/>
          <w:color w:val="000000"/>
          <w:szCs w:val="24"/>
        </w:rPr>
        <w:t>Til trombocyttkonsentrat og fullblod skal det brukes nytt sett, men flere</w:t>
      </w:r>
      <w:r w:rsidRPr="00D42F44">
        <w:rPr>
          <w:rFonts w:cstheme="minorHAnsi"/>
          <w:color w:val="000000"/>
          <w:szCs w:val="24"/>
        </w:rPr>
        <w:t xml:space="preserve"> produkter av samme type kan gis med samme transfusjonssett.</w:t>
      </w:r>
    </w:p>
    <w:p w:rsidR="00652AB9" w:rsidRPr="00D42F44" w:rsidP="00652AB9" w14:paraId="65066E69" w14:textId="77777777">
      <w:pPr>
        <w:pStyle w:val="ListParagraph"/>
        <w:numPr>
          <w:ilvl w:val="0"/>
          <w:numId w:val="24"/>
        </w:numPr>
        <w:autoSpaceDE w:val="0"/>
        <w:autoSpaceDN w:val="0"/>
        <w:adjustRightInd w:val="0"/>
        <w:rPr>
          <w:rFonts w:cstheme="minorHAnsi"/>
          <w:b/>
          <w:szCs w:val="24"/>
        </w:rPr>
      </w:pPr>
      <w:r w:rsidRPr="00D42F44">
        <w:rPr>
          <w:rFonts w:cstheme="minorHAnsi"/>
          <w:color w:val="000000"/>
          <w:szCs w:val="24"/>
        </w:rPr>
        <w:t>Til plasmaderiverte legemiddel kan det brukes standard infusjonssett.</w:t>
      </w:r>
    </w:p>
    <w:p w:rsidR="00652AB9" w:rsidRPr="009A704D" w:rsidP="00652AB9" w14:paraId="65066E6A" w14:textId="77777777">
      <w:pPr>
        <w:pStyle w:val="Caution"/>
        <w:rPr>
          <w:rFonts w:asciiTheme="minorHAnsi" w:hAnsiTheme="minorHAnsi" w:cstheme="minorHAnsi"/>
          <w:i w:val="0"/>
          <w:sz w:val="24"/>
          <w:szCs w:val="24"/>
        </w:rPr>
      </w:pPr>
      <w:r w:rsidRPr="009A704D">
        <w:rPr>
          <w:rFonts w:asciiTheme="minorHAnsi" w:hAnsiTheme="minorHAnsi" w:cstheme="minorHAnsi"/>
          <w:b/>
          <w:i w:val="0"/>
          <w:sz w:val="24"/>
          <w:szCs w:val="24"/>
        </w:rPr>
        <w:t>Skiftefrekvens</w:t>
      </w:r>
      <w:r w:rsidRPr="009A704D">
        <w:rPr>
          <w:rFonts w:asciiTheme="minorHAnsi" w:hAnsiTheme="minorHAnsi" w:cstheme="minorHAnsi"/>
          <w:i w:val="0"/>
          <w:sz w:val="24"/>
          <w:szCs w:val="24"/>
        </w:rPr>
        <w:t>: Transf</w:t>
      </w:r>
      <w:r w:rsidRPr="009A704D" w:rsidR="00CB357A">
        <w:rPr>
          <w:rFonts w:asciiTheme="minorHAnsi" w:hAnsiTheme="minorHAnsi" w:cstheme="minorHAnsi"/>
          <w:i w:val="0"/>
          <w:sz w:val="24"/>
          <w:szCs w:val="24"/>
        </w:rPr>
        <w:t>usjonssett brukt til blod/</w:t>
      </w:r>
      <w:r w:rsidRPr="009A704D">
        <w:rPr>
          <w:rFonts w:asciiTheme="minorHAnsi" w:hAnsiTheme="minorHAnsi" w:cstheme="minorHAnsi"/>
          <w:i w:val="0"/>
          <w:sz w:val="24"/>
          <w:szCs w:val="24"/>
        </w:rPr>
        <w:t xml:space="preserve">blodprodukter skal skiftes innen 6 </w:t>
      </w:r>
      <w:r w:rsidRPr="009A704D" w:rsidR="00CB357A">
        <w:rPr>
          <w:rFonts w:asciiTheme="minorHAnsi" w:hAnsiTheme="minorHAnsi" w:cstheme="minorHAnsi"/>
          <w:i w:val="0"/>
          <w:sz w:val="24"/>
          <w:szCs w:val="24"/>
        </w:rPr>
        <w:t xml:space="preserve">t. </w:t>
      </w:r>
    </w:p>
    <w:p w:rsidR="00652AB9" w:rsidRPr="00467D98" w:rsidP="00652AB9" w14:paraId="65066E6B" w14:textId="77777777">
      <w:pPr>
        <w:pStyle w:val="ListParagraph"/>
        <w:autoSpaceDE w:val="0"/>
        <w:autoSpaceDN w:val="0"/>
        <w:adjustRightInd w:val="0"/>
        <w:rPr>
          <w:rFonts w:cstheme="minorHAnsi"/>
          <w:color w:val="000000"/>
          <w:sz w:val="20"/>
        </w:rPr>
      </w:pPr>
    </w:p>
    <w:p w:rsidR="00652AB9" w:rsidRPr="00D42F44" w:rsidP="00ED20FD" w14:paraId="65066E6C" w14:textId="77777777">
      <w:pPr>
        <w:pStyle w:val="Heading2"/>
        <w:rPr>
          <w:rFonts w:cstheme="minorHAnsi"/>
          <w:szCs w:val="24"/>
        </w:rPr>
      </w:pPr>
      <w:bookmarkStart w:id="9" w:name="_Toc256000007"/>
      <w:r w:rsidRPr="00D42F44">
        <w:rPr>
          <w:rFonts w:cstheme="minorHAnsi"/>
          <w:szCs w:val="24"/>
        </w:rPr>
        <w:t xml:space="preserve">Transducersett (trykkmålingssett) </w:t>
      </w:r>
      <w:r w:rsidRPr="00D42F44">
        <w:rPr>
          <w:rFonts w:cstheme="minorHAnsi"/>
          <w:szCs w:val="24"/>
        </w:rPr>
        <w:t>med/uten kontinuerlig flushing:</w:t>
      </w:r>
      <w:bookmarkEnd w:id="9"/>
    </w:p>
    <w:p w:rsidR="00652AB9" w:rsidRPr="00D42F44" w:rsidP="00467D98" w14:paraId="65066E6D" w14:textId="77777777">
      <w:pPr>
        <w:autoSpaceDE w:val="0"/>
        <w:autoSpaceDN w:val="0"/>
        <w:adjustRightInd w:val="0"/>
        <w:ind w:left="426"/>
        <w:rPr>
          <w:rFonts w:cstheme="minorHAnsi"/>
          <w:szCs w:val="24"/>
        </w:rPr>
      </w:pPr>
      <w:r w:rsidRPr="00D42F44">
        <w:rPr>
          <w:rFonts w:cstheme="minorHAnsi"/>
          <w:b/>
          <w:szCs w:val="24"/>
        </w:rPr>
        <w:t>Skiftefrekvens</w:t>
      </w:r>
      <w:r w:rsidRPr="00D42F44">
        <w:rPr>
          <w:rFonts w:cstheme="minorHAnsi"/>
          <w:szCs w:val="24"/>
        </w:rPr>
        <w:t>: Transducere og øvrige systemkomponenter (slanger, kontinuerlig flushingutstyr) skal skiftes hver</w:t>
      </w:r>
      <w:r w:rsidRPr="00D42F44">
        <w:rPr>
          <w:rFonts w:cstheme="minorHAnsi"/>
          <w:b/>
          <w:szCs w:val="24"/>
        </w:rPr>
        <w:t xml:space="preserve"> </w:t>
      </w:r>
      <w:r w:rsidRPr="00D42F44">
        <w:rPr>
          <w:rFonts w:cstheme="minorHAnsi"/>
          <w:szCs w:val="24"/>
        </w:rPr>
        <w:t>96. time (4 døgn).</w:t>
      </w:r>
    </w:p>
    <w:p w:rsidR="00CA5DAC" w:rsidRPr="00D42F44" w:rsidP="00652AB9" w14:paraId="65066E6E" w14:textId="77777777">
      <w:pPr>
        <w:autoSpaceDE w:val="0"/>
        <w:autoSpaceDN w:val="0"/>
        <w:adjustRightInd w:val="0"/>
        <w:rPr>
          <w:rFonts w:cstheme="minorHAnsi"/>
          <w:szCs w:val="24"/>
        </w:rPr>
      </w:pPr>
    </w:p>
    <w:p w:rsidR="00510BDF" w:rsidRPr="00D42F44" w:rsidP="00066A58" w14:paraId="65066E6F" w14:textId="77777777">
      <w:pPr>
        <w:pStyle w:val="Heading1"/>
        <w:spacing w:line="259" w:lineRule="auto"/>
        <w:rPr>
          <w:rFonts w:cstheme="minorHAnsi"/>
          <w:sz w:val="24"/>
          <w:szCs w:val="24"/>
        </w:rPr>
      </w:pPr>
      <w:bookmarkStart w:id="10" w:name="_Toc256000008"/>
      <w:r w:rsidRPr="00D42F44">
        <w:rPr>
          <w:rFonts w:cstheme="minorHAnsi"/>
          <w:sz w:val="24"/>
          <w:szCs w:val="24"/>
        </w:rPr>
        <w:t>Referanser</w:t>
      </w:r>
      <w:bookmarkEnd w:id="10"/>
      <w:r w:rsidRPr="00D42F44">
        <w:rPr>
          <w:rFonts w:cstheme="minorHAnsi"/>
          <w:sz w:val="24"/>
          <w:szCs w:val="24"/>
        </w:rPr>
        <w:t xml:space="preserve"> </w:t>
      </w:r>
    </w:p>
    <w:p w:rsidR="00DF7BA8" w:rsidRPr="00D42F44" w:rsidP="00066A58" w14:paraId="65066E70" w14:textId="77777777">
      <w:pPr>
        <w:spacing w:line="259" w:lineRule="auto"/>
        <w:rPr>
          <w:rFonts w:cstheme="minorHAnsi"/>
          <w:szCs w:val="24"/>
        </w:rPr>
      </w:pPr>
    </w:p>
    <w:p w:rsidR="00510BDF" w:rsidRPr="00D42F44" w:rsidP="00066A58" w14:paraId="65066E71" w14:textId="77777777">
      <w:pPr>
        <w:spacing w:line="259" w:lineRule="auto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Interne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2268"/>
        <w:gridCol w:w="68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bookmarkStart w:id="11" w:name="EK_Referanse"/>
            <w:hyperlink r:id="rId7" w:history="1">
              <w:r>
                <w:rPr>
                  <w:b w:val="0"/>
                  <w:color w:val="0000FF"/>
                  <w:u w:val="single"/>
                </w:rPr>
                <w:t>1.2.1.2-02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7" w:history="1">
              <w:r>
                <w:rPr>
                  <w:b w:val="0"/>
                  <w:color w:val="0000FF"/>
                  <w:u w:val="single"/>
                </w:rPr>
                <w:t>Infusjonssett og transfusjonssett, etterskylling / volum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8" w:history="1">
              <w:r>
                <w:rPr>
                  <w:b w:val="0"/>
                  <w:color w:val="0000FF"/>
                  <w:u w:val="single"/>
                </w:rPr>
                <w:t>1.2.1.2-04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8" w:history="1">
              <w:r>
                <w:rPr>
                  <w:b w:val="0"/>
                  <w:color w:val="0000FF"/>
                  <w:u w:val="single"/>
                </w:rPr>
                <w:t>Ventiler til infusjonssett, intravenøst og epiduralt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1.2.2.1-12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9" w:history="1">
              <w:r>
                <w:rPr>
                  <w:b w:val="0"/>
                  <w:color w:val="0000FF"/>
                  <w:u w:val="single"/>
                </w:rPr>
                <w:t>Forankring i lov og forskrift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6" w:history="1">
              <w:r>
                <w:rPr>
                  <w:b w:val="0"/>
                  <w:color w:val="0000FF"/>
                  <w:u w:val="single"/>
                </w:rPr>
                <w:t>1.2.2.3-05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6" w:history="1">
              <w:r>
                <w:rPr>
                  <w:b w:val="0"/>
                  <w:color w:val="0000FF"/>
                  <w:u w:val="single"/>
                </w:rPr>
                <w:t>Sterile legemidler - veiledende brukstid og oppbevaring etter anbrudd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1.2.2.6.1-08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0" w:history="1">
              <w:r>
                <w:rPr>
                  <w:b w:val="0"/>
                  <w:color w:val="0000FF"/>
                  <w:u w:val="single"/>
                </w:rPr>
                <w:t>Legemidler med krav til PVC- eller ftalat-frie beholdere og infusjonsutstyr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1.2.9.5-01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1" w:history="1">
              <w:r>
                <w:rPr>
                  <w:b w:val="0"/>
                  <w:color w:val="0000FF"/>
                  <w:u w:val="single"/>
                </w:rPr>
                <w:t>Forebygging av infeksjoner ved bruk av intravaskulære katetre</w:t>
              </w:r>
            </w:hyperlink>
          </w:p>
        </w:tc>
      </w:tr>
      <w:tr>
        <w:tblPrEx>
          <w:tblW w:w="5000" w:type="pct"/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2" w:history="1">
              <w:r>
                <w:rPr>
                  <w:b w:val="0"/>
                  <w:color w:val="0000FF"/>
                  <w:u w:val="single"/>
                </w:rPr>
                <w:t>1.2.12-01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hyperlink r:id="rId12" w:history="1">
              <w:r>
                <w:rPr>
                  <w:b w:val="0"/>
                  <w:color w:val="0000FF"/>
                  <w:u w:val="single"/>
                </w:rPr>
                <w:t>Transfusjon</w:t>
              </w:r>
            </w:hyperlink>
          </w:p>
        </w:tc>
      </w:tr>
    </w:tbl>
    <w:p w:rsidR="009B041D" w:rsidRPr="00D42F44" w:rsidP="00066A58" w14:paraId="65066E81" w14:textId="77777777">
      <w:pPr>
        <w:spacing w:line="259" w:lineRule="auto"/>
        <w:rPr>
          <w:rFonts w:cstheme="minorHAnsi"/>
          <w:szCs w:val="24"/>
        </w:rPr>
      </w:pPr>
      <w:bookmarkEnd w:id="11"/>
    </w:p>
    <w:p w:rsidR="00510BDF" w:rsidRPr="00D42F44" w:rsidP="00066A58" w14:paraId="65066E82" w14:textId="77777777">
      <w:pPr>
        <w:spacing w:line="259" w:lineRule="auto"/>
        <w:rPr>
          <w:rFonts w:cstheme="minorHAnsi"/>
          <w:szCs w:val="24"/>
        </w:rPr>
      </w:pPr>
    </w:p>
    <w:p w:rsidR="00510BDF" w:rsidRPr="00D42F44" w:rsidP="00066A58" w14:paraId="65066E83" w14:textId="77777777">
      <w:pPr>
        <w:spacing w:line="259" w:lineRule="auto"/>
        <w:rPr>
          <w:rFonts w:cstheme="minorHAnsi"/>
          <w:szCs w:val="24"/>
        </w:rPr>
      </w:pPr>
      <w:r w:rsidRPr="00D42F44">
        <w:rPr>
          <w:rFonts w:cstheme="minorHAnsi"/>
          <w:szCs w:val="24"/>
        </w:rPr>
        <w:t xml:space="preserve">Eksterne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066A58">
            <w:pPr>
              <w:numPr>
                <w:ilvl w:val="0"/>
                <w:numId w:val="0"/>
              </w:numPr>
              <w:spacing w:line="259" w:lineRule="auto"/>
              <w:rPr>
                <w:b w:val="0"/>
                <w:color w:val="0000FF"/>
                <w:u w:val="single"/>
              </w:rPr>
            </w:pPr>
            <w:bookmarkStart w:id="12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9B041D" w:rsidRPr="00D42F44" w:rsidP="00066A58" w14:paraId="65066E86" w14:textId="77777777">
      <w:pPr>
        <w:spacing w:line="259" w:lineRule="auto"/>
        <w:rPr>
          <w:rFonts w:cstheme="minorHAnsi"/>
          <w:szCs w:val="24"/>
        </w:rPr>
      </w:pPr>
      <w:bookmarkEnd w:id="12"/>
    </w:p>
    <w:p w:rsidR="009D023B" w:rsidRPr="00D42F44" w:rsidP="00066A58" w14:paraId="65066E87" w14:textId="77777777">
      <w:pPr>
        <w:pStyle w:val="Heading1"/>
        <w:spacing w:line="259" w:lineRule="auto"/>
        <w:rPr>
          <w:rFonts w:cstheme="minorHAnsi"/>
          <w:sz w:val="24"/>
          <w:szCs w:val="24"/>
        </w:rPr>
      </w:pPr>
      <w:bookmarkStart w:id="13" w:name="_Toc256000009"/>
      <w:r w:rsidRPr="00D42F44">
        <w:rPr>
          <w:rFonts w:cstheme="minorHAnsi"/>
          <w:sz w:val="24"/>
          <w:szCs w:val="24"/>
        </w:rPr>
        <w:t>Endringer siden forrige versjon</w:t>
      </w:r>
      <w:bookmarkEnd w:id="13"/>
    </w:p>
    <w:p w:rsidR="009D023B" w:rsidRPr="00D42F44" w:rsidP="00066A58" w14:paraId="65066E88" w14:textId="77777777">
      <w:pPr>
        <w:spacing w:line="259" w:lineRule="auto"/>
        <w:rPr>
          <w:rFonts w:cstheme="minorHAnsi"/>
          <w:color w:val="000080"/>
          <w:szCs w:val="24"/>
        </w:rPr>
      </w:pPr>
      <w:r w:rsidRPr="00D42F44">
        <w:rPr>
          <w:rFonts w:cstheme="minorHAnsi"/>
          <w:color w:val="000080"/>
          <w:szCs w:val="24"/>
        </w:rPr>
        <w:fldChar w:fldCharType="begin" w:fldLock="1"/>
      </w:r>
      <w:r w:rsidRPr="00D42F44">
        <w:rPr>
          <w:rFonts w:cstheme="minorHAnsi"/>
          <w:color w:val="000080"/>
          <w:szCs w:val="24"/>
        </w:rPr>
        <w:instrText xml:space="preserve"> DOCVARIABLE EK_Merknad </w:instrText>
      </w:r>
      <w:r w:rsidRPr="00D42F44">
        <w:rPr>
          <w:rFonts w:cstheme="minorHAnsi"/>
          <w:color w:val="000080"/>
          <w:szCs w:val="24"/>
        </w:rPr>
        <w:fldChar w:fldCharType="separate"/>
      </w:r>
      <w:r w:rsidRPr="00D42F44">
        <w:rPr>
          <w:rFonts w:cstheme="minorHAnsi"/>
          <w:color w:val="000080"/>
          <w:szCs w:val="24"/>
        </w:rPr>
        <w:t>Lagt til interne referanser 1.2.2.6.1-05 og 1.2.2.6.1-06.</w:t>
      </w:r>
      <w:r w:rsidRPr="00D42F44">
        <w:rPr>
          <w:rFonts w:cstheme="minorHAnsi"/>
          <w:color w:val="000080"/>
          <w:szCs w:val="24"/>
        </w:rPr>
        <w:fldChar w:fldCharType="end"/>
      </w:r>
    </w:p>
    <w:sectPr w:rsidSect="00D03EE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 w14:paraId="65066E93" w14:textId="77777777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 w14:paraId="65066E91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D1208F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D1208F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 w14:paraId="65066E92" w14:textId="77777777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65066E94" w14:textId="77777777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65066E99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 w14:paraId="65066E95" w14:textId="77777777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D35741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 w14:paraId="65066E96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 w14:paraId="65066E97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 w14:paraId="65066E98" w14:textId="1962A1FB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 w14:paraId="65066E9A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65066EAE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 w14:paraId="65066EAB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1.2.1.2-03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 w14:paraId="65066EAC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 w14:paraId="65066EAD" w14:textId="3905D0E1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 w14:paraId="65066EAF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A233BE" w14:paraId="65066E89" w14:textId="77777777">
      <w:r>
        <w:separator/>
      </w:r>
    </w:p>
  </w:footnote>
  <w:footnote w:type="continuationSeparator" w:id="1">
    <w:p w:rsidR="00A233BE" w14:paraId="65066E8A" w14:textId="77777777">
      <w:r>
        <w:continuationSeparator/>
      </w:r>
    </w:p>
  </w:footnote>
  <w:footnote w:id="2">
    <w:p w:rsidR="00652AB9" w:rsidP="00652AB9" w14:paraId="65066EB2" w14:textId="77777777">
      <w:pPr>
        <w:rPr>
          <w:rFonts w:ascii="Verdana" w:hAnsi="Verdana"/>
          <w:color w:val="000080"/>
          <w:sz w:val="14"/>
        </w:rPr>
      </w:pPr>
      <w:r>
        <w:rPr>
          <w:rStyle w:val="FootnoteReference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r>
        <w:rPr>
          <w:rFonts w:ascii="Verdana" w:hAnsi="Verdana"/>
          <w:sz w:val="14"/>
          <w:szCs w:val="22"/>
        </w:rPr>
        <w:t xml:space="preserve">Smittevernhåndboken: </w:t>
      </w:r>
      <w:hyperlink r:id="rId1" w:tooltip="XDF11749 - dok11749.docx" w:history="1">
        <w:r>
          <w:rPr>
            <w:rStyle w:val="Hyperlink"/>
            <w:szCs w:val="22"/>
          </w:rPr>
          <w:fldChar w:fldCharType="begin" w:fldLock="1"/>
        </w:r>
        <w:r>
          <w:rPr>
            <w:rStyle w:val="Hyperlink"/>
            <w:szCs w:val="22"/>
          </w:rPr>
          <w:instrText xml:space="preserve"> DOCPROPERTY XDT11749 \*charformat \* MERGEFORMAT </w:instrText>
        </w:r>
        <w:r>
          <w:rPr>
            <w:rStyle w:val="Hyperlink"/>
            <w:szCs w:val="22"/>
          </w:rPr>
          <w:fldChar w:fldCharType="separate"/>
        </w:r>
        <w:r>
          <w:rPr>
            <w:rStyle w:val="Hyperlink"/>
            <w:szCs w:val="22"/>
          </w:rPr>
          <w:t>Forebygging av infeksjoner ved bruk av intravaskulære katetre</w:t>
        </w:r>
        <w:r>
          <w:rPr>
            <w:rStyle w:val="Hyperlink"/>
            <w:szCs w:val="22"/>
          </w:rPr>
          <w:fldChar w:fldCharType="end"/>
        </w:r>
      </w:hyperlink>
    </w:p>
    <w:p w:rsidR="00652AB9" w:rsidP="00652AB9" w14:paraId="65066EB3" w14:textId="77777777">
      <w:pPr>
        <w:rPr>
          <w:rFonts w:ascii="Verdana" w:hAnsi="Verdana"/>
          <w:color w:val="000080"/>
          <w:sz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 w14:paraId="65066E8B" w14:textId="77777777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65066E8F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 w14:paraId="65066E8C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Infusjonssett, ulike typer, skiftefrekvens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 w14:paraId="65066E8D" w14:textId="77777777">
          <w:pPr>
            <w:pStyle w:val="Header"/>
            <w:jc w:val="left"/>
            <w:rPr>
              <w:sz w:val="12"/>
            </w:rPr>
          </w:pPr>
        </w:p>
        <w:p w:rsidR="00485214" w14:paraId="65066E8E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9.02</w:t>
          </w:r>
          <w:r>
            <w:rPr>
              <w:sz w:val="16"/>
            </w:rPr>
            <w:fldChar w:fldCharType="end"/>
          </w:r>
        </w:p>
      </w:tc>
    </w:tr>
  </w:tbl>
  <w:p w:rsidR="00485214" w14:paraId="65066E9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65066E9D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65066E9B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 w14:paraId="65066E9C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Infusjonssett, ulike typer, skiftefrekvens</w:t>
          </w:r>
          <w:r>
            <w:rPr>
              <w:sz w:val="28"/>
            </w:rPr>
            <w:fldChar w:fldCharType="end"/>
          </w:r>
        </w:p>
      </w:tc>
    </w:tr>
    <w:tr w14:paraId="65066EA0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 w14:paraId="65066E9E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Pasientbehandling/Legemidler/Fagspesifikke retningslinjer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 w14:paraId="65066E9F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28.11.2024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28.11.2026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5066EA3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 w14:paraId="65066EA1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HF/Fellesdokumenter/Pasientbehandling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 w14:paraId="65066EA2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</w:instrText>
          </w:r>
          <w:r>
            <w:rPr>
              <w:color w:val="000080"/>
              <w:sz w:val="16"/>
            </w:rPr>
            <w:instrText xml:space="preserve">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9.02</w:t>
          </w:r>
          <w:r>
            <w:rPr>
              <w:sz w:val="16"/>
            </w:rPr>
            <w:fldChar w:fldCharType="end"/>
          </w:r>
        </w:p>
      </w:tc>
    </w:tr>
    <w:tr w14:paraId="65066EA6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 w14:paraId="65066EA4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Bjånes, Tormod Karlsen - legemiddelkomiteen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 w14:paraId="65066EA5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14:paraId="65066EA9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 w14:paraId="65066EA7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Legemiddelkomiteen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14:paraId="65066EA8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D35741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14:paraId="65066EAA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FA09CC"/>
    <w:multiLevelType w:val="hybridMultilevel"/>
    <w:tmpl w:val="116A7030"/>
    <w:lvl w:ilvl="0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1">
    <w:nsid w:val="07974B74"/>
    <w:multiLevelType w:val="hybridMultilevel"/>
    <w:tmpl w:val="012A12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137E5D"/>
    <w:multiLevelType w:val="hybridMultilevel"/>
    <w:tmpl w:val="EAF2DE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81D85"/>
    <w:multiLevelType w:val="hybridMultilevel"/>
    <w:tmpl w:val="0E961420"/>
    <w:lvl w:ilvl="0">
      <w:start w:val="1"/>
      <w:numFmt w:val="bullet"/>
      <w:pStyle w:val="Heading3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Heading4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A73D00"/>
    <w:multiLevelType w:val="hybridMultilevel"/>
    <w:tmpl w:val="D4BCA6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13E84EEA"/>
    <w:multiLevelType w:val="hybridMultilevel"/>
    <w:tmpl w:val="C222181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2877181E"/>
    <w:multiLevelType w:val="hybridMultilevel"/>
    <w:tmpl w:val="C59207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276A90"/>
    <w:multiLevelType w:val="multilevel"/>
    <w:tmpl w:val="A10E28C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0">
    <w:nsid w:val="2E0F3B0B"/>
    <w:multiLevelType w:val="hybridMultilevel"/>
    <w:tmpl w:val="C9B4AB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02E07"/>
    <w:multiLevelType w:val="hybridMultilevel"/>
    <w:tmpl w:val="4E28C1EE"/>
    <w:lvl w:ilvl="0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22">
    <w:nsid w:val="49672FE9"/>
    <w:multiLevelType w:val="hybridMultilevel"/>
    <w:tmpl w:val="65DAB8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3E75E20"/>
    <w:multiLevelType w:val="hybridMultilevel"/>
    <w:tmpl w:val="E82A31CE"/>
    <w:lvl w:ilvl="0">
      <w:start w:val="1"/>
      <w:numFmt w:val="decimal"/>
      <w:pStyle w:val="Heading2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3C3598"/>
    <w:multiLevelType w:val="hybridMultilevel"/>
    <w:tmpl w:val="6AAA84D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FC5F43"/>
    <w:multiLevelType w:val="hybridMultilevel"/>
    <w:tmpl w:val="B2F27B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4C7D7E"/>
    <w:multiLevelType w:val="hybridMultilevel"/>
    <w:tmpl w:val="1C7C3B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425FD1"/>
    <w:multiLevelType w:val="hybridMultilevel"/>
    <w:tmpl w:val="58A64DD0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E3396D"/>
    <w:multiLevelType w:val="hybridMultilevel"/>
    <w:tmpl w:val="78C82FA8"/>
    <w:lvl w:ilvl="0">
      <w:start w:val="1"/>
      <w:numFmt w:val="bullet"/>
      <w:lvlText w:val="o"/>
      <w:lvlJc w:val="left"/>
      <w:pPr>
        <w:ind w:left="729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7"/>
  </w:num>
  <w:num w:numId="13">
    <w:abstractNumId w:val="24"/>
  </w:num>
  <w:num w:numId="14">
    <w:abstractNumId w:val="27"/>
  </w:num>
  <w:num w:numId="15">
    <w:abstractNumId w:val="28"/>
  </w:num>
  <w:num w:numId="16">
    <w:abstractNumId w:val="19"/>
  </w:num>
  <w:num w:numId="17">
    <w:abstractNumId w:val="19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23"/>
  </w:num>
  <w:num w:numId="19">
    <w:abstractNumId w:val="13"/>
  </w:num>
  <w:num w:numId="20">
    <w:abstractNumId w:val="21"/>
  </w:num>
  <w:num w:numId="21">
    <w:abstractNumId w:val="10"/>
  </w:num>
  <w:num w:numId="22">
    <w:abstractNumId w:val="11"/>
  </w:num>
  <w:num w:numId="23">
    <w:abstractNumId w:val="12"/>
  </w:num>
  <w:num w:numId="24">
    <w:abstractNumId w:val="22"/>
  </w:num>
  <w:num w:numId="25">
    <w:abstractNumId w:val="26"/>
  </w:num>
  <w:num w:numId="26">
    <w:abstractNumId w:val="31"/>
  </w:num>
  <w:num w:numId="27">
    <w:abstractNumId w:val="16"/>
  </w:num>
  <w:num w:numId="28">
    <w:abstractNumId w:val="25"/>
  </w:num>
  <w:num w:numId="29">
    <w:abstractNumId w:val="30"/>
  </w:num>
  <w:num w:numId="30">
    <w:abstractNumId w:val="29"/>
  </w:num>
  <w:num w:numId="31">
    <w:abstractNumId w:val="20"/>
  </w:num>
  <w:num w:numId="32">
    <w:abstractNumId w:val="32"/>
  </w:num>
  <w:num w:numId="33">
    <w:abstractNumId w:val="18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20754"/>
    <w:rsid w:val="000354A8"/>
    <w:rsid w:val="00042992"/>
    <w:rsid w:val="00050E94"/>
    <w:rsid w:val="0005214E"/>
    <w:rsid w:val="00056D52"/>
    <w:rsid w:val="0006633A"/>
    <w:rsid w:val="00066A58"/>
    <w:rsid w:val="00067C31"/>
    <w:rsid w:val="00067E07"/>
    <w:rsid w:val="00076677"/>
    <w:rsid w:val="00081F27"/>
    <w:rsid w:val="00083284"/>
    <w:rsid w:val="00087C5F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34AE1"/>
    <w:rsid w:val="00140619"/>
    <w:rsid w:val="00144BC1"/>
    <w:rsid w:val="00150F73"/>
    <w:rsid w:val="00151E16"/>
    <w:rsid w:val="00152323"/>
    <w:rsid w:val="00155765"/>
    <w:rsid w:val="00157C37"/>
    <w:rsid w:val="00161FD5"/>
    <w:rsid w:val="00176BA5"/>
    <w:rsid w:val="00180254"/>
    <w:rsid w:val="00187793"/>
    <w:rsid w:val="0019138B"/>
    <w:rsid w:val="0019290E"/>
    <w:rsid w:val="001A4CED"/>
    <w:rsid w:val="001B1D43"/>
    <w:rsid w:val="001B29DE"/>
    <w:rsid w:val="001B37A6"/>
    <w:rsid w:val="001C094A"/>
    <w:rsid w:val="001E1DBA"/>
    <w:rsid w:val="001F43D4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A4A07"/>
    <w:rsid w:val="002A692A"/>
    <w:rsid w:val="002A791D"/>
    <w:rsid w:val="002B1F3C"/>
    <w:rsid w:val="002D0738"/>
    <w:rsid w:val="002F5A32"/>
    <w:rsid w:val="00304B15"/>
    <w:rsid w:val="00311019"/>
    <w:rsid w:val="00312D39"/>
    <w:rsid w:val="00330E77"/>
    <w:rsid w:val="003403C0"/>
    <w:rsid w:val="00355D1A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456D7"/>
    <w:rsid w:val="00455820"/>
    <w:rsid w:val="004568C8"/>
    <w:rsid w:val="004611B5"/>
    <w:rsid w:val="004640AA"/>
    <w:rsid w:val="00467D98"/>
    <w:rsid w:val="0047022F"/>
    <w:rsid w:val="004719A0"/>
    <w:rsid w:val="00482156"/>
    <w:rsid w:val="00482CE0"/>
    <w:rsid w:val="0048427D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283"/>
    <w:rsid w:val="00557C81"/>
    <w:rsid w:val="00557FA4"/>
    <w:rsid w:val="00566FB2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D4E8C"/>
    <w:rsid w:val="005F0E8F"/>
    <w:rsid w:val="00606A4F"/>
    <w:rsid w:val="00611A93"/>
    <w:rsid w:val="00611B44"/>
    <w:rsid w:val="00617242"/>
    <w:rsid w:val="006479E1"/>
    <w:rsid w:val="00650773"/>
    <w:rsid w:val="00652242"/>
    <w:rsid w:val="00652AB9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2C0A"/>
    <w:rsid w:val="006F6255"/>
    <w:rsid w:val="00707B83"/>
    <w:rsid w:val="00713D7C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70CC6"/>
    <w:rsid w:val="0088008E"/>
    <w:rsid w:val="00885802"/>
    <w:rsid w:val="008A218A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8F5D41"/>
    <w:rsid w:val="00903623"/>
    <w:rsid w:val="009039EB"/>
    <w:rsid w:val="00905B0B"/>
    <w:rsid w:val="00907122"/>
    <w:rsid w:val="00907ABE"/>
    <w:rsid w:val="0091692D"/>
    <w:rsid w:val="00921961"/>
    <w:rsid w:val="00935DE6"/>
    <w:rsid w:val="00940FC5"/>
    <w:rsid w:val="009456D0"/>
    <w:rsid w:val="009506D3"/>
    <w:rsid w:val="00963180"/>
    <w:rsid w:val="00964121"/>
    <w:rsid w:val="00970B24"/>
    <w:rsid w:val="00991C00"/>
    <w:rsid w:val="009A2EB0"/>
    <w:rsid w:val="009A704D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33BE"/>
    <w:rsid w:val="00A271A9"/>
    <w:rsid w:val="00A3019C"/>
    <w:rsid w:val="00A43AE5"/>
    <w:rsid w:val="00A55D47"/>
    <w:rsid w:val="00A577D4"/>
    <w:rsid w:val="00A75A8B"/>
    <w:rsid w:val="00A950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02D6D"/>
    <w:rsid w:val="00B218AB"/>
    <w:rsid w:val="00B21CB1"/>
    <w:rsid w:val="00B236DD"/>
    <w:rsid w:val="00B24A00"/>
    <w:rsid w:val="00B46418"/>
    <w:rsid w:val="00B55A8A"/>
    <w:rsid w:val="00B74D9F"/>
    <w:rsid w:val="00B803E3"/>
    <w:rsid w:val="00B81525"/>
    <w:rsid w:val="00B900D2"/>
    <w:rsid w:val="00B97D0E"/>
    <w:rsid w:val="00BB5F4B"/>
    <w:rsid w:val="00BC3FD8"/>
    <w:rsid w:val="00BC5853"/>
    <w:rsid w:val="00BD6D72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A5DAC"/>
    <w:rsid w:val="00CB357A"/>
    <w:rsid w:val="00CB3EB0"/>
    <w:rsid w:val="00CB523D"/>
    <w:rsid w:val="00CD6C43"/>
    <w:rsid w:val="00CE5024"/>
    <w:rsid w:val="00CF2E4A"/>
    <w:rsid w:val="00D013CC"/>
    <w:rsid w:val="00D03EED"/>
    <w:rsid w:val="00D1208F"/>
    <w:rsid w:val="00D13046"/>
    <w:rsid w:val="00D26789"/>
    <w:rsid w:val="00D320CC"/>
    <w:rsid w:val="00D36983"/>
    <w:rsid w:val="00D36A2D"/>
    <w:rsid w:val="00D40E94"/>
    <w:rsid w:val="00D42F44"/>
    <w:rsid w:val="00D4374F"/>
    <w:rsid w:val="00D53A2C"/>
    <w:rsid w:val="00D7283E"/>
    <w:rsid w:val="00D8507D"/>
    <w:rsid w:val="00D948F4"/>
    <w:rsid w:val="00D95FB8"/>
    <w:rsid w:val="00DA0D76"/>
    <w:rsid w:val="00DB004B"/>
    <w:rsid w:val="00DB372D"/>
    <w:rsid w:val="00DB5AFB"/>
    <w:rsid w:val="00DD1C72"/>
    <w:rsid w:val="00DD2FE1"/>
    <w:rsid w:val="00DD7CFF"/>
    <w:rsid w:val="00DE2C1F"/>
    <w:rsid w:val="00DF7BA8"/>
    <w:rsid w:val="00E023CD"/>
    <w:rsid w:val="00E033C9"/>
    <w:rsid w:val="00E04941"/>
    <w:rsid w:val="00E24A80"/>
    <w:rsid w:val="00E24E6E"/>
    <w:rsid w:val="00E268CB"/>
    <w:rsid w:val="00E30F00"/>
    <w:rsid w:val="00E3168F"/>
    <w:rsid w:val="00E33977"/>
    <w:rsid w:val="00E35C67"/>
    <w:rsid w:val="00E361E1"/>
    <w:rsid w:val="00E36B5C"/>
    <w:rsid w:val="00E40863"/>
    <w:rsid w:val="00E4664C"/>
    <w:rsid w:val="00E5442A"/>
    <w:rsid w:val="00E65C74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0FD"/>
    <w:rsid w:val="00ED248C"/>
    <w:rsid w:val="00EE0410"/>
    <w:rsid w:val="00EE3B2D"/>
    <w:rsid w:val="00EF5BB3"/>
    <w:rsid w:val="00F01A1A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Utby, Siri"/>
    <w:docVar w:name="ek_dbfields" w:val="EK_Avdeling¤2#4¤2# ¤3#EK_Avsnitt¤2#4¤2# ¤3#EK_Bedriftsnavn¤2#1¤2#Helse Bergen¤3#EK_GjelderFra¤2#0¤2# ¤3#EK_KlGjelderFra¤2#0¤2# ¤3#EK_Opprettet¤2#0¤2#14.11.2014¤3#EK_Utgitt¤2#0¤2#14.11.2014¤3#EK_IBrukDato¤2#0¤2#22.06.2022¤3#EK_DokumentID¤2#0¤2#D35741¤3#EK_DokTittel¤2#0¤2#Infusjonssett, ulike typer, skiftefrekvens¤3#EK_DokType¤2#0¤2#Prosedyre¤3#EK_DocLvlShort¤2#0¤2# ¤3#EK_DocLevel¤2#0¤2# ¤3#EK_EksRef¤2#2¤2# 0_x0009_¤3#EK_Erstatter¤2#0¤2#8.00¤3#EK_ErstatterD¤2#0¤2#22.06.2022¤3#EK_Signatur¤2#0¤2#¤3#EK_Verifisert¤2#0¤2#¤3#EK_Hørt¤2#0¤2#¤3#EK_AuditReview¤2#2¤2#¤3#EK_AuditApprove¤2#2¤2#¤3#EK_Gradering¤2#0¤2#Åpen¤3#EK_Gradnr¤2#4¤2#0¤3#EK_Kapittel¤2#4¤2# ¤3#EK_Referanse¤2#2¤2# 5_x0009_02.1.2.2.1-10_x0009_Forankring i lov og forskrift_x0009_54944_x0009_dok54944.docx_x0009_¤1#02.1.2.2.3-05_x0009_Sterile legemidler - veiledende brukstid og oppbevaring etter anbrudd_x0009_34826_x0009_dok34826.docx_x0009_¤1#02.1.2.2.6.1-09_x0009_Legemidler med krav til PVC- eller ftalat-frie beholdere og infusjonsutstyr_x0009_39340_x0009_dok39340.docx_x0009_¤1#02.1.2.9.5-01_x0009_Forebygging av infeksjoner ved bruk av intravaskulære katetre_x0009_11749_x0009_dok11749.docx_x0009_¤1#02.1.2.11-01_x0009_Transfusjon_x0009_32617_x0009_dok32617.docx_x0009_¤1#¤3#EK_RefNr¤2#0¤2#02.1.2.2.6.1-05¤3#EK_Revisjon¤2#0¤2#9.00¤3#EK_Ansvarlig¤2#0¤2#Utby, Siri¤3#EK_SkrevetAv¤2#0¤2#Bjørg Vikås, KSK/ Linda Sørensen, MIO¤3#EK_UText1¤2#0¤2#Legemiddelkomiteen¤3#EK_UText2¤2#0¤2# ¤3#EK_UText3¤2#0¤2# ¤3#EK_UText4¤2#0¤2# ¤3#EK_Status¤2#0¤2#Til godkj.(rev)¤3#EK_Stikkord¤2#0¤2#skifterutiner, lysresistent sett, lysbeskyttet sett, lavabsorberende sett, lowsorb, transfusjonssett, transducersett, epiduralsett, treveiskraner¤3#EK_SuperStikkord¤2#0¤2#¤3#EK_Rapport¤2#3¤2#¤3#EK_EKPrintMerke¤2#0¤2#Uoffisiell utskrift er kun gyldig på utskriftsdato¤3#EK_Watermark¤2#0¤2#¤3#EK_Utgave¤2#0¤2#9.00¤3#EK_Merknad¤2#7¤2#¤3#EK_VerLogg¤2#2¤2#Ver. 9.00 - 22.06.2022|¤1#Ver. 8.00 - 22.06.2022|Endret ordlyd og rekkefølge på informasjon under Treveiskraner m/ 10 cm forlengelse, samt endret informasjon under transfusjonssett.¤1#Ver. 7.00 - 03.05.2021|Endret tilbake til skiftefrekvens hvert 4. døgn for sett til blanke væsker, ekstraordinære tiltak er ikke lenger nødvendig.¤1#Ver. 6.03 - 17.03.2021|Pga mangel på infusjonssett blir det innført en hasteendring 12. mars 2021: Hovedregel er nå at infusjonssett som er i kontinuerlig bruk og som kun brukes til blanke væsker skiftes hver 7. dag. Endringen er godkjent av fagdirektør og smittevernlege. Justert tekst for sett brukt til antibiotika.¤1#Ver. 6.02 - 17.03.2021|Pga mangel på infusjonssett blir det innført en hasteendring 12. mars 2021: Hovedregel er nå at infusjonssett som er i kontinuerlig bruk og som kun brukes til blanke væsker skiftes hver 7. dag. Endringen er godkjent av fagdirektør og smittevernlege. Justert tekst for sett brukt til antibiotika.¤1#Ver. 6.01 - 12.03.2021|Pga mangel på infusjonssett blir det innført en hasteendring 12. mars 2021: Hovedregel er nå at infusjonssett som er i kontinuerlig bruk og som kun brukes til blanke væsker skiftes hver 7. dag. Endringen er godkjent av fagdirektør og smittevernlege.¤1#Ver. 6.00 - 12.03.2021|Pga mangel på infusjonssett blir det innført en hasteendring 12. mars 2021: Hovedregel er nå at infusjonssett som er i kontinuerlig bruk og som kun brukes til blanke væsker skiftes hver 7. dag. Endringen er godkjent av fagdirektør og smittevernlege.¤1#Ver. 5.00 - 27.01.2020|Justert avsnitt: Infusjonssett til epidural infusjon av &quot;Standard EDA&quot;.&#13;_x000a_Lagt til Ropivacain og andre apotekproduserte varer i avsnitt om epidural bruk i tre dager etter innspill fra farmasøyt Irene Ødegård. Endret i samråd med Bjørg Vikås, Linda Sørensen og Tormod Bjånes.¤1#Ver. 4.00 - 06.08.2018|ortet ned opprinnelig dokument. Arbeidet er utført i regi av Legemiddelkomiteen på bestilling fra Helse Bergen. &#13;_x000a_Involverte: overlege Laboriatorieklinikken Charlotte Stokes, overlege/leder LMK Tormod Bjånes, farmasøyt Vibeke Qvale-Isaksen LMK/FOU, rådgiver FOU seksjon for pasientsikkerhtet Elin Anne Aksdal. Innholdet er gjenomgått av Bjørg Vikås og Linda H Sørensen.¤1#Ver. 3.00 - 31.10.2017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5¤3#EK_GjelderTil¤2#0¤2#¤3#EK_Vedlegg¤2#2¤2# 0_x0009_¤3#EK_AvdelingOver¤2#4¤2# ¤3#EK_HRefNr¤2#0¤2# ¤3#EK_HbNavn¤2#0¤2# ¤3#EK_DokRefnr¤2#4¤2#0003020102020601¤3#EK_Dokendrdato¤2#4¤2#22.06.2022 13:11:43¤3#EK_HbType¤2#4¤2# ¤3#EK_Offisiell¤2#4¤2# ¤3#EK_VedleggRef¤2#4¤2#02.1.2.2.6.1-05¤3#EK_Strukt00¤2#5¤2#¤5#¤5#HVRHF¤5#1¤5#-1¤4#¤5#02¤5#Helse Bergen HF¤5#1¤5#0¤4#.¤5#1¤5#Fellesdokumenter¤5#1¤5#0¤4#.¤5#2¤5#Pasientbehandling¤5#1¤5#0¤4#.¤5#2¤5#Legemidler¤5#0¤5#0¤4#.¤5#6¤5#Fagspesifikke retningslinjer¤5#0¤5#0¤4#.¤5#1¤5#Infusjonsterapi¤5#0¤5#0¤4# - ¤3#EK_Strukt01¤2#5¤2#¤5#¤5#Kategorier HB (ikke dokumenter på dette nivået trykk dere videre ned +)¤5#0¤5#0¤4#¤5#¤5#Pasientbehandling (ikke dokumenter på dette nivået trykk dere videre ned +)¤5#0¤5#0¤4#¤5#¤5#Legemidler¤5#3¤5#0¤4#¤5#¤5#Fagspesifikke retningslinjer¤5#3¤5#0¤4# - ¤3#EK_Pub¤2#6¤2# 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1¤5#Fellesdokumenter¤5#1¤5#0¤4#.¤5#2¤5#Pasientbehandling¤5#1¤5#0¤4#.¤5#2¤5#Legemidler¤5#0¤5#0¤4#.¤5#6¤5#Fagspesifikke retningslinjer¤5#0¤5#0¤4#.¤5#1¤5#Infusjonsterapi¤5#0¤5#0¤4# - ¤3#"/>
    <w:docVar w:name="ek_dl" w:val="5"/>
    <w:docVar w:name="ek_doclevel" w:val=" "/>
    <w:docVar w:name="ek_doclvlshort" w:val=" "/>
    <w:docVar w:name="ek_dok.ansvarlig" w:val="[Dok.ansvarlig]"/>
    <w:docVar w:name="ek_doktittel" w:val="HBHF Generell/standard mal Helse Bergen"/>
    <w:docVar w:name="ek_dokumentid" w:val="[ID]"/>
    <w:docVar w:name="ek_eksref" w:val="[EK_EksRef]"/>
    <w:docVar w:name="ek_erstatter" w:val="8.00"/>
    <w:docVar w:name="ek_erstatterd" w:val="22.06.2022"/>
    <w:docVar w:name="ek_format" w:val="-10"/>
    <w:docVar w:name="ek_gjelderfra" w:val=" "/>
    <w:docVar w:name="ek_gjeldertil" w:val="[]"/>
    <w:docVar w:name="ek_gradering" w:val="Åpen"/>
    <w:docVar w:name="ek_hbnavn" w:val=" "/>
    <w:docVar w:name="ek_hrefnr" w:val=" "/>
    <w:docVar w:name="ek_hørt" w:val="[]"/>
    <w:docVar w:name="ek_ibrukdato" w:val="22.06.2022"/>
    <w:docVar w:name="ek_klgjelderfra" w:val=" "/>
    <w:docVar w:name="ek_merknad" w:val="Lagt til interne referanser 1.2.2.6.1-05 og 1.2.2.6.1-06."/>
    <w:docVar w:name="ek_opprettet" w:val="14.11.2014"/>
    <w:docVar w:name="ek_protection" w:val="0"/>
    <w:docVar w:name="ek_rapport" w:val="[]"/>
    <w:docVar w:name="ek_referanse" w:val="[EK_Referanse]"/>
    <w:docVar w:name="ek_revisjon" w:val="9.00"/>
    <w:docVar w:name="ek_s00mt1" w:val="HVRHF - Helse Bergen HF - Fellesdokumenter - Pasientbehandling"/>
    <w:docVar w:name="ek_s01mt3" w:val="Legemidler - Fagspesifikke retningslinjer"/>
    <w:docVar w:name="ek_skrevetav" w:val="Bjørg Vikås, KSK/ Linda Sørensen, MIO"/>
    <w:docVar w:name="ek_status" w:val="Til godkj.(rev)"/>
    <w:docVar w:name="ek_stikkord" w:val="skifterutiner, lysresistent sett, lysbeskyttet sett, lavabsorberende sett, lowsorb, transfusjonssett, transducersett, epiduralsett, treveiskraner"/>
    <w:docVar w:name="ek_superstikkord" w:val="[]"/>
    <w:docVar w:name="ek_type" w:val="ARB"/>
    <w:docVar w:name="ek_utext2" w:val=" "/>
    <w:docVar w:name="ek_utext3" w:val=" "/>
    <w:docVar w:name="ek_utext4" w:val=" "/>
    <w:docVar w:name="ek_utgave" w:val="9.00"/>
    <w:docVar w:name="ek_utgitt" w:val="14.11.2014"/>
    <w:docVar w:name="ek_verifisert" w:val="[]"/>
    <w:docVar w:name="ek_watermark" w:val=" "/>
    <w:docVar w:name="idek_referanse" w:val=";54944;34826;39340;11749;32617;"/>
    <w:docVar w:name="idxd" w:val=";54944;34826;39340;11749;32617;"/>
    <w:docVar w:name="khb" w:val="UB"/>
    <w:docVar w:name="skitten" w:val="0"/>
    <w:docVar w:name="tidek_referanse" w:val=";54944;34826;39340;11749;32617;"/>
    <w:docVar w:name="xdf11749" w:val="dok11749.docx"/>
    <w:docVar w:name="xdf32617" w:val="dok32617.docx"/>
    <w:docVar w:name="xdf34826" w:val="dok34826.docx"/>
    <w:docVar w:name="xdf39340" w:val="dok39340.docx"/>
    <w:docVar w:name="xdf54944" w:val="dok54944.docx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65066E31"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066A58"/>
    <w:pPr>
      <w:numPr>
        <w:numId w:val="16"/>
      </w:numPr>
      <w:ind w:left="431" w:hanging="431"/>
      <w:outlineLvl w:val="0"/>
    </w:pPr>
    <w:rPr>
      <w:b/>
      <w:sz w:val="28"/>
    </w:rPr>
  </w:style>
  <w:style w:type="paragraph" w:styleId="Heading2">
    <w:name w:val="heading 2"/>
    <w:basedOn w:val="Normal"/>
    <w:next w:val="Normal"/>
    <w:autoRedefine/>
    <w:qFormat/>
    <w:rsid w:val="00ED20FD"/>
    <w:pPr>
      <w:numPr>
        <w:numId w:val="28"/>
      </w:numPr>
      <w:ind w:left="426" w:hanging="426"/>
      <w:outlineLvl w:val="1"/>
    </w:pPr>
    <w:rPr>
      <w:b/>
    </w:rPr>
  </w:style>
  <w:style w:type="paragraph" w:styleId="Heading3">
    <w:name w:val="heading 3"/>
    <w:basedOn w:val="Normal"/>
    <w:next w:val="Normal"/>
    <w:autoRedefine/>
    <w:qFormat/>
    <w:rsid w:val="00E361E1"/>
    <w:pPr>
      <w:numPr>
        <w:numId w:val="19"/>
      </w:numPr>
      <w:outlineLvl w:val="2"/>
    </w:pPr>
    <w:rPr>
      <w:b/>
    </w:rPr>
  </w:style>
  <w:style w:type="paragraph" w:styleId="Heading4">
    <w:name w:val="heading 4"/>
    <w:basedOn w:val="Heading3"/>
    <w:next w:val="Normal"/>
    <w:autoRedefine/>
    <w:qFormat/>
    <w:rsid w:val="00A3019C"/>
    <w:pPr>
      <w:numPr>
        <w:ilvl w:val="3"/>
      </w:numPr>
      <w:ind w:left="624" w:hanging="624"/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A9508B"/>
    <w:rPr>
      <w:rFonts w:asciiTheme="minorHAnsi" w:hAnsiTheme="minorHAnsi"/>
      <w:color w:val="1F497D" w:themeColor="text2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  <w:style w:type="paragraph" w:customStyle="1" w:styleId="Default">
    <w:name w:val="Default"/>
    <w:rsid w:val="00652AB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ListHeading">
    <w:name w:val="List Heading"/>
    <w:basedOn w:val="Normal"/>
    <w:next w:val="Normal"/>
    <w:qFormat/>
    <w:rsid w:val="00652AB9"/>
    <w:pPr>
      <w:pBdr>
        <w:top w:val="single" w:sz="4" w:space="0" w:color="003351"/>
        <w:left w:val="single" w:sz="4" w:space="4" w:color="003351"/>
        <w:bottom w:val="single" w:sz="4" w:space="1" w:color="003351"/>
        <w:right w:val="single" w:sz="4" w:space="4" w:color="003351"/>
      </w:pBdr>
      <w:shd w:val="clear" w:color="auto" w:fill="00475B"/>
      <w:spacing w:before="120" w:after="120" w:line="480" w:lineRule="exact"/>
      <w:ind w:left="113" w:right="113"/>
    </w:pPr>
    <w:rPr>
      <w:rFonts w:ascii="Arial" w:hAnsi="Arial"/>
      <w:b/>
      <w:bCs/>
      <w:color w:val="FFFFFF"/>
      <w:sz w:val="36"/>
      <w:lang w:eastAsia="en-US"/>
    </w:rPr>
  </w:style>
  <w:style w:type="character" w:styleId="FootnoteReference">
    <w:name w:val="footnote reference"/>
    <w:basedOn w:val="DefaultParagraphFont"/>
    <w:semiHidden/>
    <w:unhideWhenUsed/>
    <w:rsid w:val="00652A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yperlink" Target="https://kvalitet.helse-bergen.no/docs/pub/DOK39340.htm" TargetMode="External" /><Relationship Id="rId11" Type="http://schemas.openxmlformats.org/officeDocument/2006/relationships/hyperlink" Target="https://kvalitet.helse-bergen.no/docs/pub/DOK11749.htm" TargetMode="External" /><Relationship Id="rId12" Type="http://schemas.openxmlformats.org/officeDocument/2006/relationships/hyperlink" Target="https://kvalitet.helse-bergen.no/docs/pub/DOK32617.htm" TargetMode="External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header" Target="header3.xml" /><Relationship Id="rId18" Type="http://schemas.openxmlformats.org/officeDocument/2006/relationships/footer" Target="footer3.xml" /><Relationship Id="rId19" Type="http://schemas.openxmlformats.org/officeDocument/2006/relationships/theme" Target="theme/theme1.xml" /><Relationship Id="rId2" Type="http://schemas.openxmlformats.org/officeDocument/2006/relationships/settings" Target="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yperlink" Target="https://kvalitet.helse-bergen.no/docs/pub/DOK34826.htm" TargetMode="External" /><Relationship Id="rId7" Type="http://schemas.openxmlformats.org/officeDocument/2006/relationships/hyperlink" Target="https://kvalitet.helse-bergen.no/docs/pub/DOK37717.htm" TargetMode="External" /><Relationship Id="rId8" Type="http://schemas.openxmlformats.org/officeDocument/2006/relationships/hyperlink" Target="https://kvalitet.helse-bergen.no/docs/pub/DOK37708.pdf" TargetMode="External" /><Relationship Id="rId9" Type="http://schemas.openxmlformats.org/officeDocument/2006/relationships/hyperlink" Target="https://kvalitet.helse-bergen.no/docs/pub/DOK54944.htm" TargetMode="External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s://kvalitet.helse-bergen.no/docs/pub/DOK11749.htm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tkab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0E7C61-6379-495E-9A95-69006FA6FDF3}">
  <we:reference id="wa200003024" version="1.0.3.0" store="nb-NO" storeType="omex"/>
  <we:alternateReferences>
    <we:reference id="wa200003024" version="1.0.3.0" store="wa200003024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8D8B6-3815-4DA9-BF77-92E3B3C7F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3</TotalTime>
  <Pages>3</Pages>
  <Words>725</Words>
  <Characters>5335</Characters>
  <Application>Microsoft Office Word</Application>
  <DocSecurity>0</DocSecurity>
  <Lines>44</Lines>
  <Paragraphs>12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Infusjonssett, ulike typer, skiftefrekvens</vt:lpstr>
      <vt:lpstr>HBHF-mal - stående</vt:lpstr>
    </vt:vector>
  </TitlesOfParts>
  <Company>Datakvalitet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Infusjonssett, ulike typer, skiftefrekvens</dc:title>
  <dc:subject>0003020102020601|02.1.2.2.6.1-05|</dc:subject>
  <dc:creator>Handbok</dc:creator>
  <cp:lastModifiedBy>Bjånes, Tormod Karlsen</cp:lastModifiedBy>
  <cp:revision>3</cp:revision>
  <cp:lastPrinted>2006-09-07T08:52:00Z</cp:lastPrinted>
  <dcterms:created xsi:type="dcterms:W3CDTF">2022-10-05T12:41:00Z</dcterms:created>
  <dcterms:modified xsi:type="dcterms:W3CDTF">2022-10-07T11:11:00Z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Infusjonssett, ulike typer, skiftefrekvens</vt:lpwstr>
  </property>
  <property fmtid="{D5CDD505-2E9C-101B-9397-08002B2CF9AE}" pid="4" name="EK_DokType">
    <vt:lpwstr>Prosedyre</vt:lpwstr>
  </property>
  <property fmtid="{D5CDD505-2E9C-101B-9397-08002B2CF9AE}" pid="5" name="EK_DokumentID">
    <vt:lpwstr>D35741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28.11.2024</vt:lpwstr>
  </property>
  <property fmtid="{D5CDD505-2E9C-101B-9397-08002B2CF9AE}" pid="8" name="EK_GjelderTil">
    <vt:lpwstr>28.11.2026</vt:lpwstr>
  </property>
  <property fmtid="{D5CDD505-2E9C-101B-9397-08002B2CF9AE}" pid="9" name="EK_Merknad">
    <vt:lpwstr>[]</vt:lpwstr>
  </property>
  <property fmtid="{D5CDD505-2E9C-101B-9397-08002B2CF9AE}" pid="10" name="EK_RefNr">
    <vt:lpwstr>1.2.1.2-03</vt:lpwstr>
  </property>
  <property fmtid="{D5CDD505-2E9C-101B-9397-08002B2CF9AE}" pid="11" name="EK_S00MT1">
    <vt:lpwstr>Helse Bergen HF/Fellesdokumenter/Pasientbehandling</vt:lpwstr>
  </property>
  <property fmtid="{D5CDD505-2E9C-101B-9397-08002B2CF9AE}" pid="12" name="EK_S01MT3">
    <vt:lpwstr>Pasientbehandling/Legemidler/Fagspesifikke retningslinjer</vt:lpwstr>
  </property>
  <property fmtid="{D5CDD505-2E9C-101B-9397-08002B2CF9AE}" pid="13" name="EK_Signatur">
    <vt:lpwstr>Bjånes, Tormod Karlsen - legemiddelkomiteen</vt:lpwstr>
  </property>
  <property fmtid="{D5CDD505-2E9C-101B-9397-08002B2CF9AE}" pid="14" name="EK_UText1">
    <vt:lpwstr>Legemiddelkomiteen</vt:lpwstr>
  </property>
  <property fmtid="{D5CDD505-2E9C-101B-9397-08002B2CF9AE}" pid="15" name="EK_Utgave">
    <vt:lpwstr>9.02</vt:lpwstr>
  </property>
  <property fmtid="{D5CDD505-2E9C-101B-9397-08002B2CF9AE}" pid="16" name="EK_Watermark">
    <vt:lpwstr> </vt:lpwstr>
  </property>
  <property fmtid="{D5CDD505-2E9C-101B-9397-08002B2CF9AE}" pid="17" name="XD11749">
    <vt:lpwstr>1.2.9.5-01</vt:lpwstr>
  </property>
  <property fmtid="{D5CDD505-2E9C-101B-9397-08002B2CF9AE}" pid="18" name="XD32617">
    <vt:lpwstr>1.2.12-01</vt:lpwstr>
  </property>
  <property fmtid="{D5CDD505-2E9C-101B-9397-08002B2CF9AE}" pid="19" name="XD34826">
    <vt:lpwstr>1.2.2.3-05</vt:lpwstr>
  </property>
  <property fmtid="{D5CDD505-2E9C-101B-9397-08002B2CF9AE}" pid="20" name="XD37708">
    <vt:lpwstr>1.2.1.2-04</vt:lpwstr>
  </property>
  <property fmtid="{D5CDD505-2E9C-101B-9397-08002B2CF9AE}" pid="21" name="XD37717">
    <vt:lpwstr>1.2.1.2-02</vt:lpwstr>
  </property>
  <property fmtid="{D5CDD505-2E9C-101B-9397-08002B2CF9AE}" pid="22" name="XD39340">
    <vt:lpwstr>1.2.2.6.1-08</vt:lpwstr>
  </property>
  <property fmtid="{D5CDD505-2E9C-101B-9397-08002B2CF9AE}" pid="23" name="XD54944">
    <vt:lpwstr>1.2.2.1-12</vt:lpwstr>
  </property>
  <property fmtid="{D5CDD505-2E9C-101B-9397-08002B2CF9AE}" pid="24" name="XDF11749">
    <vt:lpwstr>Forebygging av infeksjoner ved bruk av intravaskulære katetre</vt:lpwstr>
  </property>
  <property fmtid="{D5CDD505-2E9C-101B-9397-08002B2CF9AE}" pid="25" name="XDF32617">
    <vt:lpwstr>Transfusjon</vt:lpwstr>
  </property>
  <property fmtid="{D5CDD505-2E9C-101B-9397-08002B2CF9AE}" pid="26" name="XDF34826">
    <vt:lpwstr>Sterile legemidler - veiledende brukstid og oppbevaring etter anbrudd</vt:lpwstr>
  </property>
  <property fmtid="{D5CDD505-2E9C-101B-9397-08002B2CF9AE}" pid="27" name="XDF37708">
    <vt:lpwstr>Ventiler til infusjonssett, intravenøst og epiduralt</vt:lpwstr>
  </property>
  <property fmtid="{D5CDD505-2E9C-101B-9397-08002B2CF9AE}" pid="28" name="XDF37717">
    <vt:lpwstr>Infusjonssett og transfusjonssett, etterskylling / volum</vt:lpwstr>
  </property>
  <property fmtid="{D5CDD505-2E9C-101B-9397-08002B2CF9AE}" pid="29" name="XDF39340">
    <vt:lpwstr>Legemidler med krav til PVC- eller ftalat-frie beholdere og infusjonsutstyr</vt:lpwstr>
  </property>
  <property fmtid="{D5CDD505-2E9C-101B-9397-08002B2CF9AE}" pid="30" name="XDF54944">
    <vt:lpwstr>Forankring i lov og forskrift</vt:lpwstr>
  </property>
  <property fmtid="{D5CDD505-2E9C-101B-9397-08002B2CF9AE}" pid="31" name="XDL11749">
    <vt:lpwstr>1.2.9.5-01 Forebygging av infeksjoner ved bruk av intravaskulære katetre</vt:lpwstr>
  </property>
  <property fmtid="{D5CDD505-2E9C-101B-9397-08002B2CF9AE}" pid="32" name="XDL32617">
    <vt:lpwstr>1.2.12-01 Transfusjon</vt:lpwstr>
  </property>
  <property fmtid="{D5CDD505-2E9C-101B-9397-08002B2CF9AE}" pid="33" name="XDL34826">
    <vt:lpwstr>1.2.2.3-05 Sterile legemidler - veiledende brukstid og oppbevaring etter anbrudd</vt:lpwstr>
  </property>
  <property fmtid="{D5CDD505-2E9C-101B-9397-08002B2CF9AE}" pid="34" name="XDL37708">
    <vt:lpwstr>1.2.1.2-04 Ventiler til infusjonssett, intravenøst og epiduralt</vt:lpwstr>
  </property>
  <property fmtid="{D5CDD505-2E9C-101B-9397-08002B2CF9AE}" pid="35" name="XDL37717">
    <vt:lpwstr>1.2.1.2-02 Infusjonssett og transfusjonssett, etterskylling / volum</vt:lpwstr>
  </property>
  <property fmtid="{D5CDD505-2E9C-101B-9397-08002B2CF9AE}" pid="36" name="XDL39340">
    <vt:lpwstr>1.2.2.6.1-08 Legemidler med krav til PVC- eller ftalat-frie beholdere og infusjonsutstyr</vt:lpwstr>
  </property>
  <property fmtid="{D5CDD505-2E9C-101B-9397-08002B2CF9AE}" pid="37" name="XDL54944">
    <vt:lpwstr>1.2.2.1-12 Forankring i lov og forskrift</vt:lpwstr>
  </property>
  <property fmtid="{D5CDD505-2E9C-101B-9397-08002B2CF9AE}" pid="38" name="XDT11749">
    <vt:lpwstr>Forebygging av infeksjoner ved bruk av intravaskulære katetre</vt:lpwstr>
  </property>
  <property fmtid="{D5CDD505-2E9C-101B-9397-08002B2CF9AE}" pid="39" name="XDT32617">
    <vt:lpwstr>Transfusjon</vt:lpwstr>
  </property>
  <property fmtid="{D5CDD505-2E9C-101B-9397-08002B2CF9AE}" pid="40" name="XDT34826">
    <vt:lpwstr>Sterile legemidler - veiledende brukstid og oppbevaring etter anbrudd</vt:lpwstr>
  </property>
  <property fmtid="{D5CDD505-2E9C-101B-9397-08002B2CF9AE}" pid="41" name="XDT37708">
    <vt:lpwstr>Ventiler til infusjonssett, intravenøst og epiduralt</vt:lpwstr>
  </property>
  <property fmtid="{D5CDD505-2E9C-101B-9397-08002B2CF9AE}" pid="42" name="XDT37717">
    <vt:lpwstr>Infusjonssett og transfusjonssett, etterskylling / volum</vt:lpwstr>
  </property>
  <property fmtid="{D5CDD505-2E9C-101B-9397-08002B2CF9AE}" pid="43" name="XDT39340">
    <vt:lpwstr>Legemidler med krav til PVC- eller ftalat-frie beholdere og infusjonsutstyr</vt:lpwstr>
  </property>
  <property fmtid="{D5CDD505-2E9C-101B-9397-08002B2CF9AE}" pid="44" name="XDT54944">
    <vt:lpwstr>Forankring i lov og forskrift</vt:lpwstr>
  </property>
</Properties>
</file>